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59FF"/>
          <w:sz w:val="20"/>
        </w:rPr>
        <w:t>GLEMO PRODUCT REQUIREMENTS</w:t>
      </w:r>
    </w:p>
    <w:p>
      <w:pPr>
        <w:pStyle w:val="Title"/>
      </w:pPr>
      <w:r>
        <w:t>GlemO Platform Product Requirements Specification</w:t>
      </w:r>
    </w:p>
    <w:p>
      <w:r>
        <w:rPr>
          <w:color w:val="6B7280"/>
          <w:sz w:val="26"/>
        </w:rPr>
        <w:t>MVP1 implementation brief for developers, product, design, compliance and external delivery partners</w:t>
      </w:r>
    </w:p>
    <w:tbl>
      <w:tblPr>
        <w:tblStyle w:val="TableGrid"/>
        <w:tblW w:type="auto" w:w="0"/>
        <w:jc w:val="center"/>
        <w:tblLayout w:type="fixed"/>
        <w:tblLook w:firstColumn="1" w:firstRow="1" w:lastColumn="0" w:lastRow="0" w:noHBand="0" w:noVBand="1" w:val="04A0"/>
      </w:tblPr>
      <w:tblGrid>
        <w:gridCol w:w="5184"/>
        <w:gridCol w:w="5184"/>
      </w:tblGrid>
      <w:tr>
        <w:trPr>
          <w:trHeight w:hRule="atLeas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63238"/>
          </w:tcPr>
          <w:p>
            <w:pPr>
              <w:spacing w:after="40"/>
            </w:pPr>
            <w:r>
              <w:rPr>
                <w:b/>
                <w:color w:val="FFFFFF"/>
                <w:sz w:val="18"/>
              </w:rPr>
            </w:r>
            <w:r>
              <w:rPr>
                <w:b/>
                <w:color w:val="FFFFFF"/>
                <w:sz w:val="18"/>
              </w:rPr>
              <w:t>Field</w:t>
            </w:r>
          </w:p>
        </w:tc>
        <w:tc>
          <w:tcPr>
            <w:tcW w:type="dxa" w:w="82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63238"/>
          </w:tcPr>
          <w:p>
            <w:pPr>
              <w:spacing w:after="40"/>
            </w:pPr>
            <w:r>
              <w:rPr>
                <w:b/>
                <w:color w:val="FFFFFF"/>
                <w:sz w:val="18"/>
              </w:rPr>
            </w:r>
            <w:r>
              <w:rPr>
                <w:b/>
                <w:color w:val="FFFFFF"/>
                <w:sz w:val="18"/>
              </w:rPr>
              <w:t>Value</w:t>
            </w:r>
          </w:p>
        </w:tc>
      </w:tr>
      <w:tr>
        <w:trPr>
          <w:trHeight w:hRule="atLeas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Version</w:t>
            </w:r>
          </w:p>
        </w:tc>
        <w:tc>
          <w:tcPr>
            <w:tcW w:type="dxa" w:w="82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1.0 developer ready</w:t>
            </w:r>
          </w:p>
        </w:tc>
      </w:tr>
      <w:tr>
        <w:trPr>
          <w:trHeight w:hRule="atLeas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Date</w:t>
            </w:r>
          </w:p>
        </w:tc>
        <w:tc>
          <w:tcPr>
            <w:tcW w:type="dxa" w:w="82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15 September 2026</w:t>
            </w:r>
          </w:p>
        </w:tc>
      </w:tr>
      <w:tr>
        <w:trPr>
          <w:trHeight w:hRule="atLeas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Audience</w:t>
            </w:r>
          </w:p>
        </w:tc>
        <w:tc>
          <w:tcPr>
            <w:tcW w:type="dxa" w:w="82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Engineering, product, UX, compliance, AI operations, integrations and delivery partners</w:t>
            </w:r>
          </w:p>
        </w:tc>
      </w:tr>
      <w:tr>
        <w:trPr>
          <w:trHeight w:hRule="atLeas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Product thesis</w:t>
            </w:r>
          </w:p>
        </w:tc>
        <w:tc>
          <w:tcPr>
            <w:tcW w:type="dxa" w:w="82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Asset class neutral liquidity and distribution rail for tokenized real world assets</w:t>
            </w:r>
          </w:p>
        </w:tc>
      </w:tr>
      <w:tr>
        <w:trPr>
          <w:trHeight w:hRule="atLeas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First proof market</w:t>
            </w:r>
          </w:p>
        </w:tc>
        <w:tc>
          <w:tcPr>
            <w:tcW w:type="dxa" w:w="82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Real estate credit and adjacent private market assets</w:t>
            </w:r>
          </w:p>
        </w:tc>
      </w:tr>
      <w:tr>
        <w:trPr>
          <w:trHeight w:hRule="atLeas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Primary package</w:t>
            </w:r>
          </w:p>
        </w:tc>
        <w:tc>
          <w:tcPr>
            <w:tcW w:type="dxa" w:w="82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Token2049 institutional data room V4.7</w:t>
            </w:r>
          </w:p>
        </w:tc>
      </w:tr>
    </w:tbl>
    <w:p/>
    <w:p>
      <w:r>
        <w:rPr>
          <w:b/>
        </w:rPr>
        <w:t xml:space="preserve">Implementation conclusion. </w:t>
      </w:r>
      <w:r>
        <w:t>GlemO should be built first as a controlled operating platform, not as an open exchange. MVP1 should prove discovery, eligibility, seller supply, evidence review, admin release, private transaction records, public proof, enterprise SaaS and revenue operations before expanding into automated liquidity, plugins and a broader dApp ecosystem.</w:t>
      </w:r>
    </w:p>
    <w:p>
      <w:r>
        <w:br w:type="page"/>
      </w:r>
    </w:p>
    <w:p>
      <w:pPr>
        <w:pStyle w:val="Heading1"/>
      </w:pPr>
      <w:r>
        <w:rPr>
          <w:color w:val="000000"/>
        </w:rPr>
        <w:t>1 Purpose and reader task</w:t>
      </w:r>
    </w:p>
    <w:p>
      <w:r>
        <w:t>This document converts the current GlemO Token2049 data room and product prototype into a developer ready requirements specification. It defines what must be built for MVP1, what can remain manual, what data objects are required, what actors need private environments and what controls protect the product from becoming overbroad or regulatorily misleading.</w:t>
      </w:r>
    </w:p>
    <w:p>
      <w:r>
        <w:t>A development team should be able to use this document to estimate the build, structure epics and services, design the database, create user stories, define APIs, plan integrations and decide what must be production ready before launch.</w:t>
      </w:r>
    </w:p>
    <w:p>
      <w:pPr>
        <w:pStyle w:val="Heading1"/>
      </w:pPr>
      <w:r>
        <w:rPr>
          <w:color w:val="000000"/>
        </w:rPr>
        <w:t>2 Product thesis and boundaries</w:t>
      </w:r>
    </w:p>
    <w:p>
      <w:r>
        <w:t>GlemO is an asset class neutral liquidity and distribution rail for tokenized real world assets. Real estate credit is the first proof market because it gives the platform an understandable source of assets, collateral, documents and commercial demand. The long term platform should also support receivables, private credit, infrastructure, fund interests and other approved tokenized assets through the same operating model.</w:t>
      </w:r>
    </w:p>
    <w:p>
      <w:r>
        <w:t>The product should not present itself as the issuer, custodian, exchange, broker dealer, investment adviser, bank or market maker unless a regulated partner explicitly owns that function. GlemO coordinates discovery, eligibility, evidence, distribution, monitoring, reporting, transaction declaration, enterprise intelligence and operating controls.</w:t>
      </w:r>
    </w:p>
    <w:p>
      <w:pPr>
        <w:pStyle w:val="ListBullet"/>
      </w:pPr>
      <w:r>
        <w:t>Build the controlled workflow first, then automate pieces once evidence, roles and partner responsibilities are clear.</w:t>
      </w:r>
    </w:p>
    <w:p>
      <w:pPr>
        <w:pStyle w:val="ListBullet"/>
      </w:pPr>
      <w:r>
        <w:t>Keep real estate as the entry market, not the final category.</w:t>
      </w:r>
    </w:p>
    <w:p>
      <w:pPr>
        <w:pStyle w:val="ListBullet"/>
      </w:pPr>
      <w:r>
        <w:t>Use Ethereum and Base as initial EVM aligned rails, with partner rails for custody, payment and reconciliation.</w:t>
      </w:r>
    </w:p>
    <w:p>
      <w:pPr>
        <w:pStyle w:val="ListBullet"/>
      </w:pPr>
      <w:r>
        <w:t>Make the token supportive to community, builders, dApps and retail engagement; do not make token appreciation the financial model.</w:t>
      </w:r>
    </w:p>
    <w:p>
      <w:pPr>
        <w:pStyle w:val="ListBullet"/>
      </w:pPr>
      <w:r>
        <w:t>Treat AI as a governed operating layer with human review and audit, not an uncontrolled chatbot.</w:t>
      </w:r>
    </w:p>
    <w:p>
      <w:pPr>
        <w:pStyle w:val="Heading1"/>
      </w:pPr>
      <w:r>
        <w:rPr>
          <w:color w:val="000000"/>
        </w:rPr>
        <w:t>3 MVP1 scope</w:t>
      </w:r>
    </w:p>
    <w:tbl>
      <w:tblPr>
        <w:tblStyle w:val="TableGrid"/>
        <w:tblW w:type="auto" w:w="0"/>
        <w:jc w:val="center"/>
        <w:tblLayout w:type="fixed"/>
        <w:tblLook w:firstColumn="1" w:firstRow="1" w:lastColumn="0" w:lastRow="0" w:noHBand="0" w:noVBand="1" w:val="04A0"/>
      </w:tblPr>
      <w:tblGrid>
        <w:gridCol w:w="3456"/>
        <w:gridCol w:w="3456"/>
        <w:gridCol w:w="3456"/>
      </w:tblGrid>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Area</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Included in MVP1</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Out of MVP1</w:t>
            </w:r>
          </w:p>
        </w:tc>
      </w:tr>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Marketplace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Public browsing, asset facts, risk labels, official channels, request access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Open unrestricted trading venue</w:t>
            </w:r>
          </w:p>
        </w:tc>
      </w:tr>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Buyer account</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Retail and institutional accounts, wallets, eligibility, transaction history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Fully automated suitability logic in every jurisdiction</w:t>
            </w:r>
          </w:p>
        </w:tc>
      </w:tr>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Seller workspace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Entity profile, signers, plans, asset drafts, documents, distribution controls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Self service public issuance without admin review</w:t>
            </w:r>
          </w:p>
        </w:tc>
      </w:tr>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Validation</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Validator desk, evidence review, issue status, admin publication gate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Automated legal opinion or automated regulatory approval</w:t>
            </w:r>
          </w:p>
        </w:tc>
      </w:tr>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Transactions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Private records, standby queue, admin clearance, public sanitized explorer</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Instant secondary market or market making</w:t>
            </w:r>
          </w:p>
        </w:tc>
      </w:tr>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Enterprise SaaS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Free and Enterprise AI plan, request form, billing preference, reports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Complex multi tier pricing</w:t>
            </w:r>
          </w:p>
        </w:tc>
      </w:tr>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AI</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Controlled concierge requests, prompt policy metadata, human QA and delivery log</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Unrestricted model access to client confidential data</w:t>
            </w:r>
          </w:p>
        </w:tc>
      </w:tr>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Rails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Ethereum and Base metadata, partner reconciliation, custody and payment status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Full in house custody or payment processing</w:t>
            </w:r>
          </w:p>
        </w:tc>
      </w:tr>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Builder ecosystem</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Architecture and future portal placeholder</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Production plugin marketplace before liquidity loop proof</w:t>
            </w:r>
          </w:p>
        </w:tc>
      </w:tr>
    </w:tbl>
    <w:p/>
    <w:p>
      <w:pPr>
        <w:pStyle w:val="Heading1"/>
      </w:pPr>
      <w:r>
        <w:rPr>
          <w:color w:val="000000"/>
        </w:rPr>
        <w:t>4 Actor model and permissions</w:t>
      </w:r>
    </w:p>
    <w:tbl>
      <w:tblPr>
        <w:tblStyle w:val="TableGrid"/>
        <w:tblW w:type="auto" w:w="0"/>
        <w:jc w:val="center"/>
        <w:tblLayout w:type="fixed"/>
        <w:tblLook w:firstColumn="1" w:firstRow="1" w:lastColumn="0" w:lastRow="0" w:noHBand="0" w:noVBand="1" w:val="04A0"/>
      </w:tblPr>
      <w:tblGrid>
        <w:gridCol w:w="3456"/>
        <w:gridCol w:w="3456"/>
        <w:gridCol w:w="3456"/>
      </w:tblGrid>
      <w:tr>
        <w:trPr>
          <w:trHeight w:hRule="atLeas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Actor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Description</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Core permissions</w:t>
            </w:r>
          </w:p>
        </w:tc>
      </w:tr>
      <w:tr>
        <w:trPr>
          <w:trHeight w:hRule="atLeas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Visitor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Public user before login</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Browse marketplace, see public asset facts, learn risks, request access</w:t>
            </w:r>
          </w:p>
        </w:tc>
      </w:tr>
      <w:tr>
        <w:trPr>
          <w:trHeight w:hRule="atLeas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Retail buyer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Individual buyer where allowed</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Account, profile, wallets, KYC, suitability, asset watchlist, allocation requests, transaction history</w:t>
            </w:r>
          </w:p>
        </w:tc>
      </w:tr>
      <w:tr>
        <w:trPr>
          <w:trHeight w:hRule="atLeas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Qualified or institutional buyer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Professional investor or institution</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Mandates, committee files, larger allocation requests, diligence room, reporting</w:t>
            </w:r>
          </w:p>
        </w:tc>
      </w:tr>
      <w:tr>
        <w:trPr>
          <w:trHeight w:hRule="atLeas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Seller or originator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Bank, financial institution, originator, asset sponsor or approved publisher</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Entity admin, KYB, signers, asset factory, evidence, liquidity rules, distribution analytics</w:t>
            </w:r>
          </w:p>
        </w:tc>
      </w:tr>
      <w:tr>
        <w:trPr>
          <w:trHeight w:hRule="atLeas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Distribution partner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Approved channel partner or distributor</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Available assets, approved copy, lead attribution, transaction leakage and revenue-share rules</w:t>
            </w:r>
          </w:p>
        </w:tc>
      </w:tr>
      <w:tr>
        <w:trPr>
          <w:trHeight w:hRule="atLeas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Validator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Independent or internal validation role</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Evidence triage, document review, opinion, publication recommendation, exception history</w:t>
            </w:r>
          </w:p>
        </w:tc>
      </w:tr>
      <w:tr>
        <w:trPr>
          <w:trHeight w:hRule="atLeas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Platform admin</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GlemO central operations</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Publication release, transaction clearance, user controls, billing, reports, audit, platform metrics</w:t>
            </w:r>
          </w:p>
        </w:tc>
      </w:tr>
      <w:tr>
        <w:trPr>
          <w:trHeight w:hRule="atLeas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AI operations user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Internal AI governance and concierge operator</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Request queue, prompt policy, agent output QA, delivery log, data permission review</w:t>
            </w:r>
          </w:p>
        </w:tc>
      </w:tr>
      <w:tr>
        <w:trPr>
          <w:trHeight w:hRule="atLeas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Rail or custody partner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Partner handling custody, payment or chain rails</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Settlement events, reconciliation status, fallback route, evidence hash exchange</w:t>
            </w:r>
          </w:p>
        </w:tc>
      </w:tr>
      <w:tr>
        <w:trPr>
          <w:trHeight w:hRule="atLeas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Builder or dApp developer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Future ecosystem participant</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Plugin registry, sandbox, extension analytics, app submission and review</w:t>
            </w:r>
          </w:p>
        </w:tc>
      </w:tr>
    </w:tbl>
    <w:p/>
    <w:p>
      <w:r>
        <w:br w:type="page"/>
      </w:r>
    </w:p>
    <w:p>
      <w:pPr>
        <w:pStyle w:val="Heading1"/>
      </w:pPr>
      <w:r>
        <w:rPr>
          <w:color w:val="000000"/>
        </w:rPr>
        <w:t>5 Functional modules</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ID</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Module</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Phase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Screens</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Requirement</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M01</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Public marketplace and asset discovery</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MVP1 core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market, assetFactSheet, distributionSaas</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Allow public inspection of approved tokenized assets, public risk labels and official distribution channels before account creation.</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M02</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Buyer onboarding and eligibility</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MVP1 core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retailPortal, investorGate, institutionalPortal, investorEducation</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Create private buyer accounts with wallet connection, KYC/KYB, suitability, jurisdiction and offering-rule checks.</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M03</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Seller organization admin</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MVP1 core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sellerOrgAdmin, bankOps</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Register approved seller entities, manage users, signers, plans, authority evidence and internal approval rules.</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M04</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Asset factory</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MVP1 core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assetFactory</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7"/>
              </w:rPr>
            </w:r>
            <w:r>
              <w:rPr>
                <w:b w:val="0"/>
                <w:sz w:val="17"/>
              </w:rPr>
              <w:t>Create pooled offerings or standalone tokenized assets with unit value, supply, rule book, documents, liquidity terms and evidence.</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M05</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Validator and document review</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MVP1 core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validatorDesk, documentReview</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Review asset evidence, extract fields, classify issues, request documents and generate validation opinion before publication.</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M06</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Admin publication and transaction clearance</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MVP1 core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adminDashboard, complianceCases, transactionClearance</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Control asset release and sensitive transaction approval through standby queues, compliance notes and audit trails.</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M07</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Transaction declaration layer</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MVP1 core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transactionLayer, ledger, reports</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Maintain private actor transaction records and public sanitized transaction proof similar to a platform activity explorer.</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M08</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Asset technical sheet</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MVP1 core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assetFactSheet</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7"/>
              </w:rPr>
            </w:r>
            <w:r>
              <w:rPr>
                <w:b w:val="0"/>
                <w:sz w:val="17"/>
              </w:rPr>
              <w:t>Expose the complete asset history, tokenization entity, commercializing entities, collateral, documents, performance and liquidity behavior.</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M09</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Distribution SaaS and partner portal</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MVP1 beta</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distributionSaas, distributionPartner</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Monetize intelligence for sellers and partners through channel map, external availability, leakage, incentives, conversion and partner analytics.</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M10</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Seller plans and enterprise checkout</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MVP1 beta</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sellerPlans, enterpriseCheckout</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7"/>
              </w:rPr>
            </w:r>
            <w:r>
              <w:rPr>
                <w:b w:val="0"/>
                <w:sz w:val="17"/>
              </w:rPr>
              <w:t>Offer Free and Enterprise AI plan with request form, cart, monthly or annual billing and card or crypto payment preference.</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M11</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Billing and revenue operations</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MVP1 core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billingRevenue</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Track SaaS subscriptions, setup fees, servicing, bank/institution fees, transaction fees, invoices and collection status.</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M12</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AI operations and concierge</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MVP1 beta</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aiOps, conciergeDesk</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Turn enterprise requests into governed prompt chains, agent runs, human QA, private scenario reports and delivery logs.</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M13</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Risk and token reference engine</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MVP1 beta</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riskEngine</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Calculate reference value, risk score, LTV, liquidity status, concentration and disclosure flags without speculative pricing claims.</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M14</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Rails, custody, payment and reconciliation</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MVP1 beta</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railPartner, ledger</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7"/>
              </w:rPr>
            </w:r>
            <w:r>
              <w:rPr>
                <w:b w:val="0"/>
                <w:sz w:val="17"/>
              </w:rPr>
              <w:t>Use Ethereum and Base as initial EVM-aligned rails while integrating partner custody, payment, settlement and reconciliation events.</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M15</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Liquidity desk and replacement process</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MVP1 beta</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liquidityDesk, replacementQueue</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Support pooled offering reserves, redemption queues, LMO checks, contract replacement and recomposition events where applicable.</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M16</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Access control and audit</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MVP1 core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accessControl, ledger</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7"/>
              </w:rPr>
            </w:r>
            <w:r>
              <w:rPr>
                <w:b w:val="0"/>
                <w:sz w:val="17"/>
              </w:rPr>
              <w:t>Enforce role-based access, MFA policy, sensitive action approvals, immutable audit trail and exportable evidence history.</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M17</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Readiness register and downloads</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MVP1 core</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operatingReadiness, downloads</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Track artifact status, open evidence, owners, release gaps and downloadable diligence documentation.</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M18</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Builder and dApp ecosystem</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Phase two</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ecosystemBuilder</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Enable plugins, extensions and dApps after the first liquidity and distribution loop is proven.</w:t>
            </w:r>
          </w:p>
        </w:tc>
      </w:tr>
    </w:tbl>
    <w:p/>
    <w:p>
      <w:pPr>
        <w:pStyle w:val="Heading1"/>
      </w:pPr>
      <w:r>
        <w:rPr>
          <w:color w:val="000000"/>
        </w:rPr>
        <w:t>6 Critical user journeys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ID</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Journey</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Flow</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Acceptance logic</w:t>
            </w: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W01 Public discovery to buyer account</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Visitor browses marketplace, opens asset fact sheet, reviews risk language, creates account, verifies email/MFA, connects wallet and starts eligibility flow.</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Visitor can see public information, but allocation buttons require account, KYC and offering eligibility.</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W02 Buyer eligibility and allocation request</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7"/>
              </w:rPr>
            </w:r>
            <w:r>
              <w:rPr>
                <w:b w:val="0"/>
                <w:sz w:val="17"/>
              </w:rPr>
              <w:t>Buyer completes KYC/KYB, suitability and jurisdiction checks. Platform evaluates offering rules. Eligible buyer can request allocation or join standby.</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No allocation request can progress without explicit eligibility status and current disclosure acceptance.</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spacing w:after="40"/>
            </w:pP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W03 Seller onboarding</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Seller submits organization profile, KYB, signers, authority documents, billing plan and internal approval rule.</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Seller cannot publish assets before organization is approved and at least one authorized signer is verified.</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W04 Asset creation and evidence package</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7"/>
              </w:rPr>
            </w:r>
            <w:r>
              <w:rPr>
                <w:b w:val="0"/>
                <w:sz w:val="17"/>
              </w:rPr>
              <w:t>Seller creates Offering, selects Pool or Standalone Asset, defines unit value, supply, rule book, liquidity terms, documents and distribution channels.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Offering remains Draft or Review until required evidence is complete.</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spacing w:after="40"/>
            </w:pP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W05 Validator review and publication gate</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Validator reviews documents, extracted fields, hash evidence, legal/risk notes and issues opinion. Admin releases or blocks publication.</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Validator opinion is necessary but final publication is controlled by GlemO admin in MVP1.</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W06 Transaction standby and clearance</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7"/>
              </w:rPr>
            </w:r>
            <w:r>
              <w:rPr>
                <w:b w:val="0"/>
                <w:sz w:val="17"/>
              </w:rPr>
              <w:t>Buyer or seller initiates transaction. Sensitive transactions enter standby. Seller can pre-check evidence. Admin clears, rejects or requests more data.</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MVP1 favors controlled review over instant automated execution.</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spacing w:after="40"/>
            </w:pP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W07 Private and public transaction declaration</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Full transaction details remain private per actor. Sanitized public event declares activity, amount band, proof hash and chain route status.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Public explorer must not expose personal data, wallet identity beyond approved public data, or restricted offering details.</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W08 Enterprise SaaS request and activation</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7"/>
              </w:rPr>
            </w:r>
            <w:r>
              <w:rPr>
                <w:b w:val="0"/>
                <w:sz w:val="17"/>
              </w:rPr>
              <w:t>Seller selects Enterprise AI, submits request, chooses monthly or annual billing and card or crypto. GlemO approves scope and activates AI services.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Payment and AI activation require seller approval, scope confirmation and data permission boundary.</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spacing w:after="40"/>
            </w:pP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W09 AI concierge delivery</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Customer request becomes structured prompt within GlemO master policy. Agent runs analysis. Human QA approves report. Output is delivered and logged.</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Raw prompts are not exposed to clients; value is governed workflow and auditable output.</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40"/>
            </w:pPr>
          </w:p>
        </w:tc>
      </w:tr>
      <w:tr>
        <w:trPr>
          <w:trHeight w:hRule="atLeast"/>
        </w:trP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W10 Rails reconciliation</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7"/>
              </w:rPr>
            </w:r>
            <w:r>
              <w:rPr>
                <w:b w:val="0"/>
                <w:sz w:val="17"/>
              </w:rPr>
              <w:t>Platform receives custody, payment, on-chain and settlement events from partners. Ledger reconciles expected vs actual status and flags exceptions.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Ethereum and Base are initial EVM rails; partner rails remain necessary for custody and payments.</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spacing w:after="40"/>
            </w:pPr>
          </w:p>
        </w:tc>
      </w:tr>
    </w:tbl>
    <w:p/>
    <w:p>
      <w:pPr>
        <w:pStyle w:val="Heading1"/>
      </w:pPr>
      <w:r>
        <w:rPr>
          <w:color w:val="000000"/>
        </w:rPr>
        <w:t>7 Data model baseline</w:t>
      </w:r>
    </w:p>
    <w:p>
      <w:r>
        <w:t>The first production schema should support the following domain objects. Field names are indicative, not final database names. The important design principle is to keep Offering as the umbrella object so that a seller can create either a pooled structure or a standalone tokenized asset without forcing all products into a pool model.</w:t>
      </w:r>
    </w:p>
    <w:tbl>
      <w:tblPr>
        <w:tblStyle w:val="TableGrid"/>
        <w:tblW w:type="auto" w:w="0"/>
        <w:jc w:val="center"/>
        <w:tblLayout w:type="fixed"/>
        <w:tblLook w:firstColumn="1" w:firstRow="1" w:lastColumn="0" w:lastRow="0" w:noHBand="0" w:noVBand="1" w:val="04A0"/>
      </w:tblPr>
      <w:tblGrid>
        <w:gridCol w:w="3456"/>
        <w:gridCol w:w="3456"/>
        <w:gridCol w:w="3456"/>
      </w:tblGrid>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Entity</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Indicative fields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Used by</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User</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id, name, email, role, organizationId, jurisdiction, MFA status, status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All authenticated actors</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Organization</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id, legalName, type, jurisdiction, KYB status, plan, billing profile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Seller, buyer institution, partner, validator, rail partner</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Wallet</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id, userId, chain, address, verification status, risk flags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Buyer and treasury wallet controls</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Offering</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id, structure type, asset class, status, jurisdiction, sellerId, validatorId, adminReleaseStatus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Umbrella object for pools and standalone assets</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Asset</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id, offeringId, name, collateral type, documents, tokenization party, commercializing entities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Individual tokenized asset or asset inside pool</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Pool</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id, offeringId, contracts, NAV reference, LMO, replacement rules, reserve status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Optional structure for pooled offerings</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TokenReference</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offeringId, chain, contract address, standard, supply, unit value, reference methodology</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Token layer metadata</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EvidenceDocument</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id, offeringId, document type, owner, hash, version, review status, expiry date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Validation and audit evidence</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ValidationCase</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id, offeringId, validator, issues, opinion, status, timestamps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Validator workflow</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ComplianceCase</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id, actor, transactionId, risk category, notes, decision, attachments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Admin and compliance workflow</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Transaction</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id, buyerId, sellerId, offeringId, amount, currency, status, payment method, chain event</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Private transaction record</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PublicTransactionEvent</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id, sanitized amount band, asset reference, chain route, proof hash, timestamp</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Public explorer event</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DistributionChannel</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id, offeringId, channel entity, availability, official status, link, terms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Where an asset can be acquired</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Lead</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id, source, partnerId, assetId, attribution, conversion status, leakage flag</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Distribution SaaS analytics</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Invoice</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id, customer, fee type, billing period, amount, payment method, collection status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Revenue operations</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AIRequest</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id, customer, scenario, data scope, prompt chain version, agent, QA status, output</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Enterprise AI concierge</w:t>
            </w:r>
          </w:p>
        </w:tc>
      </w:tr>
      <w:tr>
        <w:trPr>
          <w:trHeight w:hRule="atLeas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AuditEvent</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id, actor, action, object type, object id, before/after, timestamp, IP/device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Platform-wide audit ledger</w:t>
            </w:r>
          </w:p>
        </w:tc>
      </w:tr>
    </w:tbl>
    <w:p/>
    <w:p>
      <w:pPr>
        <w:pStyle w:val="Heading1"/>
      </w:pPr>
      <w:r>
        <w:rPr>
          <w:color w:val="000000"/>
        </w:rPr>
        <w:t>8 Service and API architecture</w:t>
      </w:r>
    </w:p>
    <w:p>
      <w:r>
        <w:t>A modular service architecture is recommended even if MVP1 is delivered as a monolith. The service boundaries below should guide routes, repositories, permissions and future extraction into independent services.</w:t>
      </w:r>
    </w:p>
    <w:tbl>
      <w:tblPr>
        <w:tblStyle w:val="TableGrid"/>
        <w:tblW w:type="auto" w:w="0"/>
        <w:jc w:val="center"/>
        <w:tblLayout w:type="fixed"/>
        <w:tblLook w:firstColumn="1" w:firstRow="1" w:lastColumn="0" w:lastRow="0" w:noHBand="0" w:noVBand="1" w:val="04A0"/>
      </w:tblPr>
      <w:tblGrid>
        <w:gridCol w:w="3456"/>
        <w:gridCol w:w="3456"/>
        <w:gridCol w:w="3456"/>
      </w:tblGrid>
      <w:tr>
        <w:trPr>
          <w:trHeight w:hRule="atLeas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Service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Indicative API areas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Responsibility</w:t>
            </w:r>
          </w:p>
        </w:tc>
      </w:tr>
      <w:tr>
        <w:trPr>
          <w:trHeight w:hRule="atLeas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Identity and Access Service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/auth, /users, /roles, /mfa, /sessions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Authentication, RBAC, MFA, invite flows, audit-ready session state</w:t>
            </w:r>
          </w:p>
        </w:tc>
      </w:tr>
      <w:tr>
        <w:trPr>
          <w:trHeight w:hRule="atLeas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Organization Service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/organizations, /signers, /kyb</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Seller, partner, institutional buyer and validator organization records</w:t>
            </w:r>
          </w:p>
        </w:tc>
      </w:tr>
      <w:tr>
        <w:trPr>
          <w:trHeight w:hRule="atLeas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Marketplace Service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/offerings, /assets, /public-assets, /asset-facts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Public discovery, asset fact sheet, filters and approved copy</w:t>
            </w:r>
          </w:p>
        </w:tc>
      </w:tr>
      <w:tr>
        <w:trPr>
          <w:trHeight w:hRule="atLeas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Eligibility Service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/kyc, /suitability, /jurisdiction, /offering-rules/check</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Buyer qualification and offering-rule gating</w:t>
            </w:r>
          </w:p>
        </w:tc>
      </w:tr>
      <w:tr>
        <w:trPr>
          <w:trHeight w:hRule="atLeas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Asset Factory Service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/offerings/drafts, /documents, /rule-books, /publication-requests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Seller asset creation and evidence collection</w:t>
            </w:r>
          </w:p>
        </w:tc>
      </w:tr>
      <w:tr>
        <w:trPr>
          <w:trHeight w:hRule="atLeas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Validation Service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/validation-cases, /document-reviews, /opinions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Validator workflow and admin publication evidence</w:t>
            </w:r>
          </w:p>
        </w:tc>
      </w:tr>
      <w:tr>
        <w:trPr>
          <w:trHeight w:hRule="atLeas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Compliance Service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/compliance-cases, /transaction-clearance, /watchlist-events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Standby, approvals, rejection reasons and case management</w:t>
            </w:r>
          </w:p>
        </w:tc>
      </w:tr>
      <w:tr>
        <w:trPr>
          <w:trHeight w:hRule="atLeas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Transaction Service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/transactions, /public-events, /proof-hashes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Private transaction records and public sanitized explorer</w:t>
            </w:r>
          </w:p>
        </w:tc>
      </w:tr>
      <w:tr>
        <w:trPr>
          <w:trHeight w:hRule="atLeas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Billing Service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/plans, /checkout-requests, /invoices, /payments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Enterprise SaaS, setup, servicing and transaction fee billing</w:t>
            </w:r>
          </w:p>
        </w:tc>
      </w:tr>
      <w:tr>
        <w:trPr>
          <w:trHeight w:hRule="atLeas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AI Concierge Service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/ai-requests, /agent-runs, /reports, /qa-reviews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Governed AI request lifecycle and report delivery</w:t>
            </w:r>
          </w:p>
        </w:tc>
      </w:tr>
      <w:tr>
        <w:trPr>
          <w:trHeight w:hRule="atLeas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Rails Service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/rails, /chain-events, /settlements, /reconciliation</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EVM rail events, custody partner events and fallback tracking</w:t>
            </w:r>
          </w:p>
        </w:tc>
      </w:tr>
      <w:tr>
        <w:trPr>
          <w:trHeight w:hRule="atLeas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Reporting Service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/reports, /exports, /metrics, /dashboards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Management, actor and diligence exports</w:t>
            </w:r>
          </w:p>
        </w:tc>
      </w:tr>
    </w:tbl>
    <w:p/>
    <w:p>
      <w:pPr>
        <w:pStyle w:val="Heading1"/>
      </w:pPr>
      <w:r>
        <w:rPr>
          <w:color w:val="000000"/>
        </w:rPr>
        <w:t>9 Blockchain and rails requirements</w:t>
      </w:r>
    </w:p>
    <w:p>
      <w:r>
        <w:t>MVP1 should document Ethereum and Base as the initial EVM aligned architecture. Ethereum gives institutional credibility and settlement reference. Base gives lower cost, ecosystem access and developer/community distribution. The product should keep rail abstractions chain agnostic enough to support additional networks later.</w:t>
      </w:r>
    </w:p>
    <w:p>
      <w:pPr>
        <w:pStyle w:val="ListBullet"/>
      </w:pPr>
      <w:r>
        <w:t>Create Chain, TokenContract, Wallet, ChainEvent and ReconciliationEvent objects even if MVP1 uses simulated or partner supplied events.</w:t>
      </w:r>
    </w:p>
    <w:p>
      <w:pPr>
        <w:pStyle w:val="ListBullet"/>
      </w:pPr>
      <w:r>
        <w:t>Do not custody client assets directly unless a regulated custody path is defined.</w:t>
      </w:r>
    </w:p>
    <w:p>
      <w:pPr>
        <w:pStyle w:val="ListBullet"/>
      </w:pPr>
      <w:r>
        <w:t>Separate commercial transaction status from on chain event status. A transaction can be approved, pending payment, pending settlement, reconciled, failed or reversed.</w:t>
      </w:r>
    </w:p>
    <w:p>
      <w:pPr>
        <w:pStyle w:val="ListBullet"/>
      </w:pPr>
      <w:r>
        <w:t>Record transaction proof hash and public event reference without exposing private buyer or seller data.</w:t>
      </w:r>
    </w:p>
    <w:p>
      <w:pPr>
        <w:pStyle w:val="ListBullet"/>
      </w:pPr>
      <w:r>
        <w:t>Support stablecoin payment instructions as a payment method state, not as an assumed payment license.</w:t>
      </w:r>
    </w:p>
    <w:p>
      <w:pPr>
        <w:pStyle w:val="Heading1"/>
      </w:pPr>
      <w:r>
        <w:rPr>
          <w:color w:val="000000"/>
        </w:rPr>
        <w:t>10 Compliance and operating controls</w:t>
      </w:r>
    </w:p>
    <w:p>
      <w:pPr>
        <w:pStyle w:val="ListBullet"/>
      </w:pPr>
      <w:r>
        <w:t>Every asset publication requires seller approval, evidence package, validator review and admin release.</w:t>
      </w:r>
    </w:p>
    <w:p>
      <w:pPr>
        <w:pStyle w:val="ListBullet"/>
      </w:pPr>
      <w:r>
        <w:t>Sensitive transactions enter standby until admin clearance in MVP1.</w:t>
      </w:r>
    </w:p>
    <w:p>
      <w:pPr>
        <w:pStyle w:val="ListBullet"/>
      </w:pPr>
      <w:r>
        <w:t>Seller pre check can prepare evidence but does not replace central platform clearance.</w:t>
      </w:r>
    </w:p>
    <w:p>
      <w:pPr>
        <w:pStyle w:val="ListBullet"/>
      </w:pPr>
      <w:r>
        <w:t>Compliance cases must include actor, object, issue category, decision, owner, timestamp and attachments.</w:t>
      </w:r>
    </w:p>
    <w:p>
      <w:pPr>
        <w:pStyle w:val="ListBullet"/>
      </w:pPr>
      <w:r>
        <w:t>Public disclosures must identify responsible regulated partners where applicable.</w:t>
      </w:r>
    </w:p>
    <w:p>
      <w:pPr>
        <w:pStyle w:val="ListBullet"/>
      </w:pPr>
      <w:r>
        <w:t>Financial promotion, suitability and jurisdiction status must be visible before allocation actions.</w:t>
      </w:r>
    </w:p>
    <w:p>
      <w:pPr>
        <w:pStyle w:val="ListBullet"/>
      </w:pPr>
      <w:r>
        <w:t>Manual review is acceptable in MVP1 when each step has owner, status, SLA and audit event.</w:t>
      </w:r>
    </w:p>
    <w:p>
      <w:pPr>
        <w:pStyle w:val="Heading1"/>
      </w:pPr>
      <w:r>
        <w:rPr>
          <w:color w:val="000000"/>
        </w:rPr>
        <w:t>11 AI requirements</w:t>
      </w:r>
    </w:p>
    <w:p>
      <w:r>
        <w:t>The AI layer should be treated as an enterprise operating service. The client submits a business request; GlemO converts it into a structured internal prompt governed by policy, data permissions and human review. Raw prompts should not be exposed to clients as the product value.</w:t>
      </w:r>
    </w:p>
    <w:tbl>
      <w:tblPr>
        <w:tblStyle w:val="TableGrid"/>
        <w:tblW w:type="auto" w:w="0"/>
        <w:jc w:val="center"/>
        <w:tblLayout w:type="fixed"/>
        <w:tblLook w:firstColumn="1" w:firstRow="1" w:lastColumn="0" w:lastRow="0" w:noHBand="0" w:noVBand="1" w:val="04A0"/>
      </w:tblPr>
      <w:tblGrid>
        <w:gridCol w:w="3456"/>
        <w:gridCol w:w="3456"/>
        <w:gridCol w:w="3456"/>
      </w:tblGrid>
      <w:tr>
        <w:trPr>
          <w:trHeight w:hRule="atLeas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Capability</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MVP1 behavior</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Control requirement</w:t>
            </w:r>
          </w:p>
        </w:tc>
      </w:tr>
      <w:tr>
        <w:trPr>
          <w:trHeight w:hRule="atLeas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Concierge request intake</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Capture customer, scenario, target assets, desired output and urgency</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Validate account plan and data permission before processing</w:t>
            </w:r>
          </w:p>
        </w:tc>
      </w:tr>
      <w:tr>
        <w:trPr>
          <w:trHeight w:hRule="atLeas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Prompt policy layer</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Attach prompt chain version, allowed data sources and restricted terms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Version all prompt policies and retain audit evidence</w:t>
            </w:r>
          </w:p>
        </w:tc>
      </w:tr>
      <w:tr>
        <w:trPr>
          <w:trHeight w:hRule="atLeas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Agent run</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Generate market x ray, benchmark, scenario or distribution report</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Flag unsupported claims and require human QA</w:t>
            </w:r>
          </w:p>
        </w:tc>
      </w:tr>
      <w:tr>
        <w:trPr>
          <w:trHeight w:hRule="atLeas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Human QA</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Approve, return for revision or reject report</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Reviewer, notes and decision are retained</w:t>
            </w:r>
          </w:p>
        </w:tc>
      </w:tr>
      <w:tr>
        <w:trPr>
          <w:trHeight w:hRule="atLeast"/>
        </w:trP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Delivery</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Deliver approved output to customer workspace</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Log delivery, report version and recipient permissions</w:t>
            </w:r>
          </w:p>
        </w:tc>
      </w:tr>
    </w:tbl>
    <w:p/>
    <w:p>
      <w:pPr>
        <w:pStyle w:val="Heading1"/>
      </w:pPr>
      <w:r>
        <w:rPr>
          <w:color w:val="000000"/>
        </w:rPr>
        <w:t>12 Non functional requirements</w:t>
      </w:r>
    </w:p>
    <w:tbl>
      <w:tblPr>
        <w:tblStyle w:val="TableGrid"/>
        <w:tblW w:type="auto" w:w="0"/>
        <w:jc w:val="center"/>
        <w:tblLayout w:type="fixed"/>
        <w:tblLook w:firstColumn="1" w:firstRow="1" w:lastColumn="0" w:lastRow="0" w:noHBand="0" w:noVBand="1" w:val="04A0"/>
      </w:tblPr>
      <w:tblGrid>
        <w:gridCol w:w="5184"/>
        <w:gridCol w:w="5184"/>
      </w:tblGrid>
      <w:tr>
        <w:trPr>
          <w:trHeight w:hRule="atLeas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Category</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Requirement</w:t>
            </w:r>
          </w:p>
        </w:tc>
      </w:tr>
      <w:tr>
        <w:trPr>
          <w:trHeight w:hRule="atLeas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Security</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MFA for sensitive users, RBAC by actor, least privilege, encrypted data at rest and in transit, secure wallet connection, session expiry and admin impersonation controls.</w:t>
            </w:r>
          </w:p>
        </w:tc>
      </w:tr>
      <w:tr>
        <w:trPr>
          <w:trHeight w:hRule="atLeas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Privacy</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7"/>
              </w:rPr>
            </w:r>
            <w:r>
              <w:rPr>
                <w:b w:val="0"/>
                <w:sz w:val="17"/>
              </w:rPr>
              <w:t>Public explorer uses sanitized events only. Personal data, investor identity, wallet identity and restricted documents stay private by role and jurisdiction.</w:t>
            </w:r>
          </w:p>
        </w:tc>
      </w:tr>
      <w:tr>
        <w:trPr>
          <w:trHeight w:hRule="atLeas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Auditability</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Every sensitive event must write an audit event: login, role change, asset submission, evidence update, validator opinion, admin release, transaction clearance, invoice, AI report delivery.</w:t>
            </w:r>
          </w:p>
        </w:tc>
      </w:tr>
      <w:tr>
        <w:trPr>
          <w:trHeight w:hRule="atLeas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Compliance posture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7"/>
              </w:rPr>
            </w:r>
            <w:r>
              <w:rPr>
                <w:b w:val="0"/>
                <w:sz w:val="17"/>
              </w:rPr>
              <w:t>The product is infrastructure. It should not claim to be issuer, custodian, exchange, broker dealer, investment adviser or market maker unless a regulated entity is explicitly responsible.</w:t>
            </w:r>
          </w:p>
        </w:tc>
      </w:tr>
      <w:tr>
        <w:trPr>
          <w:trHeight w:hRule="atLeas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Reliability</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Core dashboards and records should remain available during partner rail delays. External chain or payment failure must degrade into pending or exception states, not silent failure.</w:t>
            </w:r>
          </w:p>
        </w:tc>
      </w:tr>
      <w:tr>
        <w:trPr>
          <w:trHeight w:hRule="atLeas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Internationalization</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7"/>
              </w:rPr>
            </w:r>
            <w:r>
              <w:rPr>
                <w:b w:val="0"/>
                <w:sz w:val="17"/>
              </w:rPr>
              <w:t>Core investor/data-room pages support EN, ES, FR and AR. Platform prototype supports EN, PT, ES, FR and AR. Production should use a translation key system with review workflow.</w:t>
            </w:r>
          </w:p>
        </w:tc>
      </w:tr>
      <w:tr>
        <w:trPr>
          <w:trHeight w:hRule="atLeas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Observability</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Operations needs logs, metrics, uptime, failed jobs, payment failures, KYC exceptions, wallet errors, chain event mismatch and AI report SLA dashboards.</w:t>
            </w:r>
          </w:p>
        </w:tc>
      </w:tr>
      <w:tr>
        <w:trPr>
          <w:trHeight w:hRule="atLeas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Performance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7"/>
              </w:rPr>
            </w:r>
            <w:r>
              <w:rPr>
                <w:b w:val="0"/>
                <w:sz w:val="17"/>
              </w:rPr>
              <w:t>Marketplace and dashboards should load quickly on mobile. Tables must support pagination/filtering before production data volume grows.</w:t>
            </w:r>
          </w:p>
        </w:tc>
      </w:tr>
      <w:tr>
        <w:trPr>
          <w:trHeight w:hRule="atLeas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Data retention</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Define retention by object type, jurisdiction and contract. Audit, transaction and compliance records require controlled retention and export.</w:t>
            </w:r>
          </w:p>
        </w:tc>
      </w:tr>
      <w:tr>
        <w:trPr>
          <w:trHeight w:hRule="atLeas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Accessibility</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7"/>
              </w:rPr>
            </w:r>
            <w:r>
              <w:rPr>
                <w:b w:val="0"/>
                <w:sz w:val="17"/>
              </w:rPr>
              <w:t>Responsive layouts, readable contrast, keyboard navigation, semantic labels and screen-reader friendly state changes are required for production.</w:t>
            </w:r>
          </w:p>
        </w:tc>
      </w:tr>
    </w:tbl>
    <w:p/>
    <w:p>
      <w:pPr>
        <w:pStyle w:val="Heading1"/>
      </w:pPr>
      <w:r>
        <w:rPr>
          <w:color w:val="000000"/>
        </w:rPr>
        <w:t>13 MVP delivery backlog</w:t>
      </w:r>
    </w:p>
    <w:tbl>
      <w:tblPr>
        <w:tblStyle w:val="TableGrid"/>
        <w:tblW w:type="auto" w:w="0"/>
        <w:jc w:val="center"/>
        <w:tblLayout w:type="fixed"/>
        <w:tblLook w:firstColumn="1" w:firstRow="1" w:lastColumn="0" w:lastRow="0" w:noHBand="0" w:noVBand="1" w:val="04A0"/>
      </w:tblPr>
      <w:tblGrid>
        <w:gridCol w:w="3456"/>
        <w:gridCol w:w="3456"/>
        <w:gridCol w:w="3456"/>
      </w:tblGrid>
      <w:tr>
        <w:trPr>
          <w:trHeight w:hRule="atLeas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Phase</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Objective</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Primary deliverables</w:t>
            </w:r>
          </w:p>
        </w:tc>
      </w:tr>
      <w:tr>
        <w:trPr>
          <w:trHeight w:hRule="atLeas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Sprint 0</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Technical foundation</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Repository, design system, auth skeleton, route map, database schema, environment strategy, CI/CD, staging deployment</w:t>
            </w:r>
          </w:p>
        </w:tc>
      </w:tr>
      <w:tr>
        <w:trPr>
          <w:trHeight w:hRule="atLeas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Sprint 1</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Public marketplace and asset sheet</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Public marketplace, asset detail, channel disclosure, risk labels, responsive layout, static seed data</w:t>
            </w:r>
          </w:p>
        </w:tc>
      </w:tr>
      <w:tr>
        <w:trPr>
          <w:trHeight w:hRule="atLeas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Sprint 2</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Identity and buyer onboarding</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Login, profiles, wallets, KYC/suitability placeholders, retail and institutional portals</w:t>
            </w:r>
          </w:p>
        </w:tc>
      </w:tr>
      <w:tr>
        <w:trPr>
          <w:trHeight w:hRule="atLeas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Sprint 3</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Seller admin and asset factory</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Organization admin, signers, plan, asset draft, evidence upload, offering structure support</w:t>
            </w:r>
          </w:p>
        </w:tc>
      </w:tr>
      <w:tr>
        <w:trPr>
          <w:trHeight w:hRule="atLeas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Sprint 4</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Validator and admin gates</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Validator desk, document review, publication status, admin dashboard and compliance cases</w:t>
            </w:r>
          </w:p>
        </w:tc>
      </w:tr>
      <w:tr>
        <w:trPr>
          <w:trHeight w:hRule="atLeas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Sprint 5</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Transaction layer</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Private transaction records, standby clearance queue, public explorer and audit ledger</w:t>
            </w:r>
          </w:p>
        </w:tc>
      </w:tr>
      <w:tr>
        <w:trPr>
          <w:trHeight w:hRule="atLeas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Sprint 6</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Revenue and enterprise SaaS</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Seller plans, enterprise checkout request, invoices, payment method state and billing dashboard</w:t>
            </w:r>
          </w:p>
        </w:tc>
      </w:tr>
      <w:tr>
        <w:trPr>
          <w:trHeight w:hRule="atLeas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Sprint 7</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AI concierge and reports</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AI request workflow, prompt policy metadata, report delivery, management exports</w:t>
            </w:r>
          </w:p>
        </w:tc>
      </w:tr>
      <w:tr>
        <w:trPr>
          <w:trHeight w:hRule="atLeas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Sprint 8</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Rails and reconciliation</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Ethereum/Base event placeholders, partner rail integration model, reconciliation statuses</w:t>
            </w:r>
          </w:p>
        </w:tc>
      </w:tr>
      <w:tr>
        <w:trPr>
          <w:trHeight w:hRule="atLeas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Sprint 9</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Hardening and readiness</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Permissions, mobile QA, translation QA, audit export, security review, launch checklist</w:t>
            </w:r>
          </w:p>
        </w:tc>
      </w:tr>
    </w:tbl>
    <w:p/>
    <w:p>
      <w:pPr>
        <w:pStyle w:val="Heading1"/>
      </w:pPr>
      <w:r>
        <w:rPr>
          <w:color w:val="000000"/>
        </w:rPr>
        <w:t>14 Acceptance criteria</w:t>
      </w:r>
    </w:p>
    <w:tbl>
      <w:tblPr>
        <w:tblStyle w:val="TableGrid"/>
        <w:tblW w:type="auto" w:w="0"/>
        <w:jc w:val="center"/>
        <w:tblLayout w:type="fixed"/>
        <w:tblLook w:firstColumn="1" w:firstRow="1" w:lastColumn="0" w:lastRow="0" w:noHBand="0" w:noVBand="1" w:val="04A0"/>
      </w:tblPr>
      <w:tblGrid>
        <w:gridCol w:w="5184"/>
        <w:gridCol w:w="5184"/>
      </w:tblGrid>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ID</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Acceptance criterion</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A01</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A visitor can inspect an approved asset public page without login and see risk labels, responsible entities and available official channels.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A02</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 retail buyer can create account, connect wallet, complete KYC/suitability placeholders and see only eligible actions.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A03</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An institutional buyer can maintain mandate profile, diligence files, committee workflow and allocation requests.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A04</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 seller can submit organization profile, signers, plan, billing preference and asset draft.</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A05</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 seller can create either pooled offering or standalone asset without forcing pool structure.</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A06</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 validator can review evidence, flag issues, request documents and submit an opinion.</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A07</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Admin can approve, reject or hold publication and transaction events with reason and audit history.</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A08</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Private transaction details are visible only to allowed actors; public explorer shows sanitized event data.</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A09</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Enterprise SaaS request captures company, scope, billing cycle, card or crypto payment preference and approval status.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A10</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Billing dashboard shows SaaS, setup, servicing, transaction fees, invoices and payment collection state.</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A11</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AI request lifecycle captures input scope, prompt policy version, agent run, human QA and delivered output.</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A12</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Rails dashboard records Ethereum/Base route, partner custody/payment status and reconciliation exceptions.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A13</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Every sensitive mutation writes an immutable audit event and can be exported by admin.</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A14</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Mobile navigation supports forward/back movement across role environments without trapping users.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A15</w:t>
            </w:r>
          </w:p>
        </w:tc>
        <w:tc>
          <w:tcPr>
            <w:tcW w:type="dxa" w:w="9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The platform can produce a readiness report showing missing documents, open risks and owners before launch.</w:t>
            </w:r>
          </w:p>
        </w:tc>
      </w:tr>
    </w:tbl>
    <w:p/>
    <w:p>
      <w:pPr>
        <w:pStyle w:val="Heading1"/>
      </w:pPr>
      <w:r>
        <w:rPr>
          <w:color w:val="000000"/>
        </w:rPr>
        <w:t>15 Open decisions before production build</w:t>
      </w:r>
    </w:p>
    <w:tbl>
      <w:tblPr>
        <w:tblStyle w:val="TableGrid"/>
        <w:tblW w:type="auto" w:w="0"/>
        <w:jc w:val="center"/>
        <w:tblLayout w:type="fixed"/>
        <w:tblLook w:firstColumn="1" w:firstRow="1" w:lastColumn="0" w:lastRow="0" w:noHBand="0" w:noVBand="1" w:val="04A0"/>
      </w:tblPr>
      <w:tblGrid>
        <w:gridCol w:w="3456"/>
        <w:gridCol w:w="3456"/>
        <w:gridCol w:w="3456"/>
      </w:tblGrid>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ID</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Decision</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Why it matters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D01</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Jurisdiction launch perimeter</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7"/>
              </w:rPr>
            </w:r>
            <w:r>
              <w:rPr>
                <w:b w:val="0"/>
                <w:sz w:val="17"/>
              </w:rPr>
              <w:t>Define where retail access is allowed, where qualified/institutional only is required and which disclosures differ by jurisdiction.</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D02</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Regulated partner allocation</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Decide which partner handles custody, tokenization, payments, KYC/KYB and legal issuance for MVP1.</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D03</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Wallet custody model</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Confirm whether MVP1 is non-custodial wallet connect only, partner custody only, or mixed.</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D04</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Transaction fee basis</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Define exact basis points, minimum fee, who pays, refund logic and treatment of external transactions.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D05</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Token role</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Separate product utility, ecosystem incentives and governance from investor revenue model.</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D06</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AI data boundary</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Define what client data can be used in AI agents, retention rules and human review obligations.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D07</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Public transaction explorer granularity</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Choose whether public volume is exact, banded, delayed or fully aggregated by asset class.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D08</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Secondary liquidity policy</w:t>
            </w:r>
          </w:p>
        </w:tc>
        <w:tc>
          <w:tcPr>
            <w:tcW w:type="dxa" w:w="65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Confirm what MVP1 can say and do without implying exchange or market maker activity.</w:t>
            </w:r>
          </w:p>
        </w:tc>
      </w:tr>
    </w:tbl>
    <w:p/>
    <w:p>
      <w:pPr>
        <w:pStyle w:val="Heading1"/>
      </w:pPr>
      <w:r>
        <w:rPr>
          <w:color w:val="000000"/>
        </w:rPr>
        <w:t>16 Suggested production architecture</w:t>
      </w:r>
    </w:p>
    <w:p>
      <w:r>
        <w:t>The initial build can be delivered as a modular web application with clear service boundaries. A practical architecture is a TypeScript frontend, API layer, relational database, object storage for documents, queue for async review jobs, audit ledger table, external KYC/KYB provider, payment provider, wallet connection and partner rail adapters. The exact framework can be chosen by the delivery team, but the boundaries should remain stable.</w:t>
      </w:r>
    </w:p>
    <w:p>
      <w:pPr>
        <w:pStyle w:val="ListBullet"/>
      </w:pPr>
      <w:r>
        <w:t>Frontend: responsive web app with route guards by role and language key system.</w:t>
      </w:r>
    </w:p>
    <w:p>
      <w:pPr>
        <w:pStyle w:val="ListBullet"/>
      </w:pPr>
      <w:r>
        <w:t>Backend: API layer with modules for identity, marketplace, organizations, offerings, validation, compliance, transactions, billing, AI and rails.</w:t>
      </w:r>
    </w:p>
    <w:p>
      <w:pPr>
        <w:pStyle w:val="ListBullet"/>
      </w:pPr>
      <w:r>
        <w:t>Database: PostgreSQL or equivalent relational store for regulated workflow traceability.</w:t>
      </w:r>
    </w:p>
    <w:p>
      <w:pPr>
        <w:pStyle w:val="ListBullet"/>
      </w:pPr>
      <w:r>
        <w:t>Storage: encrypted document storage with file hash, versioning, owner and retention rules.</w:t>
      </w:r>
    </w:p>
    <w:p>
      <w:pPr>
        <w:pStyle w:val="ListBullet"/>
      </w:pPr>
      <w:r>
        <w:t>Jobs: asynchronous workers for document parsing, notifications, AI report generation, reconciliation and exports.</w:t>
      </w:r>
    </w:p>
    <w:p>
      <w:pPr>
        <w:pStyle w:val="ListBullet"/>
      </w:pPr>
      <w:r>
        <w:t>Observability: structured logs, event metrics, queue monitoring, failed integration alerts and admin health dashboard.</w:t>
      </w:r>
    </w:p>
    <w:p>
      <w:pPr>
        <w:pStyle w:val="ListBullet"/>
      </w:pPr>
      <w:r>
        <w:t>Security: MFA, RBAC, scoped tokens, audit events, encrypted secrets and least privilege infrastructure access.</w:t>
      </w:r>
    </w:p>
    <w:p>
      <w:pPr>
        <w:pStyle w:val="Heading1"/>
      </w:pPr>
      <w:r>
        <w:rPr>
          <w:color w:val="000000"/>
        </w:rPr>
        <w:t>17 Implementation notes for developers</w:t>
      </w:r>
    </w:p>
    <w:p>
      <w:pPr>
        <w:pStyle w:val="ListNumber"/>
      </w:pPr>
      <w:r>
        <w:t>Start with the domain model and role matrix before building screens. The prototype has many screens; the production system must be driven by permissions and object status.</w:t>
      </w:r>
    </w:p>
    <w:p>
      <w:pPr>
        <w:pStyle w:val="ListNumber"/>
      </w:pPr>
      <w:r>
        <w:t>Build the Offering lifecycle as the central workflow: Draft, Evidence Pending, Validator Review, Admin Review, Published, Suspended, Closed.</w:t>
      </w:r>
    </w:p>
    <w:p>
      <w:pPr>
        <w:pStyle w:val="ListNumber"/>
      </w:pPr>
      <w:r>
        <w:t>Keep transaction lifecycle separate from offering lifecycle: Draft, Standby, Compliance Review, Approved, Payment Pending, Settlement Pending, Reconciled, Failed, Cancelled.</w:t>
      </w:r>
    </w:p>
    <w:p>
      <w:pPr>
        <w:pStyle w:val="ListNumber"/>
      </w:pPr>
      <w:r>
        <w:t>Treat all visible dashboard numbers as derived metrics from event and transaction tables. Avoid manually entered KPI values in production.</w:t>
      </w:r>
    </w:p>
    <w:p>
      <w:pPr>
        <w:pStyle w:val="ListNumber"/>
      </w:pPr>
      <w:r>
        <w:t>Create a translation workflow early. Investor pages and product screens have different language coverage today.</w:t>
      </w:r>
    </w:p>
    <w:p>
      <w:pPr>
        <w:pStyle w:val="ListNumber"/>
      </w:pPr>
      <w:r>
        <w:t>Use feature flags for phase two modules such as builder ecosystem, plugin marketplace and advanced rail automation.</w:t>
      </w:r>
    </w:p>
    <w:p>
      <w:pPr>
        <w:pStyle w:val="ListNumber"/>
      </w:pPr>
      <w:r>
        <w:t>Model manual review as first class product functionality. Manual does not mean undocumented; each manual action needs owner, status and audit trail.</w:t>
      </w:r>
    </w:p>
    <w:p>
      <w:pPr>
        <w:pStyle w:val="ListNumber"/>
      </w:pPr>
      <w:r>
        <w:t>Avoid making legal or investment advice claims in UI text. Use approved disclosure fields for investor facing copy.</w:t>
      </w:r>
    </w:p>
    <w:p>
      <w:pPr>
        <w:pStyle w:val="ListNumber"/>
      </w:pPr>
      <w:r>
        <w:t>Design mobile navigation with role based shortcuts and a persistent back to home route for each actor.</w:t>
      </w:r>
    </w:p>
    <w:p>
      <w:pPr>
        <w:pStyle w:val="ListNumber"/>
      </w:pPr>
      <w:r>
        <w:t>Before launch, run a complete scenario from seller creation to public transaction declaration and investor report export.</w:t>
      </w:r>
    </w:p>
    <w:p>
      <w:pPr>
        <w:pStyle w:val="Heading1"/>
      </w:pPr>
      <w:r>
        <w:rPr>
          <w:color w:val="000000"/>
        </w:rPr>
        <w:t>18 Definition of ready and definition of done</w:t>
      </w:r>
    </w:p>
    <w:tbl>
      <w:tblPr>
        <w:tblStyle w:val="TableGrid"/>
        <w:tblW w:type="auto" w:w="0"/>
        <w:jc w:val="center"/>
        <w:tblLayout w:type="fixed"/>
        <w:tblLook w:firstColumn="1" w:firstRow="1" w:lastColumn="0" w:lastRow="0" w:noHBand="0" w:noVBand="1" w:val="04A0"/>
      </w:tblPr>
      <w:tblGrid>
        <w:gridCol w:w="3456"/>
        <w:gridCol w:w="3456"/>
        <w:gridCol w:w="3456"/>
      </w:tblGrid>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Stage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Required before work starts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Required before release</w:t>
            </w:r>
          </w:p>
        </w:tc>
      </w:tr>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Feature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Actor, object, permission, status changes, acceptance criteria and dependencies are identified.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Tested route, audit events, empty/error/loading states, translation keys and mobile behavior are complete.</w:t>
            </w:r>
          </w:p>
        </w:tc>
      </w:tr>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Integration</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Provider owner, sandbox credentials, data mapping, failure states and compliance owner are known.</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Successful happy path, failed path, retry path, log evidence and admin visibility are complete.</w:t>
            </w:r>
          </w:p>
        </w:tc>
      </w:tr>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AI workflow</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Allowed data scope, prompt version, output format, QA owner and delivery path are defined.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Prompt run, QA decision, report version, delivery log and customer visibility are complete.</w:t>
            </w:r>
          </w:p>
        </w:tc>
      </w:tr>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Compliance control</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Rule owner, decision states, required evidence and escalation path are documented.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Case history, attachments, decision reason, audit event and export are complete.</w:t>
            </w:r>
          </w:p>
        </w:tc>
      </w:tr>
      <w:tr>
        <w:trPr>
          <w:trHeight w:hRule="atLeast"/>
        </w:trP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Investor facing screen</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Approved copy, risk language, data source and visibility rules are confirmed.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Responsive layout, contrast, role gating, analytics event and QA review are complete.</w:t>
            </w:r>
          </w:p>
        </w:tc>
      </w:tr>
    </w:tbl>
    <w:p/>
    <w:p>
      <w:pPr>
        <w:pStyle w:val="Heading1"/>
      </w:pPr>
      <w:r>
        <w:rPr>
          <w:color w:val="000000"/>
        </w:rPr>
        <w:t>19 Appendix current screen map</w:t>
      </w:r>
    </w:p>
    <w:tbl>
      <w:tblPr>
        <w:tblStyle w:val="TableGrid"/>
        <w:tblW w:type="auto" w:w="0"/>
        <w:jc w:val="center"/>
        <w:tblLayout w:type="fixed"/>
        <w:tblLook w:firstColumn="1" w:firstRow="1" w:lastColumn="0" w:lastRow="0" w:noHBand="0" w:noVBand="1" w:val="04A0"/>
      </w:tblPr>
      <w:tblGrid>
        <w:gridCol w:w="3456"/>
        <w:gridCol w:w="3456"/>
        <w:gridCol w:w="3456"/>
      </w:tblGrid>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Code</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Screen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3A5F"/>
          </w:tcPr>
          <w:p>
            <w:pPr>
              <w:spacing w:after="40"/>
            </w:pPr>
            <w:r>
              <w:rPr>
                <w:b/>
                <w:color w:val="FFFFFF"/>
                <w:sz w:val="18"/>
              </w:rPr>
            </w:r>
            <w:r>
              <w:rPr>
                <w:b/>
                <w:color w:val="FFFFFF"/>
                <w:sz w:val="18"/>
              </w:rPr>
              <w:t>Route id</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01</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Product Home</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market</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02</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Journey Map</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platformSitemap</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DFD</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DFD and Requirements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dataFlowRequirements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03</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MVP1 Scope</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mvp1Scope</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04</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Backoffice Map</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roleConsole</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05</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Actor Dashboards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actorDashboards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06</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Transaction Layer</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transactionLayer</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07</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Asset Fact Sheet</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assetFactSheet</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08</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Distribution SaaS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distributionSaas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09</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Retail Login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retailPortal</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10</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Wallet and KYC</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investorGate</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11</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Portfolio</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investorPortfolio</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12</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Institutional Portal</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institutionalPortal</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13</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Risk Education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investorEducation</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14</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Originator Ops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bankOps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15</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Seller Admin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sellerOrgAdmin</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16</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Asset Factory</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assetFactory</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17</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Seller Plans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sellerPlans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18</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Distribution Partner</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distributionPartner</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19</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Liquidity Desk</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liquidityDesk</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20</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Replacement</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replacementQueue</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21</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Validator Desk</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validatorDesk</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22</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Document Review</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documentReview</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23</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Executive Admin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adminDashboard</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24</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Access Control</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accessControl</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25</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Compliance Cases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complianceCases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26</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Clearance Queue</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transactionClearance</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27</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Reports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reports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28</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Billing and Revenue</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billingRevenue</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29</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AI Ops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aiOps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30</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Concierge Desk</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conciergeDesk</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31</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Rails Partner</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railPartner</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32</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Risk and Token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riskEngine</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33</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Ledger</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ledger</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34</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Builder Portal</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ecosystemBuilder</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35</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Readiness Register</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spacing w:after="40"/>
            </w:pPr>
            <w:r>
              <w:rPr>
                <w:sz w:val="18"/>
              </w:rPr>
            </w:r>
            <w:r>
              <w:rPr>
                <w:b w:val="0"/>
                <w:sz w:val="18"/>
              </w:rPr>
              <w:t>operatingReadiness</w:t>
            </w:r>
          </w:p>
        </w:tc>
      </w:tr>
      <w:tr>
        <w:trPr>
          <w:trHeight w:hRule="atLeas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36</w:t>
            </w:r>
          </w:p>
        </w:tc>
        <w:tc>
          <w:tcPr>
            <w:tcW w:type="dxa" w:w="48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Downloads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sz w:val="18"/>
              </w:rPr>
            </w:r>
            <w:r>
              <w:rPr>
                <w:b w:val="0"/>
                <w:sz w:val="18"/>
              </w:rPr>
              <w:t>downloads</w:t>
            </w:r>
          </w:p>
        </w:tc>
      </w:tr>
    </w:tbl>
    <w:p/>
    <w:sectPr w:rsidR="00FC693F" w:rsidRPr="0006063C" w:rsidSect="00034616">
      <w:footerReference w:type="default" r:id="rId9"/>
      <w:head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GlemO Platform Product Requirements Specification - Confidential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GlemO MVP1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