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GlemO RWA Product DFD and Requirements V4.7</w:t>
      </w:r>
    </w:p>
    <w:p>
      <w:r>
        <w:t>Current data flows, product requirements and implementation boundaries for the GlemO RWA platform prototype. Updated 15 September 2026.</w:t>
      </w:r>
    </w:p>
    <w:p>
      <w:pPr>
        <w:pStyle w:val="Heading1"/>
      </w:pPr>
      <w:r>
        <w:t>Purpose</w:t>
      </w:r>
    </w:p>
    <w:p>
      <w:r>
        <w:t>This document declares the current data flow diagrams and product requirements for the GlemO RWA platform prototype. It replaces legacy DFD interpretations and aligns the documentation with the current V4.7 platform status.</w:t>
      </w:r>
    </w:p>
    <w:p>
      <w:pPr>
        <w:pStyle w:val="Heading1"/>
      </w:pPr>
      <w:r>
        <w:t>Product Requirements</w:t>
      </w:r>
    </w:p>
    <w:tbl>
      <w:tblPr>
        <w:tblStyle w:val="TableGrid"/>
        <w:tblW w:type="auto" w:w="0"/>
        <w:tblLook w:firstColumn="1" w:firstRow="1" w:lastColumn="0" w:lastRow="0" w:noHBand="0" w:noVBand="1" w:val="04A0"/>
      </w:tblPr>
      <w:tblGrid>
        <w:gridCol w:w="2541"/>
        <w:gridCol w:w="2541"/>
        <w:gridCol w:w="2541"/>
        <w:gridCol w:w="2541"/>
      </w:tblGrid>
      <w:tr>
        <w:tc>
          <w:tcPr>
            <w:tcW w:type="dxa" w:w="2541"/>
            <w:tcMar>
              <w:top w:w="90" w:type="dxa"/>
              <w:left w:w="90" w:type="dxa"/>
              <w:bottom w:w="90" w:type="dxa"/>
              <w:right w:w="90" w:type="dxa"/>
            </w:tcMar>
          </w:tcPr>
          <w:p>
            <w:r>
              <w:rPr>
                <w:sz w:val="17"/>
              </w:rPr>
              <w:t>ID</w:t>
            </w:r>
          </w:p>
        </w:tc>
        <w:tc>
          <w:tcPr>
            <w:tcW w:type="dxa" w:w="2541"/>
            <w:tcMar>
              <w:top w:w="90" w:type="dxa"/>
              <w:left w:w="90" w:type="dxa"/>
              <w:bottom w:w="90" w:type="dxa"/>
              <w:right w:w="90" w:type="dxa"/>
            </w:tcMar>
          </w:tcPr>
          <w:p>
            <w:r>
              <w:rPr>
                <w:sz w:val="17"/>
              </w:rPr>
              <w:t>Requirement</w:t>
            </w:r>
          </w:p>
        </w:tc>
        <w:tc>
          <w:tcPr>
            <w:tcW w:type="dxa" w:w="2541"/>
            <w:tcMar>
              <w:top w:w="90" w:type="dxa"/>
              <w:left w:w="90" w:type="dxa"/>
              <w:bottom w:w="90" w:type="dxa"/>
              <w:right w:w="90" w:type="dxa"/>
            </w:tcMar>
          </w:tcPr>
          <w:p>
            <w:r>
              <w:rPr>
                <w:sz w:val="17"/>
              </w:rPr>
              <w:t>Scope</w:t>
            </w:r>
          </w:p>
        </w:tc>
        <w:tc>
          <w:tcPr>
            <w:tcW w:type="dxa" w:w="2541"/>
            <w:tcMar>
              <w:top w:w="90" w:type="dxa"/>
              <w:left w:w="90" w:type="dxa"/>
              <w:bottom w:w="90" w:type="dxa"/>
              <w:right w:w="90" w:type="dxa"/>
            </w:tcMar>
          </w:tcPr>
          <w:p>
            <w:r>
              <w:rPr>
                <w:sz w:val="17"/>
              </w:rPr>
              <w:t>Primary Screens</w:t>
            </w:r>
          </w:p>
        </w:tc>
      </w:tr>
      <w:tr>
        <w:tc>
          <w:tcPr>
            <w:tcW w:type="dxa" w:w="2541"/>
            <w:tcMar>
              <w:top w:w="90" w:type="dxa"/>
              <w:left w:w="90" w:type="dxa"/>
              <w:bottom w:w="90" w:type="dxa"/>
              <w:right w:w="90" w:type="dxa"/>
            </w:tcMar>
          </w:tcPr>
          <w:p>
            <w:r>
              <w:rPr>
                <w:sz w:val="17"/>
              </w:rPr>
              <w:t>R1</w:t>
            </w:r>
          </w:p>
        </w:tc>
        <w:tc>
          <w:tcPr>
            <w:tcW w:type="dxa" w:w="2541"/>
            <w:tcMar>
              <w:top w:w="90" w:type="dxa"/>
              <w:left w:w="90" w:type="dxa"/>
              <w:bottom w:w="90" w:type="dxa"/>
              <w:right w:w="90" w:type="dxa"/>
            </w:tcMar>
          </w:tcPr>
          <w:p>
            <w:r>
              <w:rPr>
                <w:sz w:val="17"/>
              </w:rPr>
              <w:t>Public asset discovery</w:t>
            </w:r>
          </w:p>
        </w:tc>
        <w:tc>
          <w:tcPr>
            <w:tcW w:type="dxa" w:w="2541"/>
            <w:tcMar>
              <w:top w:w="90" w:type="dxa"/>
              <w:left w:w="90" w:type="dxa"/>
              <w:bottom w:w="90" w:type="dxa"/>
              <w:right w:w="90" w:type="dxa"/>
            </w:tcMar>
          </w:tcPr>
          <w:p>
            <w:r>
              <w:rPr>
                <w:sz w:val="17"/>
              </w:rPr>
              <w:t>MVP1 core</w:t>
            </w:r>
          </w:p>
        </w:tc>
        <w:tc>
          <w:tcPr>
            <w:tcW w:type="dxa" w:w="2541"/>
            <w:tcMar>
              <w:top w:w="90" w:type="dxa"/>
              <w:left w:w="90" w:type="dxa"/>
              <w:bottom w:w="90" w:type="dxa"/>
              <w:right w:w="90" w:type="dxa"/>
            </w:tcMar>
          </w:tcPr>
          <w:p>
            <w:r>
              <w:rPr>
                <w:sz w:val="17"/>
              </w:rPr>
              <w:t>market, assetFactSheet, distributionSaas</w:t>
            </w:r>
          </w:p>
        </w:tc>
      </w:tr>
      <w:tr>
        <w:tc>
          <w:tcPr>
            <w:tcW w:type="dxa" w:w="2541"/>
            <w:tcMar>
              <w:top w:w="90" w:type="dxa"/>
              <w:left w:w="90" w:type="dxa"/>
              <w:bottom w:w="90" w:type="dxa"/>
              <w:right w:w="90" w:type="dxa"/>
            </w:tcMar>
          </w:tcPr>
          <w:p>
            <w:r>
              <w:rPr>
                <w:sz w:val="17"/>
              </w:rPr>
              <w:t>R2</w:t>
            </w:r>
          </w:p>
        </w:tc>
        <w:tc>
          <w:tcPr>
            <w:tcW w:type="dxa" w:w="2541"/>
            <w:tcMar>
              <w:top w:w="90" w:type="dxa"/>
              <w:left w:w="90" w:type="dxa"/>
              <w:bottom w:w="90" w:type="dxa"/>
              <w:right w:w="90" w:type="dxa"/>
            </w:tcMar>
          </w:tcPr>
          <w:p>
            <w:r>
              <w:rPr>
                <w:sz w:val="17"/>
              </w:rPr>
              <w:t>Buyer account and eligibility</w:t>
            </w:r>
          </w:p>
        </w:tc>
        <w:tc>
          <w:tcPr>
            <w:tcW w:type="dxa" w:w="2541"/>
            <w:tcMar>
              <w:top w:w="90" w:type="dxa"/>
              <w:left w:w="90" w:type="dxa"/>
              <w:bottom w:w="90" w:type="dxa"/>
              <w:right w:w="90" w:type="dxa"/>
            </w:tcMar>
          </w:tcPr>
          <w:p>
            <w:r>
              <w:rPr>
                <w:sz w:val="17"/>
              </w:rPr>
              <w:t>MVP1 core</w:t>
            </w:r>
          </w:p>
        </w:tc>
        <w:tc>
          <w:tcPr>
            <w:tcW w:type="dxa" w:w="2541"/>
            <w:tcMar>
              <w:top w:w="90" w:type="dxa"/>
              <w:left w:w="90" w:type="dxa"/>
              <w:bottom w:w="90" w:type="dxa"/>
              <w:right w:w="90" w:type="dxa"/>
            </w:tcMar>
          </w:tcPr>
          <w:p>
            <w:r>
              <w:rPr>
                <w:sz w:val="17"/>
              </w:rPr>
              <w:t>retailPortal, investorGate, institutionalPortal</w:t>
            </w:r>
          </w:p>
        </w:tc>
      </w:tr>
      <w:tr>
        <w:tc>
          <w:tcPr>
            <w:tcW w:type="dxa" w:w="2541"/>
            <w:tcMar>
              <w:top w:w="90" w:type="dxa"/>
              <w:left w:w="90" w:type="dxa"/>
              <w:bottom w:w="90" w:type="dxa"/>
              <w:right w:w="90" w:type="dxa"/>
            </w:tcMar>
          </w:tcPr>
          <w:p>
            <w:r>
              <w:rPr>
                <w:sz w:val="17"/>
              </w:rPr>
              <w:t>R3</w:t>
            </w:r>
          </w:p>
        </w:tc>
        <w:tc>
          <w:tcPr>
            <w:tcW w:type="dxa" w:w="2541"/>
            <w:tcMar>
              <w:top w:w="90" w:type="dxa"/>
              <w:left w:w="90" w:type="dxa"/>
              <w:bottom w:w="90" w:type="dxa"/>
              <w:right w:w="90" w:type="dxa"/>
            </w:tcMar>
          </w:tcPr>
          <w:p>
            <w:r>
              <w:rPr>
                <w:sz w:val="17"/>
              </w:rPr>
              <w:t>Seller onboarding</w:t>
            </w:r>
          </w:p>
        </w:tc>
        <w:tc>
          <w:tcPr>
            <w:tcW w:type="dxa" w:w="2541"/>
            <w:tcMar>
              <w:top w:w="90" w:type="dxa"/>
              <w:left w:w="90" w:type="dxa"/>
              <w:bottom w:w="90" w:type="dxa"/>
              <w:right w:w="90" w:type="dxa"/>
            </w:tcMar>
          </w:tcPr>
          <w:p>
            <w:r>
              <w:rPr>
                <w:sz w:val="17"/>
              </w:rPr>
              <w:t>MVP1 core</w:t>
            </w:r>
          </w:p>
        </w:tc>
        <w:tc>
          <w:tcPr>
            <w:tcW w:type="dxa" w:w="2541"/>
            <w:tcMar>
              <w:top w:w="90" w:type="dxa"/>
              <w:left w:w="90" w:type="dxa"/>
              <w:bottom w:w="90" w:type="dxa"/>
              <w:right w:w="90" w:type="dxa"/>
            </w:tcMar>
          </w:tcPr>
          <w:p>
            <w:r>
              <w:rPr>
                <w:sz w:val="17"/>
              </w:rPr>
              <w:t>sellerOrgAdmin, bankOps, assetFactory</w:t>
            </w:r>
          </w:p>
        </w:tc>
      </w:tr>
      <w:tr>
        <w:tc>
          <w:tcPr>
            <w:tcW w:type="dxa" w:w="2541"/>
            <w:tcMar>
              <w:top w:w="90" w:type="dxa"/>
              <w:left w:w="90" w:type="dxa"/>
              <w:bottom w:w="90" w:type="dxa"/>
              <w:right w:w="90" w:type="dxa"/>
            </w:tcMar>
          </w:tcPr>
          <w:p>
            <w:r>
              <w:rPr>
                <w:sz w:val="17"/>
              </w:rPr>
              <w:t>R4</w:t>
            </w:r>
          </w:p>
        </w:tc>
        <w:tc>
          <w:tcPr>
            <w:tcW w:type="dxa" w:w="2541"/>
            <w:tcMar>
              <w:top w:w="90" w:type="dxa"/>
              <w:left w:w="90" w:type="dxa"/>
              <w:bottom w:w="90" w:type="dxa"/>
              <w:right w:w="90" w:type="dxa"/>
            </w:tcMar>
          </w:tcPr>
          <w:p>
            <w:r>
              <w:rPr>
                <w:sz w:val="17"/>
              </w:rPr>
              <w:t>Validator gate</w:t>
            </w:r>
          </w:p>
        </w:tc>
        <w:tc>
          <w:tcPr>
            <w:tcW w:type="dxa" w:w="2541"/>
            <w:tcMar>
              <w:top w:w="90" w:type="dxa"/>
              <w:left w:w="90" w:type="dxa"/>
              <w:bottom w:w="90" w:type="dxa"/>
              <w:right w:w="90" w:type="dxa"/>
            </w:tcMar>
          </w:tcPr>
          <w:p>
            <w:r>
              <w:rPr>
                <w:sz w:val="17"/>
              </w:rPr>
              <w:t>MVP1 core</w:t>
            </w:r>
          </w:p>
        </w:tc>
        <w:tc>
          <w:tcPr>
            <w:tcW w:type="dxa" w:w="2541"/>
            <w:tcMar>
              <w:top w:w="90" w:type="dxa"/>
              <w:left w:w="90" w:type="dxa"/>
              <w:bottom w:w="90" w:type="dxa"/>
              <w:right w:w="90" w:type="dxa"/>
            </w:tcMar>
          </w:tcPr>
          <w:p>
            <w:r>
              <w:rPr>
                <w:sz w:val="17"/>
              </w:rPr>
              <w:t>validatorDesk, documentReview, complianceCases</w:t>
            </w:r>
          </w:p>
        </w:tc>
      </w:tr>
      <w:tr>
        <w:tc>
          <w:tcPr>
            <w:tcW w:type="dxa" w:w="2541"/>
            <w:tcMar>
              <w:top w:w="90" w:type="dxa"/>
              <w:left w:w="90" w:type="dxa"/>
              <w:bottom w:w="90" w:type="dxa"/>
              <w:right w:w="90" w:type="dxa"/>
            </w:tcMar>
          </w:tcPr>
          <w:p>
            <w:r>
              <w:rPr>
                <w:sz w:val="17"/>
              </w:rPr>
              <w:t>R5</w:t>
            </w:r>
          </w:p>
        </w:tc>
        <w:tc>
          <w:tcPr>
            <w:tcW w:type="dxa" w:w="2541"/>
            <w:tcMar>
              <w:top w:w="90" w:type="dxa"/>
              <w:left w:w="90" w:type="dxa"/>
              <w:bottom w:w="90" w:type="dxa"/>
              <w:right w:w="90" w:type="dxa"/>
            </w:tcMar>
          </w:tcPr>
          <w:p>
            <w:r>
              <w:rPr>
                <w:sz w:val="17"/>
              </w:rPr>
              <w:t>Admin transaction clearance</w:t>
            </w:r>
          </w:p>
        </w:tc>
        <w:tc>
          <w:tcPr>
            <w:tcW w:type="dxa" w:w="2541"/>
            <w:tcMar>
              <w:top w:w="90" w:type="dxa"/>
              <w:left w:w="90" w:type="dxa"/>
              <w:bottom w:w="90" w:type="dxa"/>
              <w:right w:w="90" w:type="dxa"/>
            </w:tcMar>
          </w:tcPr>
          <w:p>
            <w:r>
              <w:rPr>
                <w:sz w:val="17"/>
              </w:rPr>
              <w:t>MVP1 core</w:t>
            </w:r>
          </w:p>
        </w:tc>
        <w:tc>
          <w:tcPr>
            <w:tcW w:type="dxa" w:w="2541"/>
            <w:tcMar>
              <w:top w:w="90" w:type="dxa"/>
              <w:left w:w="90" w:type="dxa"/>
              <w:bottom w:w="90" w:type="dxa"/>
              <w:right w:w="90" w:type="dxa"/>
            </w:tcMar>
          </w:tcPr>
          <w:p>
            <w:r>
              <w:rPr>
                <w:sz w:val="17"/>
              </w:rPr>
              <w:t>transactionClearance, adminDashboard</w:t>
            </w:r>
          </w:p>
        </w:tc>
      </w:tr>
      <w:tr>
        <w:tc>
          <w:tcPr>
            <w:tcW w:type="dxa" w:w="2541"/>
            <w:tcMar>
              <w:top w:w="90" w:type="dxa"/>
              <w:left w:w="90" w:type="dxa"/>
              <w:bottom w:w="90" w:type="dxa"/>
              <w:right w:w="90" w:type="dxa"/>
            </w:tcMar>
          </w:tcPr>
          <w:p>
            <w:r>
              <w:rPr>
                <w:sz w:val="17"/>
              </w:rPr>
              <w:t>R6</w:t>
            </w:r>
          </w:p>
        </w:tc>
        <w:tc>
          <w:tcPr>
            <w:tcW w:type="dxa" w:w="2541"/>
            <w:tcMar>
              <w:top w:w="90" w:type="dxa"/>
              <w:left w:w="90" w:type="dxa"/>
              <w:bottom w:w="90" w:type="dxa"/>
              <w:right w:w="90" w:type="dxa"/>
            </w:tcMar>
          </w:tcPr>
          <w:p>
            <w:r>
              <w:rPr>
                <w:sz w:val="17"/>
              </w:rPr>
              <w:t>Transaction declaration layer</w:t>
            </w:r>
          </w:p>
        </w:tc>
        <w:tc>
          <w:tcPr>
            <w:tcW w:type="dxa" w:w="2541"/>
            <w:tcMar>
              <w:top w:w="90" w:type="dxa"/>
              <w:left w:w="90" w:type="dxa"/>
              <w:bottom w:w="90" w:type="dxa"/>
              <w:right w:w="90" w:type="dxa"/>
            </w:tcMar>
          </w:tcPr>
          <w:p>
            <w:r>
              <w:rPr>
                <w:sz w:val="17"/>
              </w:rPr>
              <w:t>MVP1 core</w:t>
            </w:r>
          </w:p>
        </w:tc>
        <w:tc>
          <w:tcPr>
            <w:tcW w:type="dxa" w:w="2541"/>
            <w:tcMar>
              <w:top w:w="90" w:type="dxa"/>
              <w:left w:w="90" w:type="dxa"/>
              <w:bottom w:w="90" w:type="dxa"/>
              <w:right w:w="90" w:type="dxa"/>
            </w:tcMar>
          </w:tcPr>
          <w:p>
            <w:r>
              <w:rPr>
                <w:sz w:val="17"/>
              </w:rPr>
              <w:t>transactionLayer, ledger, reports</w:t>
            </w:r>
          </w:p>
        </w:tc>
      </w:tr>
      <w:tr>
        <w:tc>
          <w:tcPr>
            <w:tcW w:type="dxa" w:w="2541"/>
            <w:tcMar>
              <w:top w:w="90" w:type="dxa"/>
              <w:left w:w="90" w:type="dxa"/>
              <w:bottom w:w="90" w:type="dxa"/>
              <w:right w:w="90" w:type="dxa"/>
            </w:tcMar>
          </w:tcPr>
          <w:p>
            <w:r>
              <w:rPr>
                <w:sz w:val="17"/>
              </w:rPr>
              <w:t>R7</w:t>
            </w:r>
          </w:p>
        </w:tc>
        <w:tc>
          <w:tcPr>
            <w:tcW w:type="dxa" w:w="2541"/>
            <w:tcMar>
              <w:top w:w="90" w:type="dxa"/>
              <w:left w:w="90" w:type="dxa"/>
              <w:bottom w:w="90" w:type="dxa"/>
              <w:right w:w="90" w:type="dxa"/>
            </w:tcMar>
          </w:tcPr>
          <w:p>
            <w:r>
              <w:rPr>
                <w:sz w:val="17"/>
              </w:rPr>
              <w:t>Revenue operations</w:t>
            </w:r>
          </w:p>
        </w:tc>
        <w:tc>
          <w:tcPr>
            <w:tcW w:type="dxa" w:w="2541"/>
            <w:tcMar>
              <w:top w:w="90" w:type="dxa"/>
              <w:left w:w="90" w:type="dxa"/>
              <w:bottom w:w="90" w:type="dxa"/>
              <w:right w:w="90" w:type="dxa"/>
            </w:tcMar>
          </w:tcPr>
          <w:p>
            <w:r>
              <w:rPr>
                <w:sz w:val="17"/>
              </w:rPr>
              <w:t>MVP1 core</w:t>
            </w:r>
          </w:p>
        </w:tc>
        <w:tc>
          <w:tcPr>
            <w:tcW w:type="dxa" w:w="2541"/>
            <w:tcMar>
              <w:top w:w="90" w:type="dxa"/>
              <w:left w:w="90" w:type="dxa"/>
              <w:bottom w:w="90" w:type="dxa"/>
              <w:right w:w="90" w:type="dxa"/>
            </w:tcMar>
          </w:tcPr>
          <w:p>
            <w:r>
              <w:rPr>
                <w:sz w:val="17"/>
              </w:rPr>
              <w:t>billingRevenue, sellerPlans</w:t>
            </w:r>
          </w:p>
        </w:tc>
      </w:tr>
      <w:tr>
        <w:tc>
          <w:tcPr>
            <w:tcW w:type="dxa" w:w="2541"/>
            <w:tcMar>
              <w:top w:w="90" w:type="dxa"/>
              <w:left w:w="90" w:type="dxa"/>
              <w:bottom w:w="90" w:type="dxa"/>
              <w:right w:w="90" w:type="dxa"/>
            </w:tcMar>
          </w:tcPr>
          <w:p>
            <w:r>
              <w:rPr>
                <w:sz w:val="17"/>
              </w:rPr>
              <w:t>R8</w:t>
            </w:r>
          </w:p>
        </w:tc>
        <w:tc>
          <w:tcPr>
            <w:tcW w:type="dxa" w:w="2541"/>
            <w:tcMar>
              <w:top w:w="90" w:type="dxa"/>
              <w:left w:w="90" w:type="dxa"/>
              <w:bottom w:w="90" w:type="dxa"/>
              <w:right w:w="90" w:type="dxa"/>
            </w:tcMar>
          </w:tcPr>
          <w:p>
            <w:r>
              <w:rPr>
                <w:sz w:val="17"/>
              </w:rPr>
              <w:t>Distribution SaaS</w:t>
            </w:r>
          </w:p>
        </w:tc>
        <w:tc>
          <w:tcPr>
            <w:tcW w:type="dxa" w:w="2541"/>
            <w:tcMar>
              <w:top w:w="90" w:type="dxa"/>
              <w:left w:w="90" w:type="dxa"/>
              <w:bottom w:w="90" w:type="dxa"/>
              <w:right w:w="90" w:type="dxa"/>
            </w:tcMar>
          </w:tcPr>
          <w:p>
            <w:r>
              <w:rPr>
                <w:sz w:val="17"/>
              </w:rPr>
              <w:t>MVP1 beta</w:t>
            </w:r>
          </w:p>
        </w:tc>
        <w:tc>
          <w:tcPr>
            <w:tcW w:type="dxa" w:w="2541"/>
            <w:tcMar>
              <w:top w:w="90" w:type="dxa"/>
              <w:left w:w="90" w:type="dxa"/>
              <w:bottom w:w="90" w:type="dxa"/>
              <w:right w:w="90" w:type="dxa"/>
            </w:tcMar>
          </w:tcPr>
          <w:p>
            <w:r>
              <w:rPr>
                <w:sz w:val="17"/>
              </w:rPr>
              <w:t>distributionSaas, distributionPartner</w:t>
            </w:r>
          </w:p>
        </w:tc>
      </w:tr>
      <w:tr>
        <w:tc>
          <w:tcPr>
            <w:tcW w:type="dxa" w:w="2541"/>
            <w:tcMar>
              <w:top w:w="90" w:type="dxa"/>
              <w:left w:w="90" w:type="dxa"/>
              <w:bottom w:w="90" w:type="dxa"/>
              <w:right w:w="90" w:type="dxa"/>
            </w:tcMar>
          </w:tcPr>
          <w:p>
            <w:r>
              <w:rPr>
                <w:sz w:val="17"/>
              </w:rPr>
              <w:t>R9</w:t>
            </w:r>
          </w:p>
        </w:tc>
        <w:tc>
          <w:tcPr>
            <w:tcW w:type="dxa" w:w="2541"/>
            <w:tcMar>
              <w:top w:w="90" w:type="dxa"/>
              <w:left w:w="90" w:type="dxa"/>
              <w:bottom w:w="90" w:type="dxa"/>
              <w:right w:w="90" w:type="dxa"/>
            </w:tcMar>
          </w:tcPr>
          <w:p>
            <w:r>
              <w:rPr>
                <w:sz w:val="17"/>
              </w:rPr>
              <w:t>AI concierge governance</w:t>
            </w:r>
          </w:p>
        </w:tc>
        <w:tc>
          <w:tcPr>
            <w:tcW w:type="dxa" w:w="2541"/>
            <w:tcMar>
              <w:top w:w="90" w:type="dxa"/>
              <w:left w:w="90" w:type="dxa"/>
              <w:bottom w:w="90" w:type="dxa"/>
              <w:right w:w="90" w:type="dxa"/>
            </w:tcMar>
          </w:tcPr>
          <w:p>
            <w:r>
              <w:rPr>
                <w:sz w:val="17"/>
              </w:rPr>
              <w:t>MVP1 beta</w:t>
            </w:r>
          </w:p>
        </w:tc>
        <w:tc>
          <w:tcPr>
            <w:tcW w:type="dxa" w:w="2541"/>
            <w:tcMar>
              <w:top w:w="90" w:type="dxa"/>
              <w:left w:w="90" w:type="dxa"/>
              <w:bottom w:w="90" w:type="dxa"/>
              <w:right w:w="90" w:type="dxa"/>
            </w:tcMar>
          </w:tcPr>
          <w:p>
            <w:r>
              <w:rPr>
                <w:sz w:val="17"/>
              </w:rPr>
              <w:t>aiOps, conciergeDesk</w:t>
            </w:r>
          </w:p>
        </w:tc>
      </w:tr>
      <w:tr>
        <w:tc>
          <w:tcPr>
            <w:tcW w:type="dxa" w:w="2541"/>
            <w:tcMar>
              <w:top w:w="90" w:type="dxa"/>
              <w:left w:w="90" w:type="dxa"/>
              <w:bottom w:w="90" w:type="dxa"/>
              <w:right w:w="90" w:type="dxa"/>
            </w:tcMar>
          </w:tcPr>
          <w:p>
            <w:r>
              <w:rPr>
                <w:sz w:val="17"/>
              </w:rPr>
              <w:t>R10</w:t>
            </w:r>
          </w:p>
        </w:tc>
        <w:tc>
          <w:tcPr>
            <w:tcW w:type="dxa" w:w="2541"/>
            <w:tcMar>
              <w:top w:w="90" w:type="dxa"/>
              <w:left w:w="90" w:type="dxa"/>
              <w:bottom w:w="90" w:type="dxa"/>
              <w:right w:w="90" w:type="dxa"/>
            </w:tcMar>
          </w:tcPr>
          <w:p>
            <w:r>
              <w:rPr>
                <w:sz w:val="17"/>
              </w:rPr>
              <w:t>Rails and chain architecture</w:t>
            </w:r>
          </w:p>
        </w:tc>
        <w:tc>
          <w:tcPr>
            <w:tcW w:type="dxa" w:w="2541"/>
            <w:tcMar>
              <w:top w:w="90" w:type="dxa"/>
              <w:left w:w="90" w:type="dxa"/>
              <w:bottom w:w="90" w:type="dxa"/>
              <w:right w:w="90" w:type="dxa"/>
            </w:tcMar>
          </w:tcPr>
          <w:p>
            <w:r>
              <w:rPr>
                <w:sz w:val="17"/>
              </w:rPr>
              <w:t>MVP1 beta</w:t>
            </w:r>
          </w:p>
        </w:tc>
        <w:tc>
          <w:tcPr>
            <w:tcW w:type="dxa" w:w="2541"/>
            <w:tcMar>
              <w:top w:w="90" w:type="dxa"/>
              <w:left w:w="90" w:type="dxa"/>
              <w:bottom w:w="90" w:type="dxa"/>
              <w:right w:w="90" w:type="dxa"/>
            </w:tcMar>
          </w:tcPr>
          <w:p>
            <w:r>
              <w:rPr>
                <w:sz w:val="17"/>
              </w:rPr>
              <w:t>railPartner, riskEngine, ledger</w:t>
            </w:r>
          </w:p>
        </w:tc>
      </w:tr>
      <w:tr>
        <w:tc>
          <w:tcPr>
            <w:tcW w:type="dxa" w:w="2541"/>
            <w:tcMar>
              <w:top w:w="90" w:type="dxa"/>
              <w:left w:w="90" w:type="dxa"/>
              <w:bottom w:w="90" w:type="dxa"/>
              <w:right w:w="90" w:type="dxa"/>
            </w:tcMar>
          </w:tcPr>
          <w:p>
            <w:r>
              <w:rPr>
                <w:sz w:val="17"/>
              </w:rPr>
              <w:t>R11</w:t>
            </w:r>
          </w:p>
        </w:tc>
        <w:tc>
          <w:tcPr>
            <w:tcW w:type="dxa" w:w="2541"/>
            <w:tcMar>
              <w:top w:w="90" w:type="dxa"/>
              <w:left w:w="90" w:type="dxa"/>
              <w:bottom w:w="90" w:type="dxa"/>
              <w:right w:w="90" w:type="dxa"/>
            </w:tcMar>
          </w:tcPr>
          <w:p>
            <w:r>
              <w:rPr>
                <w:sz w:val="17"/>
              </w:rPr>
              <w:t>Asset technical sheet</w:t>
            </w:r>
          </w:p>
        </w:tc>
        <w:tc>
          <w:tcPr>
            <w:tcW w:type="dxa" w:w="2541"/>
            <w:tcMar>
              <w:top w:w="90" w:type="dxa"/>
              <w:left w:w="90" w:type="dxa"/>
              <w:bottom w:w="90" w:type="dxa"/>
              <w:right w:w="90" w:type="dxa"/>
            </w:tcMar>
          </w:tcPr>
          <w:p>
            <w:r>
              <w:rPr>
                <w:sz w:val="17"/>
              </w:rPr>
              <w:t>MVP1 core</w:t>
            </w:r>
          </w:p>
        </w:tc>
        <w:tc>
          <w:tcPr>
            <w:tcW w:type="dxa" w:w="2541"/>
            <w:tcMar>
              <w:top w:w="90" w:type="dxa"/>
              <w:left w:w="90" w:type="dxa"/>
              <w:bottom w:w="90" w:type="dxa"/>
              <w:right w:w="90" w:type="dxa"/>
            </w:tcMar>
          </w:tcPr>
          <w:p>
            <w:r>
              <w:rPr>
                <w:sz w:val="17"/>
              </w:rPr>
              <w:t>assetFactSheet</w:t>
            </w:r>
          </w:p>
        </w:tc>
      </w:tr>
      <w:tr>
        <w:tc>
          <w:tcPr>
            <w:tcW w:type="dxa" w:w="2541"/>
            <w:tcMar>
              <w:top w:w="90" w:type="dxa"/>
              <w:left w:w="90" w:type="dxa"/>
              <w:bottom w:w="90" w:type="dxa"/>
              <w:right w:w="90" w:type="dxa"/>
            </w:tcMar>
          </w:tcPr>
          <w:p>
            <w:r>
              <w:rPr>
                <w:sz w:val="17"/>
              </w:rPr>
              <w:t>R12</w:t>
            </w:r>
          </w:p>
        </w:tc>
        <w:tc>
          <w:tcPr>
            <w:tcW w:type="dxa" w:w="2541"/>
            <w:tcMar>
              <w:top w:w="90" w:type="dxa"/>
              <w:left w:w="90" w:type="dxa"/>
              <w:bottom w:w="90" w:type="dxa"/>
              <w:right w:w="90" w:type="dxa"/>
            </w:tcMar>
          </w:tcPr>
          <w:p>
            <w:r>
              <w:rPr>
                <w:sz w:val="17"/>
              </w:rPr>
              <w:t>Builder ecosystem</w:t>
            </w:r>
          </w:p>
        </w:tc>
        <w:tc>
          <w:tcPr>
            <w:tcW w:type="dxa" w:w="2541"/>
            <w:tcMar>
              <w:top w:w="90" w:type="dxa"/>
              <w:left w:w="90" w:type="dxa"/>
              <w:bottom w:w="90" w:type="dxa"/>
              <w:right w:w="90" w:type="dxa"/>
            </w:tcMar>
          </w:tcPr>
          <w:p>
            <w:r>
              <w:rPr>
                <w:sz w:val="17"/>
              </w:rPr>
              <w:t>Phase two</w:t>
            </w:r>
          </w:p>
        </w:tc>
        <w:tc>
          <w:tcPr>
            <w:tcW w:type="dxa" w:w="2541"/>
            <w:tcMar>
              <w:top w:w="90" w:type="dxa"/>
              <w:left w:w="90" w:type="dxa"/>
              <w:bottom w:w="90" w:type="dxa"/>
              <w:right w:w="90" w:type="dxa"/>
            </w:tcMar>
          </w:tcPr>
          <w:p>
            <w:r>
              <w:rPr>
                <w:sz w:val="17"/>
              </w:rPr>
              <w:t>ecosystemBuilder</w:t>
            </w:r>
          </w:p>
        </w:tc>
      </w:tr>
    </w:tbl>
    <w:p>
      <w:pPr>
        <w:pStyle w:val="Heading1"/>
      </w:pPr>
      <w:r>
        <w:t>Requirement Details</w:t>
      </w:r>
    </w:p>
    <w:p>
      <w:pPr>
        <w:spacing w:after="100"/>
      </w:pPr>
      <w:r>
        <w:rPr>
          <w:b/>
        </w:rPr>
        <w:t xml:space="preserve">R1 Public asset discovery: </w:t>
      </w:r>
      <w:r>
        <w:t>Marketplace, official distribution channels, asset fact sheet and clear risk labels must be visible before account creation. Scope: MVP1 core. Screens: market, assetFactSheet, distributionSaas.</w:t>
      </w:r>
    </w:p>
    <w:p>
      <w:pPr>
        <w:spacing w:after="100"/>
      </w:pPr>
      <w:r>
        <w:rPr>
          <w:b/>
        </w:rPr>
        <w:t xml:space="preserve">R2 Buyer account and eligibility: </w:t>
      </w:r>
      <w:r>
        <w:t>Retail and institutional buyers need private profile, wallets, KYC/KYB, suitability, jurisdiction and transaction history. Scope: MVP1 core. Screens: retailPortal, investorGate, institutionalPortal.</w:t>
      </w:r>
    </w:p>
    <w:p>
      <w:pPr>
        <w:spacing w:after="100"/>
      </w:pPr>
      <w:r>
        <w:rPr>
          <w:b/>
        </w:rPr>
        <w:t xml:space="preserve">R3 Seller onboarding: </w:t>
      </w:r>
      <w:r>
        <w:t>Banks, originators and approved sellers need entity profile, KYB, signers, plan, asset factory and distribution controls. Scope: MVP1 core. Screens: sellerOrgAdmin, bankOps, assetFactory.</w:t>
      </w:r>
    </w:p>
    <w:p>
      <w:pPr>
        <w:spacing w:after="100"/>
      </w:pPr>
      <w:r>
        <w:rPr>
          <w:b/>
        </w:rPr>
        <w:t xml:space="preserve">R4 Validator gate: </w:t>
      </w:r>
      <w:r>
        <w:t>Assets cannot go live without evidence review, validator status and admin publication control. Scope: MVP1 core. Screens: validatorDesk, documentReview, complianceCases.</w:t>
      </w:r>
    </w:p>
    <w:p>
      <w:pPr>
        <w:spacing w:after="100"/>
      </w:pPr>
      <w:r>
        <w:rPr>
          <w:b/>
        </w:rPr>
        <w:t xml:space="preserve">R5 Admin transaction clearance: </w:t>
      </w:r>
      <w:r>
        <w:t>Sensitive transactions can enter standby; seller pre-check helps prepare evidence, but central admin controls platform release in MVP1. Scope: MVP1 core. Screens: transactionClearance, adminDashboard.</w:t>
      </w:r>
    </w:p>
    <w:p>
      <w:pPr>
        <w:spacing w:after="100"/>
      </w:pPr>
      <w:r>
        <w:rPr>
          <w:b/>
        </w:rPr>
        <w:t xml:space="preserve">R6 Transaction declaration layer: </w:t>
      </w:r>
      <w:r>
        <w:t>The platform needs private actor ledgers and a public sanitized explorer for activity, proof hashes and chain route status. Scope: MVP1 core. Screens: transactionLayer, ledger, reports.</w:t>
      </w:r>
    </w:p>
    <w:p>
      <w:pPr>
        <w:spacing w:after="100"/>
      </w:pPr>
      <w:r>
        <w:rPr>
          <w:b/>
        </w:rPr>
        <w:t xml:space="preserve">R7 Revenue operations: </w:t>
      </w:r>
      <w:r>
        <w:t>SaaS, setup, servicing, transaction fees, invoices, card/crypto payment and collection status must be visible to prove business model. Scope: MVP1 core. Screens: billingRevenue, sellerPlans.</w:t>
      </w:r>
    </w:p>
    <w:p>
      <w:pPr>
        <w:spacing w:after="100"/>
      </w:pPr>
      <w:r>
        <w:rPr>
          <w:b/>
        </w:rPr>
        <w:t xml:space="preserve">R8 Distribution SaaS: </w:t>
      </w:r>
      <w:r>
        <w:t>Enterprise clients need channel map, conversion analytics, external transaction leakage, incentives and partner performance. Scope: MVP1 beta. Screens: distributionSaas, distributionPartner.</w:t>
      </w:r>
    </w:p>
    <w:p>
      <w:pPr>
        <w:spacing w:after="100"/>
      </w:pPr>
      <w:r>
        <w:rPr>
          <w:b/>
        </w:rPr>
        <w:t xml:space="preserve">R9 AI concierge governance: </w:t>
      </w:r>
      <w:r>
        <w:t>AI requests must capture prompt chain, allowed data scope, human QA, delivery log and customer request history. Scope: MVP1 beta. Screens: aiOps, conciergeDesk.</w:t>
      </w:r>
    </w:p>
    <w:p>
      <w:pPr>
        <w:spacing w:after="100"/>
      </w:pPr>
      <w:r>
        <w:rPr>
          <w:b/>
        </w:rPr>
        <w:t xml:space="preserve">R10 Rails and chain architecture: </w:t>
      </w:r>
      <w:r>
        <w:t>Ethereum plus Base should be documented as the initial EVM-aligned architecture, with partner rails for custody, payment and reconciliation. Scope: MVP1 beta. Screens: railPartner, riskEngine, ledger.</w:t>
      </w:r>
    </w:p>
    <w:p>
      <w:pPr>
        <w:spacing w:after="100"/>
      </w:pPr>
      <w:r>
        <w:rPr>
          <w:b/>
        </w:rPr>
        <w:t xml:space="preserve">R11 Asset technical sheet: </w:t>
      </w:r>
      <w:r>
        <w:t>Each tokenized asset needs responsible entities, tokenization history, collateral, documents, performance and liquidity behavior. Scope: MVP1 core. Screens: assetFactSheet.</w:t>
      </w:r>
    </w:p>
    <w:p>
      <w:pPr>
        <w:spacing w:after="100"/>
      </w:pPr>
      <w:r>
        <w:rPr>
          <w:b/>
        </w:rPr>
        <w:t xml:space="preserve">R12 Builder ecosystem: </w:t>
      </w:r>
      <w:r>
        <w:t>dApps, plugins and extensions should exist as a future expansion layer after marketplace and distribution rail proof. Scope: Phase two. Screens: ecosystemBuilder.</w:t>
      </w:r>
    </w:p>
    <w:p>
      <w:pPr>
        <w:pStyle w:val="Heading1"/>
      </w:pPr>
      <w:r>
        <w:t>Data Flow Diagrams</w:t>
      </w:r>
    </w:p>
    <w:p>
      <w:pPr>
        <w:pStyle w:val="Heading2"/>
      </w:pPr>
      <w:r>
        <w:t>DFD 00 - Requirements Traceability Map</w:t>
      </w:r>
    </w:p>
    <w:p>
      <w:r>
        <w:t>How current product requirements connect to screens, data stores and operating controls.</w:t>
      </w:r>
    </w:p>
    <w:p>
      <w:r>
        <w:drawing>
          <wp:inline xmlns:a="http://schemas.openxmlformats.org/drawingml/2006/main" xmlns:pic="http://schemas.openxmlformats.org/drawingml/2006/picture">
            <wp:extent cx="6172200" cy="4011930"/>
            <wp:docPr id="1" name="Picture 1"/>
            <wp:cNvGraphicFramePr>
              <a:graphicFrameLocks noChangeAspect="1"/>
            </wp:cNvGraphicFramePr>
            <a:graphic>
              <a:graphicData uri="http://schemas.openxmlformats.org/drawingml/2006/picture">
                <pic:pic>
                  <pic:nvPicPr>
                    <pic:cNvPr id="0" name="dfd_v47_00_requirements_traceability.png"/>
                    <pic:cNvPicPr/>
                  </pic:nvPicPr>
                  <pic:blipFill>
                    <a:blip r:embed="rId9"/>
                    <a:stretch>
                      <a:fillRect/>
                    </a:stretch>
                  </pic:blipFill>
                  <pic:spPr>
                    <a:xfrm>
                      <a:off x="0" y="0"/>
                      <a:ext cx="6172200" cy="4011930"/>
                    </a:xfrm>
                    <a:prstGeom prst="rect"/>
                  </pic:spPr>
                </pic:pic>
              </a:graphicData>
            </a:graphic>
          </wp:inline>
        </w:drawing>
      </w:r>
    </w:p>
    <w:p/>
    <w:p>
      <w:r>
        <w:br w:type="page"/>
      </w:r>
    </w:p>
    <w:p>
      <w:pPr>
        <w:pStyle w:val="Heading2"/>
      </w:pPr>
      <w:r>
        <w:t>DFD 01 - Platform Context</w:t>
      </w:r>
    </w:p>
    <w:p>
      <w:r>
        <w:t>GlemO as a neutral liquidity and distribution rail for tokenized real world assets.</w:t>
      </w:r>
    </w:p>
    <w:p>
      <w:r>
        <w:drawing>
          <wp:inline xmlns:a="http://schemas.openxmlformats.org/drawingml/2006/main" xmlns:pic="http://schemas.openxmlformats.org/drawingml/2006/picture">
            <wp:extent cx="6172200" cy="4011930"/>
            <wp:docPr id="2" name="Picture 2"/>
            <wp:cNvGraphicFramePr>
              <a:graphicFrameLocks noChangeAspect="1"/>
            </wp:cNvGraphicFramePr>
            <a:graphic>
              <a:graphicData uri="http://schemas.openxmlformats.org/drawingml/2006/picture">
                <pic:pic>
                  <pic:nvPicPr>
                    <pic:cNvPr id="0" name="dfd_v47_01_platform_context.png"/>
                    <pic:cNvPicPr/>
                  </pic:nvPicPr>
                  <pic:blipFill>
                    <a:blip r:embed="rId10"/>
                    <a:stretch>
                      <a:fillRect/>
                    </a:stretch>
                  </pic:blipFill>
                  <pic:spPr>
                    <a:xfrm>
                      <a:off x="0" y="0"/>
                      <a:ext cx="6172200" cy="4011930"/>
                    </a:xfrm>
                    <a:prstGeom prst="rect"/>
                  </pic:spPr>
                </pic:pic>
              </a:graphicData>
            </a:graphic>
          </wp:inline>
        </w:drawing>
      </w:r>
    </w:p>
    <w:p/>
    <w:p>
      <w:r>
        <w:br w:type="page"/>
      </w:r>
    </w:p>
    <w:p>
      <w:pPr>
        <w:pStyle w:val="Heading2"/>
      </w:pPr>
      <w:r>
        <w:t>DFD 02 - Buyer Onboarding and Eligibility</w:t>
      </w:r>
    </w:p>
    <w:p>
      <w:r>
        <w:t>Retail and institutional buyers move from public discovery to qualified allocation.</w:t>
      </w:r>
    </w:p>
    <w:p>
      <w:r>
        <w:drawing>
          <wp:inline xmlns:a="http://schemas.openxmlformats.org/drawingml/2006/main" xmlns:pic="http://schemas.openxmlformats.org/drawingml/2006/picture">
            <wp:extent cx="6172200" cy="4011930"/>
            <wp:docPr id="3" name="Picture 3"/>
            <wp:cNvGraphicFramePr>
              <a:graphicFrameLocks noChangeAspect="1"/>
            </wp:cNvGraphicFramePr>
            <a:graphic>
              <a:graphicData uri="http://schemas.openxmlformats.org/drawingml/2006/picture">
                <pic:pic>
                  <pic:nvPicPr>
                    <pic:cNvPr id="0" name="dfd_v47_02_buyer_onboarding.png"/>
                    <pic:cNvPicPr/>
                  </pic:nvPicPr>
                  <pic:blipFill>
                    <a:blip r:embed="rId11"/>
                    <a:stretch>
                      <a:fillRect/>
                    </a:stretch>
                  </pic:blipFill>
                  <pic:spPr>
                    <a:xfrm>
                      <a:off x="0" y="0"/>
                      <a:ext cx="6172200" cy="4011930"/>
                    </a:xfrm>
                    <a:prstGeom prst="rect"/>
                  </pic:spPr>
                </pic:pic>
              </a:graphicData>
            </a:graphic>
          </wp:inline>
        </w:drawing>
      </w:r>
    </w:p>
    <w:p/>
    <w:p>
      <w:r>
        <w:br w:type="page"/>
      </w:r>
    </w:p>
    <w:p>
      <w:pPr>
        <w:pStyle w:val="Heading2"/>
      </w:pPr>
      <w:r>
        <w:t>DFD 03 - Originator and Asset Factory</w:t>
      </w:r>
    </w:p>
    <w:p>
      <w:r>
        <w:t>Approved sellers create tokenized pools or standalone assets with evidence and rules.</w:t>
      </w:r>
    </w:p>
    <w:p>
      <w:r>
        <w:drawing>
          <wp:inline xmlns:a="http://schemas.openxmlformats.org/drawingml/2006/main" xmlns:pic="http://schemas.openxmlformats.org/drawingml/2006/picture">
            <wp:extent cx="6172200" cy="4011930"/>
            <wp:docPr id="4" name="Picture 4"/>
            <wp:cNvGraphicFramePr>
              <a:graphicFrameLocks noChangeAspect="1"/>
            </wp:cNvGraphicFramePr>
            <a:graphic>
              <a:graphicData uri="http://schemas.openxmlformats.org/drawingml/2006/picture">
                <pic:pic>
                  <pic:nvPicPr>
                    <pic:cNvPr id="0" name="dfd_v47_03_originator_asset_factory.png"/>
                    <pic:cNvPicPr/>
                  </pic:nvPicPr>
                  <pic:blipFill>
                    <a:blip r:embed="rId12"/>
                    <a:stretch>
                      <a:fillRect/>
                    </a:stretch>
                  </pic:blipFill>
                  <pic:spPr>
                    <a:xfrm>
                      <a:off x="0" y="0"/>
                      <a:ext cx="6172200" cy="4011930"/>
                    </a:xfrm>
                    <a:prstGeom prst="rect"/>
                  </pic:spPr>
                </pic:pic>
              </a:graphicData>
            </a:graphic>
          </wp:inline>
        </w:drawing>
      </w:r>
    </w:p>
    <w:p/>
    <w:p>
      <w:r>
        <w:br w:type="page"/>
      </w:r>
    </w:p>
    <w:p>
      <w:pPr>
        <w:pStyle w:val="Heading2"/>
      </w:pPr>
      <w:r>
        <w:t>DFD 04 - Validator and Admin Control Gate</w:t>
      </w:r>
    </w:p>
    <w:p>
      <w:r>
        <w:t>Publication and sensitive transactions remain controlled in MVP1.</w:t>
      </w:r>
    </w:p>
    <w:p>
      <w:r>
        <w:drawing>
          <wp:inline xmlns:a="http://schemas.openxmlformats.org/drawingml/2006/main" xmlns:pic="http://schemas.openxmlformats.org/drawingml/2006/picture">
            <wp:extent cx="6172200" cy="4011930"/>
            <wp:docPr id="5" name="Picture 5"/>
            <wp:cNvGraphicFramePr>
              <a:graphicFrameLocks noChangeAspect="1"/>
            </wp:cNvGraphicFramePr>
            <a:graphic>
              <a:graphicData uri="http://schemas.openxmlformats.org/drawingml/2006/picture">
                <pic:pic>
                  <pic:nvPicPr>
                    <pic:cNvPr id="0" name="dfd_v47_04_validator_admin_gate.png"/>
                    <pic:cNvPicPr/>
                  </pic:nvPicPr>
                  <pic:blipFill>
                    <a:blip r:embed="rId13"/>
                    <a:stretch>
                      <a:fillRect/>
                    </a:stretch>
                  </pic:blipFill>
                  <pic:spPr>
                    <a:xfrm>
                      <a:off x="0" y="0"/>
                      <a:ext cx="6172200" cy="4011930"/>
                    </a:xfrm>
                    <a:prstGeom prst="rect"/>
                  </pic:spPr>
                </pic:pic>
              </a:graphicData>
            </a:graphic>
          </wp:inline>
        </w:drawing>
      </w:r>
    </w:p>
    <w:p/>
    <w:p>
      <w:r>
        <w:br w:type="page"/>
      </w:r>
    </w:p>
    <w:p>
      <w:pPr>
        <w:pStyle w:val="Heading2"/>
      </w:pPr>
      <w:r>
        <w:t>DFD 05 - Transaction Layer and Public Proof</w:t>
      </w:r>
    </w:p>
    <w:p>
      <w:r>
        <w:t>Private ledgers hold full details while public explorer declares sanitized platform activity.</w:t>
      </w:r>
    </w:p>
    <w:p>
      <w:r>
        <w:drawing>
          <wp:inline xmlns:a="http://schemas.openxmlformats.org/drawingml/2006/main" xmlns:pic="http://schemas.openxmlformats.org/drawingml/2006/picture">
            <wp:extent cx="6172200" cy="4011930"/>
            <wp:docPr id="6" name="Picture 6"/>
            <wp:cNvGraphicFramePr>
              <a:graphicFrameLocks noChangeAspect="1"/>
            </wp:cNvGraphicFramePr>
            <a:graphic>
              <a:graphicData uri="http://schemas.openxmlformats.org/drawingml/2006/picture">
                <pic:pic>
                  <pic:nvPicPr>
                    <pic:cNvPr id="0" name="dfd_v47_05_transaction_layer.png"/>
                    <pic:cNvPicPr/>
                  </pic:nvPicPr>
                  <pic:blipFill>
                    <a:blip r:embed="rId14"/>
                    <a:stretch>
                      <a:fillRect/>
                    </a:stretch>
                  </pic:blipFill>
                  <pic:spPr>
                    <a:xfrm>
                      <a:off x="0" y="0"/>
                      <a:ext cx="6172200" cy="4011930"/>
                    </a:xfrm>
                    <a:prstGeom prst="rect"/>
                  </pic:spPr>
                </pic:pic>
              </a:graphicData>
            </a:graphic>
          </wp:inline>
        </w:drawing>
      </w:r>
    </w:p>
    <w:p/>
    <w:p>
      <w:r>
        <w:br w:type="page"/>
      </w:r>
    </w:p>
    <w:p>
      <w:pPr>
        <w:pStyle w:val="Heading2"/>
      </w:pPr>
      <w:r>
        <w:t>DFD 06 - Distribution SaaS and Revenue</w:t>
      </w:r>
    </w:p>
    <w:p>
      <w:r>
        <w:t>Transparency for users becomes paid intelligence for banks and asset sponsors.</w:t>
      </w:r>
    </w:p>
    <w:p>
      <w:r>
        <w:drawing>
          <wp:inline xmlns:a="http://schemas.openxmlformats.org/drawingml/2006/main" xmlns:pic="http://schemas.openxmlformats.org/drawingml/2006/picture">
            <wp:extent cx="6172200" cy="4011930"/>
            <wp:docPr id="7" name="Picture 7"/>
            <wp:cNvGraphicFramePr>
              <a:graphicFrameLocks noChangeAspect="1"/>
            </wp:cNvGraphicFramePr>
            <a:graphic>
              <a:graphicData uri="http://schemas.openxmlformats.org/drawingml/2006/picture">
                <pic:pic>
                  <pic:nvPicPr>
                    <pic:cNvPr id="0" name="dfd_v47_06_distribution_saas.png"/>
                    <pic:cNvPicPr/>
                  </pic:nvPicPr>
                  <pic:blipFill>
                    <a:blip r:embed="rId15"/>
                    <a:stretch>
                      <a:fillRect/>
                    </a:stretch>
                  </pic:blipFill>
                  <pic:spPr>
                    <a:xfrm>
                      <a:off x="0" y="0"/>
                      <a:ext cx="6172200" cy="4011930"/>
                    </a:xfrm>
                    <a:prstGeom prst="rect"/>
                  </pic:spPr>
                </pic:pic>
              </a:graphicData>
            </a:graphic>
          </wp:inline>
        </w:drawing>
      </w:r>
    </w:p>
    <w:p/>
    <w:p>
      <w:r>
        <w:br w:type="page"/>
      </w:r>
    </w:p>
    <w:p>
      <w:pPr>
        <w:pStyle w:val="Heading2"/>
      </w:pPr>
      <w:r>
        <w:t>DFD 07 - AI Agents and Concierge</w:t>
      </w:r>
    </w:p>
    <w:p>
      <w:r>
        <w:t>Enterprise requests become controlled prompts, reviewed reports and auditable outputs.</w:t>
      </w:r>
    </w:p>
    <w:p>
      <w:r>
        <w:drawing>
          <wp:inline xmlns:a="http://schemas.openxmlformats.org/drawingml/2006/main" xmlns:pic="http://schemas.openxmlformats.org/drawingml/2006/picture">
            <wp:extent cx="6172200" cy="4011930"/>
            <wp:docPr id="8" name="Picture 8"/>
            <wp:cNvGraphicFramePr>
              <a:graphicFrameLocks noChangeAspect="1"/>
            </wp:cNvGraphicFramePr>
            <a:graphic>
              <a:graphicData uri="http://schemas.openxmlformats.org/drawingml/2006/picture">
                <pic:pic>
                  <pic:nvPicPr>
                    <pic:cNvPr id="0" name="dfd_v47_07_ai_concierge.png"/>
                    <pic:cNvPicPr/>
                  </pic:nvPicPr>
                  <pic:blipFill>
                    <a:blip r:embed="rId16"/>
                    <a:stretch>
                      <a:fillRect/>
                    </a:stretch>
                  </pic:blipFill>
                  <pic:spPr>
                    <a:xfrm>
                      <a:off x="0" y="0"/>
                      <a:ext cx="6172200" cy="4011930"/>
                    </a:xfrm>
                    <a:prstGeom prst="rect"/>
                  </pic:spPr>
                </pic:pic>
              </a:graphicData>
            </a:graphic>
          </wp:inline>
        </w:drawing>
      </w:r>
    </w:p>
    <w:p/>
    <w:p>
      <w:r>
        <w:br w:type="page"/>
      </w:r>
    </w:p>
    <w:p>
      <w:pPr>
        <w:pStyle w:val="Heading2"/>
      </w:pPr>
      <w:r>
        <w:t>DFD 08 - Rails Settlement and Reconciliation</w:t>
      </w:r>
    </w:p>
    <w:p>
      <w:r>
        <w:t>Ethereum and Base are the core EVM routes, while partner rails handle custody, payments and fallback.</w:t>
      </w:r>
    </w:p>
    <w:p>
      <w:r>
        <w:drawing>
          <wp:inline xmlns:a="http://schemas.openxmlformats.org/drawingml/2006/main" xmlns:pic="http://schemas.openxmlformats.org/drawingml/2006/picture">
            <wp:extent cx="6172200" cy="4011930"/>
            <wp:docPr id="9" name="Picture 9"/>
            <wp:cNvGraphicFramePr>
              <a:graphicFrameLocks noChangeAspect="1"/>
            </wp:cNvGraphicFramePr>
            <a:graphic>
              <a:graphicData uri="http://schemas.openxmlformats.org/drawingml/2006/picture">
                <pic:pic>
                  <pic:nvPicPr>
                    <pic:cNvPr id="0" name="dfd_v47_08_rails_reconciliation.png"/>
                    <pic:cNvPicPr/>
                  </pic:nvPicPr>
                  <pic:blipFill>
                    <a:blip r:embed="rId17"/>
                    <a:stretch>
                      <a:fillRect/>
                    </a:stretch>
                  </pic:blipFill>
                  <pic:spPr>
                    <a:xfrm>
                      <a:off x="0" y="0"/>
                      <a:ext cx="6172200" cy="4011930"/>
                    </a:xfrm>
                    <a:prstGeom prst="rect"/>
                  </pic:spPr>
                </pic:pic>
              </a:graphicData>
            </a:graphic>
          </wp:inline>
        </w:drawing>
      </w:r>
    </w:p>
    <w:p/>
    <w:p>
      <w:r>
        <w:br w:type="page"/>
      </w:r>
    </w:p>
    <w:p>
      <w:pPr>
        <w:pStyle w:val="Heading2"/>
      </w:pPr>
      <w:r>
        <w:t>DFD 09 - Builder dApp and Plugin Ecosystem</w:t>
      </w:r>
    </w:p>
    <w:p>
      <w:r>
        <w:t>dApps and plugins expand the platform after the core liquidity loop is proven.</w:t>
      </w:r>
    </w:p>
    <w:p>
      <w:r>
        <w:drawing>
          <wp:inline xmlns:a="http://schemas.openxmlformats.org/drawingml/2006/main" xmlns:pic="http://schemas.openxmlformats.org/drawingml/2006/picture">
            <wp:extent cx="6172200" cy="4011930"/>
            <wp:docPr id="10" name="Picture 10"/>
            <wp:cNvGraphicFramePr>
              <a:graphicFrameLocks noChangeAspect="1"/>
            </wp:cNvGraphicFramePr>
            <a:graphic>
              <a:graphicData uri="http://schemas.openxmlformats.org/drawingml/2006/picture">
                <pic:pic>
                  <pic:nvPicPr>
                    <pic:cNvPr id="0" name="dfd_v47_09_builder_ecosystem.png"/>
                    <pic:cNvPicPr/>
                  </pic:nvPicPr>
                  <pic:blipFill>
                    <a:blip r:embed="rId18"/>
                    <a:stretch>
                      <a:fillRect/>
                    </a:stretch>
                  </pic:blipFill>
                  <pic:spPr>
                    <a:xfrm>
                      <a:off x="0" y="0"/>
                      <a:ext cx="6172200" cy="4011930"/>
                    </a:xfrm>
                    <a:prstGeom prst="rect"/>
                  </pic:spPr>
                </pic:pic>
              </a:graphicData>
            </a:graphic>
          </wp:inline>
        </w:drawing>
      </w:r>
    </w:p>
    <w:p/>
    <w:p>
      <w:pPr>
        <w:pStyle w:val="Heading1"/>
      </w:pPr>
      <w:r>
        <w:t>MVP1 Operating Interpretation</w:t>
      </w:r>
    </w:p>
    <w:p>
      <w:r>
        <w:t>The current platform is intentionally broader than a simple token marketplace. The real product is the controlled operating system around the marketplace: buyer qualification, seller supply, evidence, validation, admin release, transaction declaration, reports, paid distribution intelligence and AI-driven enterprise service.</w:t>
      </w:r>
    </w:p>
    <w:p>
      <w:r>
        <w:t>For MVP1, automation should be selective. Manual admin review, validator triage, concierge delivery and reconciliation are acceptable if the workflow has a clear owner, evidence trail, status and ledger event.</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