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pPr>
      <w:r>
        <w:rPr>
          <w:rFonts w:ascii="Calibri" w:hAnsi="Calibri"/>
          <w:b/>
          <w:color w:val="0B2545"/>
          <w:sz w:val="56"/>
        </w:rPr>
        <w:t>PROJECT-LEVEL TEST AND</w:t>
        <w:br/>
        <w:t>EVIDENCE STRATEGY</w:t>
      </w:r>
    </w:p>
    <w:p>
      <w:pPr>
        <w:spacing w:after="440"/>
      </w:pPr>
      <w:r>
        <w:rPr>
          <w:b/>
          <w:color w:val="2E74B5"/>
          <w:sz w:val="36"/>
        </w:rPr>
        <w:t>Supply Chain Exception Control System</w:t>
      </w:r>
    </w:p>
    <w:p>
      <w:pPr>
        <w:spacing w:after="560"/>
      </w:pPr>
      <w:r>
        <w:rPr>
          <w:color w:val="666666"/>
          <w:sz w:val="24"/>
        </w:rPr>
        <w:t>A proposed assurance framework for proving data validity, deterministic risk processing, controlled exception workflow, auditability, and reporting reconciliation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DECEC"/>
            <w:tcMar>
              <w:top w:w="140" w:type="dxa"/>
              <w:start w:w="180" w:type="dxa"/>
              <w:bottom w:w="140" w:type="dxa"/>
              <w:end w:w="180" w:type="dxa"/>
            </w:tcMar>
          </w:tcPr>
          <w:p>
            <w:pPr>
              <w:spacing w:after="0"/>
            </w:pPr>
            <w:r>
              <w:rPr>
                <w:b/>
                <w:color w:val="9B1C1C"/>
              </w:rPr>
              <w:t xml:space="preserve">STATUS: </w:t>
            </w:r>
            <w:r>
              <w:t>Proposed strategy only. No test in this document is represented as executed or passed.</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2520"/>
        <w:gridCol w:w="6840"/>
      </w:tblGrid>
      <w:tr>
        <w:trPr>
          <w:tblHeader w:val="true"/>
          <w:cantSplit/>
        </w:trPr>
        <w:tc>
          <w:tcPr>
            <w:tcW w:type="dxa" w:w="2520"/>
            <w:shd w:fill="F2F4F7"/>
            <w:tcMar>
              <w:top w:w="80" w:type="dxa"/>
              <w:start w:w="120" w:type="dxa"/>
              <w:bottom w:w="80" w:type="dxa"/>
              <w:end w:w="120" w:type="dxa"/>
            </w:tcMar>
            <w:vAlign w:val="center"/>
          </w:tcPr>
          <w:p>
            <w:pPr>
              <w:spacing w:after="0"/>
              <w:jc w:val="center"/>
            </w:pPr>
            <w:r>
              <w:rPr>
                <w:b/>
                <w:color w:val="0B2545"/>
                <w:sz w:val="19"/>
              </w:rPr>
              <w:t>Document field</w:t>
            </w:r>
          </w:p>
        </w:tc>
        <w:tc>
          <w:tcPr>
            <w:tcW w:type="dxa" w:w="6840"/>
            <w:shd w:fill="F2F4F7"/>
            <w:tcMar>
              <w:top w:w="80" w:type="dxa"/>
              <w:start w:w="120" w:type="dxa"/>
              <w:bottom w:w="80" w:type="dxa"/>
              <w:end w:w="120" w:type="dxa"/>
            </w:tcMar>
            <w:vAlign w:val="center"/>
          </w:tcPr>
          <w:p>
            <w:pPr>
              <w:spacing w:after="0"/>
              <w:jc w:val="center"/>
            </w:pPr>
            <w:r>
              <w:rPr>
                <w:b/>
                <w:color w:val="0B2545"/>
                <w:sz w:val="19"/>
              </w:rPr>
              <w:t>Value</w:t>
            </w:r>
          </w:p>
        </w:tc>
      </w:tr>
      <w:tr>
        <w:trPr>
          <w:cantSplit/>
        </w:trPr>
        <w:tc>
          <w:tcPr>
            <w:tcW w:type="dxa" w:w="2520"/>
            <w:tcMar>
              <w:top w:w="80" w:type="dxa"/>
              <w:start w:w="120" w:type="dxa"/>
              <w:bottom w:w="80" w:type="dxa"/>
              <w:end w:w="120" w:type="dxa"/>
            </w:tcMar>
            <w:vAlign w:val="center"/>
          </w:tcPr>
          <w:p>
            <w:pPr>
              <w:spacing w:after="0"/>
              <w:jc w:val="left"/>
            </w:pPr>
            <w:r>
              <w:rPr>
                <w:sz w:val="19"/>
              </w:rPr>
              <w:t>Prepared by</w:t>
            </w:r>
          </w:p>
        </w:tc>
        <w:tc>
          <w:tcPr>
            <w:tcW w:type="dxa" w:w="6840"/>
            <w:tcMar>
              <w:top w:w="80" w:type="dxa"/>
              <w:start w:w="120" w:type="dxa"/>
              <w:bottom w:w="80" w:type="dxa"/>
              <w:end w:w="120" w:type="dxa"/>
            </w:tcMar>
            <w:vAlign w:val="center"/>
          </w:tcPr>
          <w:p>
            <w:pPr>
              <w:spacing w:after="0"/>
              <w:jc w:val="left"/>
            </w:pPr>
            <w:r>
              <w:rPr>
                <w:sz w:val="19"/>
              </w:rPr>
              <w:t>Rafael Nalom Garcia Pasaribu</w:t>
            </w:r>
          </w:p>
        </w:tc>
      </w:tr>
      <w:tr>
        <w:trPr>
          <w:cantSplit/>
        </w:trPr>
        <w:tc>
          <w:tcPr>
            <w:tcW w:type="dxa" w:w="2520"/>
            <w:tcMar>
              <w:top w:w="80" w:type="dxa"/>
              <w:start w:w="120" w:type="dxa"/>
              <w:bottom w:w="80" w:type="dxa"/>
              <w:end w:w="120" w:type="dxa"/>
            </w:tcMar>
            <w:vAlign w:val="center"/>
          </w:tcPr>
          <w:p>
            <w:pPr>
              <w:spacing w:after="0"/>
              <w:jc w:val="left"/>
            </w:pPr>
            <w:r>
              <w:rPr>
                <w:sz w:val="19"/>
              </w:rPr>
              <w:t>Role perspective</w:t>
            </w:r>
          </w:p>
        </w:tc>
        <w:tc>
          <w:tcPr>
            <w:tcW w:type="dxa" w:w="6840"/>
            <w:tcMar>
              <w:top w:w="80" w:type="dxa"/>
              <w:start w:w="120" w:type="dxa"/>
              <w:bottom w:w="80" w:type="dxa"/>
              <w:end w:w="120" w:type="dxa"/>
            </w:tcMar>
            <w:vAlign w:val="center"/>
          </w:tcPr>
          <w:p>
            <w:pPr>
              <w:spacing w:after="0"/>
              <w:jc w:val="left"/>
            </w:pPr>
            <w:r>
              <w:rPr>
                <w:sz w:val="19"/>
              </w:rPr>
              <w:t>Senior test analyst and business assurance</w:t>
            </w:r>
          </w:p>
        </w:tc>
      </w:tr>
      <w:tr>
        <w:trPr>
          <w:cantSplit/>
        </w:trPr>
        <w:tc>
          <w:tcPr>
            <w:tcW w:type="dxa" w:w="2520"/>
            <w:tcMar>
              <w:top w:w="80" w:type="dxa"/>
              <w:start w:w="120" w:type="dxa"/>
              <w:bottom w:w="80" w:type="dxa"/>
              <w:end w:w="120" w:type="dxa"/>
            </w:tcMar>
            <w:vAlign w:val="center"/>
          </w:tcPr>
          <w:p>
            <w:pPr>
              <w:spacing w:after="0"/>
              <w:jc w:val="left"/>
            </w:pPr>
            <w:r>
              <w:rPr>
                <w:sz w:val="19"/>
              </w:rPr>
              <w:t>Version</w:t>
            </w:r>
          </w:p>
        </w:tc>
        <w:tc>
          <w:tcPr>
            <w:tcW w:type="dxa" w:w="6840"/>
            <w:tcMar>
              <w:top w:w="80" w:type="dxa"/>
              <w:start w:w="120" w:type="dxa"/>
              <w:bottom w:w="80" w:type="dxa"/>
              <w:end w:w="120" w:type="dxa"/>
            </w:tcMar>
            <w:vAlign w:val="center"/>
          </w:tcPr>
          <w:p>
            <w:pPr>
              <w:spacing w:after="0"/>
              <w:jc w:val="left"/>
            </w:pPr>
            <w:r>
              <w:rPr>
                <w:sz w:val="19"/>
              </w:rPr>
              <w:t>1.0</w:t>
            </w:r>
          </w:p>
        </w:tc>
      </w:tr>
      <w:tr>
        <w:trPr>
          <w:cantSplit/>
        </w:trPr>
        <w:tc>
          <w:tcPr>
            <w:tcW w:type="dxa" w:w="2520"/>
            <w:tcMar>
              <w:top w:w="80" w:type="dxa"/>
              <w:start w:w="120" w:type="dxa"/>
              <w:bottom w:w="80" w:type="dxa"/>
              <w:end w:w="120" w:type="dxa"/>
            </w:tcMar>
            <w:vAlign w:val="center"/>
          </w:tcPr>
          <w:p>
            <w:pPr>
              <w:spacing w:after="0"/>
              <w:jc w:val="left"/>
            </w:pPr>
            <w:r>
              <w:rPr>
                <w:sz w:val="19"/>
              </w:rPr>
              <w:t>Date</w:t>
            </w:r>
          </w:p>
        </w:tc>
        <w:tc>
          <w:tcPr>
            <w:tcW w:type="dxa" w:w="6840"/>
            <w:tcMar>
              <w:top w:w="80" w:type="dxa"/>
              <w:start w:w="120" w:type="dxa"/>
              <w:bottom w:w="80" w:type="dxa"/>
              <w:end w:w="120" w:type="dxa"/>
            </w:tcMar>
            <w:vAlign w:val="center"/>
          </w:tcPr>
          <w:p>
            <w:pPr>
              <w:spacing w:after="0"/>
              <w:jc w:val="left"/>
            </w:pPr>
            <w:r>
              <w:rPr>
                <w:sz w:val="19"/>
              </w:rPr>
              <w:t>20 July 2026</w:t>
            </w:r>
          </w:p>
        </w:tc>
      </w:tr>
      <w:tr>
        <w:trPr>
          <w:cantSplit/>
        </w:trPr>
        <w:tc>
          <w:tcPr>
            <w:tcW w:type="dxa" w:w="2520"/>
            <w:tcMar>
              <w:top w:w="80" w:type="dxa"/>
              <w:start w:w="120" w:type="dxa"/>
              <w:bottom w:w="80" w:type="dxa"/>
              <w:end w:w="120" w:type="dxa"/>
            </w:tcMar>
            <w:vAlign w:val="center"/>
          </w:tcPr>
          <w:p>
            <w:pPr>
              <w:spacing w:after="0"/>
              <w:jc w:val="left"/>
            </w:pPr>
            <w:r>
              <w:rPr>
                <w:sz w:val="19"/>
              </w:rPr>
              <w:t>Governing sources</w:t>
            </w:r>
          </w:p>
        </w:tc>
        <w:tc>
          <w:tcPr>
            <w:tcW w:type="dxa" w:w="6840"/>
            <w:tcMar>
              <w:top w:w="80" w:type="dxa"/>
              <w:start w:w="120" w:type="dxa"/>
              <w:bottom w:w="80" w:type="dxa"/>
              <w:end w:w="120" w:type="dxa"/>
            </w:tcMar>
            <w:vAlign w:val="center"/>
          </w:tcPr>
          <w:p>
            <w:pPr>
              <w:spacing w:after="0"/>
              <w:jc w:val="left"/>
            </w:pPr>
            <w:r>
              <w:rPr>
                <w:sz w:val="19"/>
              </w:rPr>
              <w:t>Project Charter v1.0 and Business Requirements Specification v1.0, both dated 19 July 2026</w:t>
            </w:r>
          </w:p>
        </w:tc>
      </w:tr>
      <w:tr>
        <w:trPr>
          <w:cantSplit/>
        </w:trPr>
        <w:tc>
          <w:tcPr>
            <w:tcW w:type="dxa" w:w="2520"/>
            <w:tcMar>
              <w:top w:w="80" w:type="dxa"/>
              <w:start w:w="120" w:type="dxa"/>
              <w:bottom w:w="80" w:type="dxa"/>
              <w:end w:w="120" w:type="dxa"/>
            </w:tcMar>
            <w:vAlign w:val="center"/>
          </w:tcPr>
          <w:p>
            <w:pPr>
              <w:spacing w:after="0"/>
              <w:jc w:val="left"/>
            </w:pPr>
            <w:r>
              <w:rPr>
                <w:sz w:val="19"/>
              </w:rPr>
              <w:t>Core release boundary</w:t>
            </w:r>
          </w:p>
        </w:tc>
        <w:tc>
          <w:tcPr>
            <w:tcW w:type="dxa" w:w="6840"/>
            <w:tcMar>
              <w:top w:w="80" w:type="dxa"/>
              <w:start w:w="120" w:type="dxa"/>
              <w:bottom w:w="80" w:type="dxa"/>
              <w:end w:w="120" w:type="dxa"/>
            </w:tcMar>
            <w:vAlign w:val="center"/>
          </w:tcPr>
          <w:p>
            <w:pPr>
              <w:spacing w:after="0"/>
              <w:jc w:val="left"/>
            </w:pPr>
            <w:r>
              <w:rPr>
                <w:sz w:val="19"/>
              </w:rPr>
              <w:t>P0 design through P4 local reporting release</w:t>
            </w:r>
          </w:p>
        </w:tc>
      </w:tr>
      <w:tr>
        <w:trPr>
          <w:cantSplit/>
        </w:trPr>
        <w:tc>
          <w:tcPr>
            <w:tcW w:type="dxa" w:w="2520"/>
            <w:tcMar>
              <w:top w:w="80" w:type="dxa"/>
              <w:start w:w="120" w:type="dxa"/>
              <w:bottom w:w="80" w:type="dxa"/>
              <w:end w:w="120" w:type="dxa"/>
            </w:tcMar>
            <w:vAlign w:val="center"/>
          </w:tcPr>
          <w:p>
            <w:pPr>
              <w:spacing w:after="0"/>
              <w:jc w:val="left"/>
            </w:pPr>
            <w:r>
              <w:rPr>
                <w:sz w:val="19"/>
              </w:rPr>
              <w:t>Test status</w:t>
            </w:r>
          </w:p>
        </w:tc>
        <w:tc>
          <w:tcPr>
            <w:tcW w:type="dxa" w:w="6840"/>
            <w:tcMar>
              <w:top w:w="80" w:type="dxa"/>
              <w:start w:w="120" w:type="dxa"/>
              <w:bottom w:w="80" w:type="dxa"/>
              <w:end w:w="120" w:type="dxa"/>
            </w:tcMar>
            <w:vAlign w:val="center"/>
          </w:tcPr>
          <w:p>
            <w:pPr>
              <w:spacing w:after="0"/>
              <w:jc w:val="left"/>
            </w:pPr>
            <w:r>
              <w:rPr>
                <w:sz w:val="19"/>
              </w:rPr>
              <w:t>Proposed / not executed</w:t>
            </w:r>
          </w:p>
        </w:tc>
      </w:tr>
    </w:tbl>
    <w:p>
      <w:pPr>
        <w:spacing w:after="0"/>
      </w:pPr>
    </w:p>
    <w:p>
      <w:r>
        <w:br w:type="page"/>
      </w:r>
    </w:p>
    <w:p>
      <w:pPr>
        <w:pStyle w:val="Heading1"/>
      </w:pPr>
      <w:r>
        <w:t>Document purpose and authority</w:t>
      </w:r>
    </w:p>
    <w:p>
      <w:r>
        <w:t>This strategy defines how the portfolio will demonstrate that the Supply Chain Exception Control System works as specified. It converts the Charter and BRS into a controlled programme of test design, execution, traceability, evidence retention, defect management, and release gates. The governing sources take precedence over this strategy. Where a governing requirement is ambiguous, this document identifies the ambiguity and blocks objective execution rather than inventing a hidden design decision.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b/>
                <w:color w:val="0B2545"/>
              </w:rPr>
              <w:t xml:space="preserve">Assurance principle: </w:t>
            </w:r>
            <w:r>
              <w:t>A successful technical run is not sufficient. The MVP must also prove negative controls, audit preservation, reconciliation, reproducibility, and honest labelling of simulated results.</w:t>
            </w:r>
          </w:p>
        </w:tc>
      </w:tr>
    </w:tbl>
    <w:p>
      <w:pPr>
        <w:spacing w:after="0"/>
      </w:pPr>
    </w:p>
    <w:p>
      <w:pPr>
        <w:pStyle w:val="Heading1"/>
      </w:pPr>
      <w:r>
        <w:t>Contents</w:t>
      </w:r>
    </w:p>
    <w:p>
      <w:pPr>
        <w:pStyle w:val="ListBullet"/>
      </w:pPr>
      <w:r>
        <w:t>1. Test strategy overview</w:t>
      </w:r>
    </w:p>
    <w:p>
      <w:pPr>
        <w:pStyle w:val="ListBullet"/>
      </w:pPr>
      <w:r>
        <w:t>2. Test levels</w:t>
      </w:r>
    </w:p>
    <w:p>
      <w:pPr>
        <w:pStyle w:val="ListBullet"/>
      </w:pPr>
      <w:r>
        <w:t>3. Requirement-to-test traceability</w:t>
      </w:r>
    </w:p>
    <w:p>
      <w:pPr>
        <w:pStyle w:val="ListBullet"/>
      </w:pPr>
      <w:r>
        <w:t>4. Test-data strategy</w:t>
      </w:r>
    </w:p>
    <w:p>
      <w:pPr>
        <w:pStyle w:val="ListBullet"/>
      </w:pPr>
      <w:r>
        <w:t>5. Positive, negative and boundary categories</w:t>
      </w:r>
    </w:p>
    <w:p>
      <w:pPr>
        <w:pStyle w:val="ListBullet"/>
      </w:pPr>
      <w:r>
        <w:t>6. Evidence preservation</w:t>
      </w:r>
    </w:p>
    <w:p>
      <w:pPr>
        <w:pStyle w:val="ListBullet"/>
      </w:pPr>
      <w:r>
        <w:t>7. Proposed test-result format</w:t>
      </w:r>
    </w:p>
    <w:p>
      <w:pPr>
        <w:pStyle w:val="ListBullet"/>
      </w:pPr>
      <w:r>
        <w:t>8. Defect severity</w:t>
      </w:r>
    </w:p>
    <w:p>
      <w:pPr>
        <w:pStyle w:val="ListBullet"/>
      </w:pPr>
      <w:r>
        <w:t>9. Checkpoint entry and exit criteria</w:t>
      </w:r>
    </w:p>
    <w:p>
      <w:pPr>
        <w:pStyle w:val="ListBullet"/>
      </w:pPr>
      <w:r>
        <w:t>10. MVP definition of done</w:t>
      </w:r>
    </w:p>
    <w:p>
      <w:pPr>
        <w:pStyle w:val="ListBullet"/>
      </w:pPr>
      <w:r>
        <w:t>11. High-priority test scenarios</w:t>
      </w:r>
    </w:p>
    <w:p>
      <w:pPr>
        <w:pStyle w:val="ListBullet"/>
      </w:pPr>
      <w:r>
        <w:t>12. Final implementation classifications</w:t>
      </w:r>
    </w:p>
    <w:p>
      <w:pPr>
        <w:pStyle w:val="ListBullet"/>
      </w:pPr>
      <w:r>
        <w:t>13. Critical gaps and contradictions</w:t>
      </w:r>
    </w:p>
    <w:p>
      <w:pPr>
        <w:pStyle w:val="Heading2"/>
      </w:pPr>
      <w:r>
        <w:t>Source interpretation</w:t>
      </w:r>
    </w:p>
    <w:p>
      <w:pPr>
        <w:pStyle w:val="ListBullet"/>
      </w:pPr>
      <w:r>
        <w:t>Candidate risk is treated as an analytical record, not an operational work status, consistent with BRS section 11.</w:t>
      </w:r>
    </w:p>
    <w:p>
      <w:pPr>
        <w:pStyle w:val="ListBullet"/>
      </w:pPr>
      <w:r>
        <w:t>The BRS lifecycle matrix is used as the proposed state authority, but execution is gated where open decisions Q02-Q11 and Q17 remain unresolved.</w:t>
      </w:r>
    </w:p>
    <w:p>
      <w:pPr>
        <w:pStyle w:val="ListBullet"/>
      </w:pPr>
      <w:r>
        <w:t>All time, recall, false-positive, SLA, workload, and performance figures are proposed acceptance targets for a simulation. They are not realised business benefits.</w:t>
      </w:r>
    </w:p>
    <w:p>
      <w:pPr>
        <w:pStyle w:val="ListBullet"/>
      </w:pPr>
      <w:r>
        <w:t>P5 scheduled automation and P6 AI are outside MVP DoD. AI implementation and AI test design are not expanded here beyond the release gate boundary.</w:t>
      </w:r>
    </w:p>
    <w:p>
      <w:pPr>
        <w:pStyle w:val="Heading1"/>
      </w:pPr>
      <w:r>
        <w:t>1. Test strategy overview</w:t>
      </w:r>
    </w:p>
    <w:p>
      <w:r>
        <w:t>The test approach is risk-based, requirements-led, and evidence-first. Testing will progress through the same P0-P4 sequence defined by the BRS: freeze testable policy, validate data and lineage, prove the deterministic risk engine, prove the controlled workflow, then reconcile management reporting. High-risk controls are tested by positive cases, prohibited actions, failure injection, boundary conditions, and end-to-end golden episodes.</w:t>
      </w:r>
    </w:p>
    <w:p>
      <w:pPr>
        <w:pStyle w:val="Heading2"/>
      </w:pPr>
      <w:r>
        <w:t>Objectives</w:t>
      </w:r>
    </w:p>
    <w:p>
      <w:pPr>
        <w:pStyle w:val="ListBullet"/>
      </w:pPr>
      <w:r>
        <w:t>Prove that every accepted input is valid, traceable to a run, and reconciled to a disposition.</w:t>
      </w:r>
    </w:p>
    <w:p>
      <w:pPr>
        <w:pStyle w:val="ListBullet"/>
      </w:pPr>
      <w:r>
        <w:t>Prove that identical approved inputs and rule versions produce identical business outputs.</w:t>
      </w:r>
    </w:p>
    <w:p>
      <w:pPr>
        <w:pStyle w:val="ListBullet"/>
      </w:pPr>
      <w:r>
        <w:t>Prove that delay and stockout signals are calculated at documented date, quantity, and severity boundaries.</w:t>
      </w:r>
    </w:p>
    <w:p>
      <w:pPr>
        <w:pStyle w:val="ListBullet"/>
      </w:pPr>
      <w:r>
        <w:t>Prove that one continuous PO-line risk episode cannot create duplicate active work.</w:t>
      </w:r>
    </w:p>
    <w:p>
      <w:pPr>
        <w:pStyle w:val="ListBullet"/>
      </w:pPr>
      <w:r>
        <w:t>Prove that assignment, action, approval, resolution, closure, suppression, reopening, and SLA controls enforce authority and mandatory evidence.</w:t>
      </w:r>
    </w:p>
    <w:p>
      <w:pPr>
        <w:pStyle w:val="ListBullet"/>
      </w:pPr>
      <w:r>
        <w:t>Prove that prior scores and events survive reruns, rule changes, reassignment, closure, and reopening.</w:t>
      </w:r>
    </w:p>
    <w:p>
      <w:pPr>
        <w:pStyle w:val="ListBullet"/>
      </w:pPr>
      <w:r>
        <w:t>Prove that failed or partial runs never replace the current trusted dataset.</w:t>
      </w:r>
    </w:p>
    <w:p>
      <w:pPr>
        <w:pStyle w:val="ListBullet"/>
      </w:pPr>
      <w:r>
        <w:t>Prove that Power BI values reconcile to the same successful run and expose freshness/failure state.</w:t>
      </w:r>
    </w:p>
    <w:p>
      <w:pPr>
        <w:pStyle w:val="ListBullet"/>
      </w:pPr>
      <w:r>
        <w:t>Preserve a reproducible evidence chain from requirement to test, execution, defect, retest, and acceptance decision.</w:t>
      </w:r>
    </w:p>
    <w:p>
      <w:pPr>
        <w:pStyle w:val="Heading2"/>
      </w:pPr>
      <w:r>
        <w:t>Risk-based priorities</w:t>
      </w:r>
    </w:p>
    <w:tbl>
      <w:tblPr>
        <w:tblStyle w:val="TableGrid"/>
        <w:tblW w:type="dxa" w:w="9360"/>
        <w:jc w:val="center"/>
        <w:tblLayout w:type="fixed"/>
        <w:tblLook w:firstColumn="1" w:firstRow="1" w:lastColumn="0" w:lastRow="0" w:noHBand="0" w:noVBand="1" w:val="04A0"/>
        <w:tblInd w:w="120" w:type="dxa"/>
      </w:tblPr>
      <w:tblGrid>
        <w:gridCol w:w="2232"/>
        <w:gridCol w:w="3384"/>
        <w:gridCol w:w="3744"/>
      </w:tblGrid>
      <w:tr>
        <w:trPr>
          <w:tblHeader w:val="true"/>
          <w:cantSplit/>
        </w:trPr>
        <w:tc>
          <w:tcPr>
            <w:tcW w:type="dxa" w:w="2232"/>
            <w:shd w:fill="F2F4F7"/>
            <w:tcMar>
              <w:top w:w="80" w:type="dxa"/>
              <w:start w:w="120" w:type="dxa"/>
              <w:bottom w:w="80" w:type="dxa"/>
              <w:end w:w="120" w:type="dxa"/>
            </w:tcMar>
            <w:vAlign w:val="center"/>
          </w:tcPr>
          <w:p>
            <w:pPr>
              <w:spacing w:after="0"/>
              <w:jc w:val="center"/>
            </w:pPr>
            <w:r>
              <w:rPr>
                <w:b/>
                <w:color w:val="0B2545"/>
                <w:sz w:val="17"/>
              </w:rPr>
              <w:t>Assurance risk</w:t>
            </w:r>
          </w:p>
        </w:tc>
        <w:tc>
          <w:tcPr>
            <w:tcW w:type="dxa" w:w="3384"/>
            <w:shd w:fill="F2F4F7"/>
            <w:tcMar>
              <w:top w:w="80" w:type="dxa"/>
              <w:start w:w="120" w:type="dxa"/>
              <w:bottom w:w="80" w:type="dxa"/>
              <w:end w:w="120" w:type="dxa"/>
            </w:tcMar>
            <w:vAlign w:val="center"/>
          </w:tcPr>
          <w:p>
            <w:pPr>
              <w:spacing w:after="0"/>
              <w:jc w:val="center"/>
            </w:pPr>
            <w:r>
              <w:rPr>
                <w:b/>
                <w:color w:val="0B2545"/>
                <w:sz w:val="17"/>
              </w:rPr>
              <w:t>Why it matters</w:t>
            </w:r>
          </w:p>
        </w:tc>
        <w:tc>
          <w:tcPr>
            <w:tcW w:type="dxa" w:w="3744"/>
            <w:shd w:fill="F2F4F7"/>
            <w:tcMar>
              <w:top w:w="80" w:type="dxa"/>
              <w:start w:w="120" w:type="dxa"/>
              <w:bottom w:w="80" w:type="dxa"/>
              <w:end w:w="120" w:type="dxa"/>
            </w:tcMar>
            <w:vAlign w:val="center"/>
          </w:tcPr>
          <w:p>
            <w:pPr>
              <w:spacing w:after="0"/>
              <w:jc w:val="center"/>
            </w:pPr>
            <w:r>
              <w:rPr>
                <w:b/>
                <w:color w:val="0B2545"/>
                <w:sz w:val="17"/>
              </w:rPr>
              <w:t>Primary response</w:t>
            </w:r>
          </w:p>
        </w:tc>
      </w:tr>
      <w:tr>
        <w:trPr>
          <w:cantSplit/>
        </w:trPr>
        <w:tc>
          <w:tcPr>
            <w:tcW w:type="dxa" w:w="2232"/>
            <w:tcMar>
              <w:top w:w="80" w:type="dxa"/>
              <w:start w:w="120" w:type="dxa"/>
              <w:bottom w:w="80" w:type="dxa"/>
              <w:end w:w="120" w:type="dxa"/>
            </w:tcMar>
            <w:vAlign w:val="center"/>
          </w:tcPr>
          <w:p>
            <w:pPr>
              <w:spacing w:after="0"/>
              <w:jc w:val="center"/>
            </w:pPr>
            <w:r>
              <w:rPr>
                <w:sz w:val="17"/>
              </w:rPr>
              <w:t>False safety from bad data</w:t>
            </w:r>
          </w:p>
        </w:tc>
        <w:tc>
          <w:tcPr>
            <w:tcW w:type="dxa" w:w="3384"/>
            <w:tcMar>
              <w:top w:w="80" w:type="dxa"/>
              <w:start w:w="120" w:type="dxa"/>
              <w:bottom w:w="80" w:type="dxa"/>
              <w:end w:w="120" w:type="dxa"/>
            </w:tcMar>
            <w:vAlign w:val="center"/>
          </w:tcPr>
          <w:p>
            <w:pPr>
              <w:spacing w:after="0"/>
              <w:jc w:val="left"/>
            </w:pPr>
            <w:r>
              <w:rPr>
                <w:sz w:val="17"/>
              </w:rPr>
              <w:t>Missing, orphaned, stale, or invalid inputs can suppress true risk.</w:t>
            </w:r>
          </w:p>
        </w:tc>
        <w:tc>
          <w:tcPr>
            <w:tcW w:type="dxa" w:w="3744"/>
            <w:tcMar>
              <w:top w:w="80" w:type="dxa"/>
              <w:start w:w="120" w:type="dxa"/>
              <w:bottom w:w="80" w:type="dxa"/>
              <w:end w:w="120" w:type="dxa"/>
            </w:tcMar>
            <w:vAlign w:val="center"/>
          </w:tcPr>
          <w:p>
            <w:pPr>
              <w:spacing w:after="0"/>
              <w:jc w:val="left"/>
            </w:pPr>
            <w:r>
              <w:rPr>
                <w:sz w:val="17"/>
              </w:rPr>
              <w:t>Critical validation gates, quarantine, missing-signal tests, reconciliation.</w:t>
            </w:r>
          </w:p>
        </w:tc>
      </w:tr>
      <w:tr>
        <w:trPr>
          <w:cantSplit/>
        </w:trPr>
        <w:tc>
          <w:tcPr>
            <w:tcW w:type="dxa" w:w="2232"/>
            <w:tcMar>
              <w:top w:w="80" w:type="dxa"/>
              <w:start w:w="120" w:type="dxa"/>
              <w:bottom w:w="80" w:type="dxa"/>
              <w:end w:w="120" w:type="dxa"/>
            </w:tcMar>
            <w:vAlign w:val="center"/>
          </w:tcPr>
          <w:p>
            <w:pPr>
              <w:spacing w:after="0"/>
              <w:jc w:val="center"/>
            </w:pPr>
            <w:r>
              <w:rPr>
                <w:sz w:val="17"/>
              </w:rPr>
              <w:t>Duplicate operational work</w:t>
            </w:r>
          </w:p>
        </w:tc>
        <w:tc>
          <w:tcPr>
            <w:tcW w:type="dxa" w:w="3384"/>
            <w:tcMar>
              <w:top w:w="80" w:type="dxa"/>
              <w:start w:w="120" w:type="dxa"/>
              <w:bottom w:w="80" w:type="dxa"/>
              <w:end w:w="120" w:type="dxa"/>
            </w:tcMar>
            <w:vAlign w:val="center"/>
          </w:tcPr>
          <w:p>
            <w:pPr>
              <w:spacing w:after="0"/>
              <w:jc w:val="left"/>
            </w:pPr>
            <w:r>
              <w:rPr>
                <w:sz w:val="17"/>
              </w:rPr>
              <w:t>Repeated daily scoring can fragment ownership and inflate backlog.</w:t>
            </w:r>
          </w:p>
        </w:tc>
        <w:tc>
          <w:tcPr>
            <w:tcW w:type="dxa" w:w="3744"/>
            <w:tcMar>
              <w:top w:w="80" w:type="dxa"/>
              <w:start w:w="120" w:type="dxa"/>
              <w:bottom w:w="80" w:type="dxa"/>
              <w:end w:w="120" w:type="dxa"/>
            </w:tcMar>
            <w:vAlign w:val="center"/>
          </w:tcPr>
          <w:p>
            <w:pPr>
              <w:spacing w:after="0"/>
              <w:jc w:val="left"/>
            </w:pPr>
            <w:r>
              <w:rPr>
                <w:sz w:val="17"/>
              </w:rPr>
              <w:t>Episode-key, concurrency, rerun, and deduplication tests.</w:t>
            </w:r>
          </w:p>
        </w:tc>
      </w:tr>
      <w:tr>
        <w:trPr>
          <w:cantSplit/>
        </w:trPr>
        <w:tc>
          <w:tcPr>
            <w:tcW w:type="dxa" w:w="2232"/>
            <w:tcMar>
              <w:top w:w="80" w:type="dxa"/>
              <w:start w:w="120" w:type="dxa"/>
              <w:bottom w:w="80" w:type="dxa"/>
              <w:end w:w="120" w:type="dxa"/>
            </w:tcMar>
            <w:vAlign w:val="center"/>
          </w:tcPr>
          <w:p>
            <w:pPr>
              <w:spacing w:after="0"/>
              <w:jc w:val="center"/>
            </w:pPr>
            <w:r>
              <w:rPr>
                <w:sz w:val="17"/>
              </w:rPr>
              <w:t>Uncontrolled lifecycle changes</w:t>
            </w:r>
          </w:p>
        </w:tc>
        <w:tc>
          <w:tcPr>
            <w:tcW w:type="dxa" w:w="3384"/>
            <w:tcMar>
              <w:top w:w="80" w:type="dxa"/>
              <w:start w:w="120" w:type="dxa"/>
              <w:bottom w:w="80" w:type="dxa"/>
              <w:end w:w="120" w:type="dxa"/>
            </w:tcMar>
            <w:vAlign w:val="center"/>
          </w:tcPr>
          <w:p>
            <w:pPr>
              <w:spacing w:after="0"/>
              <w:jc w:val="left"/>
            </w:pPr>
            <w:r>
              <w:rPr>
                <w:sz w:val="17"/>
              </w:rPr>
              <w:t>Improper transitions or suppression can hide unresolved exposure.</w:t>
            </w:r>
          </w:p>
        </w:tc>
        <w:tc>
          <w:tcPr>
            <w:tcW w:type="dxa" w:w="3744"/>
            <w:tcMar>
              <w:top w:w="80" w:type="dxa"/>
              <w:start w:w="120" w:type="dxa"/>
              <w:bottom w:w="80" w:type="dxa"/>
              <w:end w:w="120" w:type="dxa"/>
            </w:tcMar>
            <w:vAlign w:val="center"/>
          </w:tcPr>
          <w:p>
            <w:pPr>
              <w:spacing w:after="0"/>
              <w:jc w:val="left"/>
            </w:pPr>
            <w:r>
              <w:rPr>
                <w:sz w:val="17"/>
              </w:rPr>
              <w:t>Exhaustive negative state/role tests and approval separation.</w:t>
            </w:r>
          </w:p>
        </w:tc>
      </w:tr>
      <w:tr>
        <w:trPr>
          <w:cantSplit/>
        </w:trPr>
        <w:tc>
          <w:tcPr>
            <w:tcW w:type="dxa" w:w="2232"/>
            <w:tcMar>
              <w:top w:w="80" w:type="dxa"/>
              <w:start w:w="120" w:type="dxa"/>
              <w:bottom w:w="80" w:type="dxa"/>
              <w:end w:w="120" w:type="dxa"/>
            </w:tcMar>
            <w:vAlign w:val="center"/>
          </w:tcPr>
          <w:p>
            <w:pPr>
              <w:spacing w:after="0"/>
              <w:jc w:val="center"/>
            </w:pPr>
            <w:r>
              <w:rPr>
                <w:sz w:val="17"/>
              </w:rPr>
              <w:t>Non-reconstructable decisions</w:t>
            </w:r>
          </w:p>
        </w:tc>
        <w:tc>
          <w:tcPr>
            <w:tcW w:type="dxa" w:w="3384"/>
            <w:tcMar>
              <w:top w:w="80" w:type="dxa"/>
              <w:start w:w="120" w:type="dxa"/>
              <w:bottom w:w="80" w:type="dxa"/>
              <w:end w:w="120" w:type="dxa"/>
            </w:tcMar>
            <w:vAlign w:val="center"/>
          </w:tcPr>
          <w:p>
            <w:pPr>
              <w:spacing w:after="0"/>
              <w:jc w:val="left"/>
            </w:pPr>
            <w:r>
              <w:rPr>
                <w:sz w:val="17"/>
              </w:rPr>
              <w:t>Overwritten events undermine control evidence.</w:t>
            </w:r>
          </w:p>
        </w:tc>
        <w:tc>
          <w:tcPr>
            <w:tcW w:type="dxa" w:w="3744"/>
            <w:tcMar>
              <w:top w:w="80" w:type="dxa"/>
              <w:start w:w="120" w:type="dxa"/>
              <w:bottom w:w="80" w:type="dxa"/>
              <w:end w:w="120" w:type="dxa"/>
            </w:tcMar>
            <w:vAlign w:val="center"/>
          </w:tcPr>
          <w:p>
            <w:pPr>
              <w:spacing w:after="0"/>
              <w:jc w:val="left"/>
            </w:pPr>
            <w:r>
              <w:rPr>
                <w:sz w:val="17"/>
              </w:rPr>
              <w:t>Golden audit episode, append-only and history-preservation tests.</w:t>
            </w:r>
          </w:p>
        </w:tc>
      </w:tr>
      <w:tr>
        <w:trPr>
          <w:cantSplit/>
        </w:trPr>
        <w:tc>
          <w:tcPr>
            <w:tcW w:type="dxa" w:w="2232"/>
            <w:tcMar>
              <w:top w:w="80" w:type="dxa"/>
              <w:start w:w="120" w:type="dxa"/>
              <w:bottom w:w="80" w:type="dxa"/>
              <w:end w:w="120" w:type="dxa"/>
            </w:tcMar>
            <w:vAlign w:val="center"/>
          </w:tcPr>
          <w:p>
            <w:pPr>
              <w:spacing w:after="0"/>
              <w:jc w:val="center"/>
            </w:pPr>
            <w:r>
              <w:rPr>
                <w:sz w:val="17"/>
              </w:rPr>
              <w:t>Misleading reporting</w:t>
            </w:r>
          </w:p>
        </w:tc>
        <w:tc>
          <w:tcPr>
            <w:tcW w:type="dxa" w:w="3384"/>
            <w:tcMar>
              <w:top w:w="80" w:type="dxa"/>
              <w:start w:w="120" w:type="dxa"/>
              <w:bottom w:w="80" w:type="dxa"/>
              <w:end w:w="120" w:type="dxa"/>
            </w:tcMar>
            <w:vAlign w:val="center"/>
          </w:tcPr>
          <w:p>
            <w:pPr>
              <w:spacing w:after="0"/>
              <w:jc w:val="left"/>
            </w:pPr>
            <w:r>
              <w:rPr>
                <w:sz w:val="17"/>
              </w:rPr>
              <w:t>A dashboard can be internally consistent but based on failed or stale data.</w:t>
            </w:r>
          </w:p>
        </w:tc>
        <w:tc>
          <w:tcPr>
            <w:tcW w:type="dxa" w:w="3744"/>
            <w:tcMar>
              <w:top w:w="80" w:type="dxa"/>
              <w:start w:w="120" w:type="dxa"/>
              <w:bottom w:w="80" w:type="dxa"/>
              <w:end w:w="120" w:type="dxa"/>
            </w:tcMar>
            <w:vAlign w:val="center"/>
          </w:tcPr>
          <w:p>
            <w:pPr>
              <w:spacing w:after="0"/>
              <w:jc w:val="left"/>
            </w:pPr>
            <w:r>
              <w:rPr>
                <w:sz w:val="17"/>
              </w:rPr>
              <w:t>Atomic publication, latest-success, freshness, and multidimensional reconciliation.</w:t>
            </w:r>
          </w:p>
        </w:tc>
      </w:tr>
      <w:tr>
        <w:trPr>
          <w:cantSplit/>
        </w:trPr>
        <w:tc>
          <w:tcPr>
            <w:tcW w:type="dxa" w:w="2232"/>
            <w:tcMar>
              <w:top w:w="80" w:type="dxa"/>
              <w:start w:w="120" w:type="dxa"/>
              <w:bottom w:w="80" w:type="dxa"/>
              <w:end w:w="120" w:type="dxa"/>
            </w:tcMar>
            <w:vAlign w:val="center"/>
          </w:tcPr>
          <w:p>
            <w:pPr>
              <w:spacing w:after="0"/>
              <w:jc w:val="center"/>
            </w:pPr>
            <w:r>
              <w:rPr>
                <w:sz w:val="17"/>
              </w:rPr>
              <w:t>Overstated portfolio claims</w:t>
            </w:r>
          </w:p>
        </w:tc>
        <w:tc>
          <w:tcPr>
            <w:tcW w:type="dxa" w:w="3384"/>
            <w:tcMar>
              <w:top w:w="80" w:type="dxa"/>
              <w:start w:w="120" w:type="dxa"/>
              <w:bottom w:w="80" w:type="dxa"/>
              <w:end w:w="120" w:type="dxa"/>
            </w:tcMar>
            <w:vAlign w:val="center"/>
          </w:tcPr>
          <w:p>
            <w:pPr>
              <w:spacing w:after="0"/>
              <w:jc w:val="left"/>
            </w:pPr>
            <w:r>
              <w:rPr>
                <w:sz w:val="17"/>
              </w:rPr>
              <w:t>Synthetic targets can be mistaken for operational results.</w:t>
            </w:r>
          </w:p>
        </w:tc>
        <w:tc>
          <w:tcPr>
            <w:tcW w:type="dxa" w:w="3744"/>
            <w:tcMar>
              <w:top w:w="80" w:type="dxa"/>
              <w:start w:w="120" w:type="dxa"/>
              <w:bottom w:w="80" w:type="dxa"/>
              <w:end w:w="120" w:type="dxa"/>
            </w:tcMar>
            <w:vAlign w:val="center"/>
          </w:tcPr>
          <w:p>
            <w:pPr>
              <w:spacing w:after="0"/>
              <w:jc w:val="left"/>
            </w:pPr>
            <w:r>
              <w:rPr>
                <w:sz w:val="17"/>
              </w:rPr>
              <w:t>Content checks, evidence labels, and disclosed failures/limitations.</w:t>
            </w:r>
          </w:p>
        </w:tc>
      </w:tr>
    </w:tbl>
    <w:p>
      <w:pPr>
        <w:spacing w:after="0"/>
      </w:pPr>
    </w:p>
    <w:p>
      <w:pPr>
        <w:pStyle w:val="Heading2"/>
      </w:pPr>
      <w:r>
        <w:t>Test governance</w:t>
      </w:r>
    </w:p>
    <w:p>
      <w:pPr>
        <w:pStyle w:val="ListBullet"/>
      </w:pPr>
      <w:r>
        <w:t>The test baseline consists of the approved Charter, approved BRS version, frozen decision log, rule catalogue version, lifecycle matrix version, approval matrix, business calendar, evidence catalogue, and test fixture version.</w:t>
      </w:r>
    </w:p>
    <w:p>
      <w:pPr>
        <w:pStyle w:val="ListBullet"/>
      </w:pPr>
      <w:r>
        <w:t>A requirement change requires impact analysis, traceability update, affected-test review, and regression testing, consistent with BRS change control.</w:t>
      </w:r>
    </w:p>
    <w:p>
      <w:pPr>
        <w:pStyle w:val="ListBullet"/>
      </w:pPr>
      <w:r>
        <w:t>Expected results must be defined before execution. If an oracle cannot be stated objectively, the case is Blocked rather than Passed.</w:t>
      </w:r>
    </w:p>
    <w:p>
      <w:pPr>
        <w:pStyle w:val="ListBullet"/>
      </w:pPr>
      <w:r>
        <w:t>The same person may build and test the portfolio, but acceptance evidence should be independently reviewed where possible. Role-switching proves workflow logic only, not production identity security or true segregation of duties.</w:t>
      </w:r>
    </w:p>
    <w:p>
      <w:pPr>
        <w:pStyle w:val="Heading1"/>
      </w:pPr>
      <w:r>
        <w:t>2. Test levels</w:t>
      </w:r>
    </w:p>
    <w:tbl>
      <w:tblPr>
        <w:tblStyle w:val="TableGrid"/>
        <w:tblW w:type="dxa" w:w="9360"/>
        <w:jc w:val="center"/>
        <w:tblLayout w:type="fixed"/>
        <w:tblLook w:firstColumn="1" w:firstRow="1" w:lastColumn="0" w:lastRow="0" w:noHBand="0" w:noVBand="1" w:val="04A0"/>
        <w:tblInd w:w="120" w:type="dxa"/>
      </w:tblPr>
      <w:tblGrid>
        <w:gridCol w:w="1872"/>
        <w:gridCol w:w="4608"/>
        <w:gridCol w:w="2880"/>
      </w:tblGrid>
      <w:tr>
        <w:trPr>
          <w:tblHeader w:val="true"/>
          <w:cantSplit/>
        </w:trPr>
        <w:tc>
          <w:tcPr>
            <w:tcW w:type="dxa" w:w="1872"/>
            <w:shd w:fill="F2F4F7"/>
            <w:tcMar>
              <w:top w:w="80" w:type="dxa"/>
              <w:start w:w="120" w:type="dxa"/>
              <w:bottom w:w="80" w:type="dxa"/>
              <w:end w:w="120" w:type="dxa"/>
            </w:tcMar>
            <w:vAlign w:val="center"/>
          </w:tcPr>
          <w:p>
            <w:pPr>
              <w:spacing w:after="0"/>
              <w:jc w:val="center"/>
            </w:pPr>
            <w:r>
              <w:rPr>
                <w:b/>
                <w:color w:val="0B2545"/>
                <w:sz w:val="16"/>
              </w:rPr>
              <w:t>Level</w:t>
            </w:r>
          </w:p>
        </w:tc>
        <w:tc>
          <w:tcPr>
            <w:tcW w:type="dxa" w:w="4608"/>
            <w:shd w:fill="F2F4F7"/>
            <w:tcMar>
              <w:top w:w="80" w:type="dxa"/>
              <w:start w:w="120" w:type="dxa"/>
              <w:bottom w:w="80" w:type="dxa"/>
              <w:end w:w="120" w:type="dxa"/>
            </w:tcMar>
            <w:vAlign w:val="center"/>
          </w:tcPr>
          <w:p>
            <w:pPr>
              <w:spacing w:after="0"/>
              <w:jc w:val="center"/>
            </w:pPr>
            <w:r>
              <w:rPr>
                <w:b/>
                <w:color w:val="0B2545"/>
                <w:sz w:val="16"/>
              </w:rPr>
              <w:t>Scope</w:t>
            </w:r>
          </w:p>
        </w:tc>
        <w:tc>
          <w:tcPr>
            <w:tcW w:type="dxa" w:w="2880"/>
            <w:shd w:fill="F2F4F7"/>
            <w:tcMar>
              <w:top w:w="80" w:type="dxa"/>
              <w:start w:w="120" w:type="dxa"/>
              <w:bottom w:w="80" w:type="dxa"/>
              <w:end w:w="120" w:type="dxa"/>
            </w:tcMar>
            <w:vAlign w:val="center"/>
          </w:tcPr>
          <w:p>
            <w:pPr>
              <w:spacing w:after="0"/>
              <w:jc w:val="center"/>
            </w:pPr>
            <w:r>
              <w:rPr>
                <w:b/>
                <w:color w:val="0B2545"/>
                <w:sz w:val="16"/>
              </w:rPr>
              <w:t>Exit focus</w:t>
            </w:r>
          </w:p>
        </w:tc>
      </w:tr>
      <w:tr>
        <w:trPr>
          <w:cantSplit/>
        </w:trPr>
        <w:tc>
          <w:tcPr>
            <w:tcW w:type="dxa" w:w="1872"/>
            <w:tcMar>
              <w:top w:w="80" w:type="dxa"/>
              <w:start w:w="120" w:type="dxa"/>
              <w:bottom w:w="80" w:type="dxa"/>
              <w:end w:w="120" w:type="dxa"/>
            </w:tcMar>
            <w:vAlign w:val="center"/>
          </w:tcPr>
          <w:p>
            <w:pPr>
              <w:spacing w:after="0"/>
              <w:jc w:val="center"/>
            </w:pPr>
            <w:r>
              <w:rPr>
                <w:sz w:val="16"/>
              </w:rPr>
              <w:t>Unit testing</w:t>
            </w:r>
          </w:p>
        </w:tc>
        <w:tc>
          <w:tcPr>
            <w:tcW w:type="dxa" w:w="4608"/>
            <w:tcMar>
              <w:top w:w="80" w:type="dxa"/>
              <w:start w:w="120" w:type="dxa"/>
              <w:bottom w:w="80" w:type="dxa"/>
              <w:end w:w="120" w:type="dxa"/>
            </w:tcMar>
            <w:vAlign w:val="center"/>
          </w:tcPr>
          <w:p>
            <w:pPr>
              <w:spacing w:after="0"/>
              <w:jc w:val="left"/>
            </w:pPr>
            <w:r>
              <w:rPr>
                <w:sz w:val="16"/>
              </w:rPr>
              <w:t>Individual validation rules, score contributions, date/quantity calculations, severity boundaries, calendar calculations, and state-guard functions.</w:t>
            </w:r>
          </w:p>
        </w:tc>
        <w:tc>
          <w:tcPr>
            <w:tcW w:type="dxa" w:w="2880"/>
            <w:tcMar>
              <w:top w:w="80" w:type="dxa"/>
              <w:start w:w="120" w:type="dxa"/>
              <w:bottom w:w="80" w:type="dxa"/>
              <w:end w:w="120" w:type="dxa"/>
            </w:tcMar>
            <w:vAlign w:val="center"/>
          </w:tcPr>
          <w:p>
            <w:pPr>
              <w:spacing w:after="0"/>
              <w:jc w:val="left"/>
            </w:pPr>
            <w:r>
              <w:rPr>
                <w:sz w:val="16"/>
              </w:rPr>
              <w:t>Fast deterministic checks against hand-calculated fixtures; all Must-rule boundaries pass before integration.</w:t>
            </w:r>
          </w:p>
        </w:tc>
      </w:tr>
      <w:tr>
        <w:trPr>
          <w:cantSplit/>
        </w:trPr>
        <w:tc>
          <w:tcPr>
            <w:tcW w:type="dxa" w:w="1872"/>
            <w:tcMar>
              <w:top w:w="80" w:type="dxa"/>
              <w:start w:w="120" w:type="dxa"/>
              <w:bottom w:w="80" w:type="dxa"/>
              <w:end w:w="120" w:type="dxa"/>
            </w:tcMar>
            <w:vAlign w:val="center"/>
          </w:tcPr>
          <w:p>
            <w:pPr>
              <w:spacing w:after="0"/>
              <w:jc w:val="center"/>
            </w:pPr>
            <w:r>
              <w:rPr>
                <w:sz w:val="16"/>
              </w:rPr>
              <w:t>Integration testing</w:t>
            </w:r>
          </w:p>
        </w:tc>
        <w:tc>
          <w:tcPr>
            <w:tcW w:type="dxa" w:w="4608"/>
            <w:tcMar>
              <w:top w:w="80" w:type="dxa"/>
              <w:start w:w="120" w:type="dxa"/>
              <w:bottom w:w="80" w:type="dxa"/>
              <w:end w:w="120" w:type="dxa"/>
            </w:tcMar>
            <w:vAlign w:val="center"/>
          </w:tcPr>
          <w:p>
            <w:pPr>
              <w:spacing w:after="0"/>
              <w:jc w:val="left"/>
            </w:pPr>
            <w:r>
              <w:rPr>
                <w:sz w:val="16"/>
              </w:rPr>
              <w:t>Controlled movement between source packages, validation, transformation, scoring, operational records, event history, publication outputs, and reporting inputs.</w:t>
            </w:r>
          </w:p>
        </w:tc>
        <w:tc>
          <w:tcPr>
            <w:tcW w:type="dxa" w:w="2880"/>
            <w:tcMar>
              <w:top w:w="80" w:type="dxa"/>
              <w:start w:w="120" w:type="dxa"/>
              <w:bottom w:w="80" w:type="dxa"/>
              <w:end w:w="120" w:type="dxa"/>
            </w:tcMar>
            <w:vAlign w:val="center"/>
          </w:tcPr>
          <w:p>
            <w:pPr>
              <w:spacing w:after="0"/>
              <w:jc w:val="left"/>
            </w:pPr>
            <w:r>
              <w:rPr>
                <w:sz w:val="16"/>
              </w:rPr>
              <w:t>Keys, run IDs, versions, counts, and references remain consistent across component boundaries.</w:t>
            </w:r>
          </w:p>
        </w:tc>
      </w:tr>
      <w:tr>
        <w:trPr>
          <w:cantSplit/>
        </w:trPr>
        <w:tc>
          <w:tcPr>
            <w:tcW w:type="dxa" w:w="1872"/>
            <w:tcMar>
              <w:top w:w="80" w:type="dxa"/>
              <w:start w:w="120" w:type="dxa"/>
              <w:bottom w:w="80" w:type="dxa"/>
              <w:end w:w="120" w:type="dxa"/>
            </w:tcMar>
            <w:vAlign w:val="center"/>
          </w:tcPr>
          <w:p>
            <w:pPr>
              <w:spacing w:after="0"/>
              <w:jc w:val="center"/>
            </w:pPr>
            <w:r>
              <w:rPr>
                <w:sz w:val="16"/>
              </w:rPr>
              <w:t>Pipeline testing</w:t>
            </w:r>
          </w:p>
        </w:tc>
        <w:tc>
          <w:tcPr>
            <w:tcW w:type="dxa" w:w="4608"/>
            <w:tcMar>
              <w:top w:w="80" w:type="dxa"/>
              <w:start w:w="120" w:type="dxa"/>
              <w:bottom w:w="80" w:type="dxa"/>
              <w:end w:w="120" w:type="dxa"/>
            </w:tcMar>
            <w:vAlign w:val="center"/>
          </w:tcPr>
          <w:p>
            <w:pPr>
              <w:spacing w:after="0"/>
              <w:jc w:val="left"/>
            </w:pPr>
            <w:r>
              <w:rPr>
                <w:sz w:val="16"/>
              </w:rPr>
              <w:t>End-to-end run orchestration, reruns, failed stages, recovery, current-run pointer, and atomic publication.</w:t>
            </w:r>
          </w:p>
        </w:tc>
        <w:tc>
          <w:tcPr>
            <w:tcW w:type="dxa" w:w="2880"/>
            <w:tcMar>
              <w:top w:w="80" w:type="dxa"/>
              <w:start w:w="120" w:type="dxa"/>
              <w:bottom w:w="80" w:type="dxa"/>
              <w:end w:w="120" w:type="dxa"/>
            </w:tcMar>
            <w:vAlign w:val="center"/>
          </w:tcPr>
          <w:p>
            <w:pPr>
              <w:spacing w:after="0"/>
              <w:jc w:val="left"/>
            </w:pPr>
            <w:r>
              <w:rPr>
                <w:sz w:val="16"/>
              </w:rPr>
              <w:t>No failed or partial run becomes current; every attempt remains visible and attributable.</w:t>
            </w:r>
          </w:p>
        </w:tc>
      </w:tr>
      <w:tr>
        <w:trPr>
          <w:cantSplit/>
        </w:trPr>
        <w:tc>
          <w:tcPr>
            <w:tcW w:type="dxa" w:w="1872"/>
            <w:tcMar>
              <w:top w:w="80" w:type="dxa"/>
              <w:start w:w="120" w:type="dxa"/>
              <w:bottom w:w="80" w:type="dxa"/>
              <w:end w:w="120" w:type="dxa"/>
            </w:tcMar>
            <w:vAlign w:val="center"/>
          </w:tcPr>
          <w:p>
            <w:pPr>
              <w:spacing w:after="0"/>
              <w:jc w:val="center"/>
            </w:pPr>
            <w:r>
              <w:rPr>
                <w:sz w:val="16"/>
              </w:rPr>
              <w:t>Data-quality testing</w:t>
            </w:r>
          </w:p>
        </w:tc>
        <w:tc>
          <w:tcPr>
            <w:tcW w:type="dxa" w:w="4608"/>
            <w:tcMar>
              <w:top w:w="80" w:type="dxa"/>
              <w:start w:w="120" w:type="dxa"/>
              <w:bottom w:w="80" w:type="dxa"/>
              <w:end w:w="120" w:type="dxa"/>
            </w:tcMar>
            <w:vAlign w:val="center"/>
          </w:tcPr>
          <w:p>
            <w:pPr>
              <w:spacing w:after="0"/>
              <w:jc w:val="left"/>
            </w:pPr>
            <w:r>
              <w:rPr>
                <w:sz w:val="16"/>
              </w:rPr>
              <w:t>Stable keys, referential integrity, quantities, dates, freshness, completeness, missing signals, units, history sufficiency, outcome independence, and reconciliation.</w:t>
            </w:r>
          </w:p>
        </w:tc>
        <w:tc>
          <w:tcPr>
            <w:tcW w:type="dxa" w:w="2880"/>
            <w:tcMar>
              <w:top w:w="80" w:type="dxa"/>
              <w:start w:w="120" w:type="dxa"/>
              <w:bottom w:w="80" w:type="dxa"/>
              <w:end w:w="120" w:type="dxa"/>
            </w:tcMar>
            <w:vAlign w:val="center"/>
          </w:tcPr>
          <w:p>
            <w:pPr>
              <w:spacing w:after="0"/>
              <w:jc w:val="left"/>
            </w:pPr>
            <w:r>
              <w:rPr>
                <w:sz w:val="16"/>
              </w:rPr>
              <w:t>Critical defects stop publication; non-critical defects are quarantined exactly once with a clear disposition.</w:t>
            </w:r>
          </w:p>
        </w:tc>
      </w:tr>
      <w:tr>
        <w:trPr>
          <w:cantSplit/>
        </w:trPr>
        <w:tc>
          <w:tcPr>
            <w:tcW w:type="dxa" w:w="1872"/>
            <w:tcMar>
              <w:top w:w="80" w:type="dxa"/>
              <w:start w:w="120" w:type="dxa"/>
              <w:bottom w:w="80" w:type="dxa"/>
              <w:end w:w="120" w:type="dxa"/>
            </w:tcMar>
            <w:vAlign w:val="center"/>
          </w:tcPr>
          <w:p>
            <w:pPr>
              <w:spacing w:after="0"/>
              <w:jc w:val="center"/>
            </w:pPr>
            <w:r>
              <w:rPr>
                <w:sz w:val="16"/>
              </w:rPr>
              <w:t>Workflow testing</w:t>
            </w:r>
          </w:p>
        </w:tc>
        <w:tc>
          <w:tcPr>
            <w:tcW w:type="dxa" w:w="4608"/>
            <w:tcMar>
              <w:top w:w="80" w:type="dxa"/>
              <w:start w:w="120" w:type="dxa"/>
              <w:bottom w:w="80" w:type="dxa"/>
              <w:end w:w="120" w:type="dxa"/>
            </w:tcMar>
            <w:vAlign w:val="center"/>
          </w:tcPr>
          <w:p>
            <w:pPr>
              <w:spacing w:after="0"/>
              <w:jc w:val="left"/>
            </w:pPr>
            <w:r>
              <w:rPr>
                <w:sz w:val="16"/>
              </w:rPr>
              <w:t>Episode persistence, deduplication, queue, assignment, actions, transitions, approvals, resolution, closure, suppression, reopen, escalation, and SLAs.</w:t>
            </w:r>
          </w:p>
        </w:tc>
        <w:tc>
          <w:tcPr>
            <w:tcW w:type="dxa" w:w="2880"/>
            <w:tcMar>
              <w:top w:w="80" w:type="dxa"/>
              <w:start w:w="120" w:type="dxa"/>
              <w:bottom w:w="80" w:type="dxa"/>
              <w:end w:w="120" w:type="dxa"/>
            </w:tcMar>
            <w:vAlign w:val="center"/>
          </w:tcPr>
          <w:p>
            <w:pPr>
              <w:spacing w:after="0"/>
              <w:jc w:val="left"/>
            </w:pPr>
            <w:r>
              <w:rPr>
                <w:sz w:val="16"/>
              </w:rPr>
              <w:t>Allowed paths succeed only with required authority/evidence; prohibited paths cause zero state mutation.</w:t>
            </w:r>
          </w:p>
        </w:tc>
      </w:tr>
      <w:tr>
        <w:trPr>
          <w:cantSplit/>
        </w:trPr>
        <w:tc>
          <w:tcPr>
            <w:tcW w:type="dxa" w:w="1872"/>
            <w:tcMar>
              <w:top w:w="80" w:type="dxa"/>
              <w:start w:w="120" w:type="dxa"/>
              <w:bottom w:w="80" w:type="dxa"/>
              <w:end w:w="120" w:type="dxa"/>
            </w:tcMar>
            <w:vAlign w:val="center"/>
          </w:tcPr>
          <w:p>
            <w:pPr>
              <w:spacing w:after="0"/>
              <w:jc w:val="center"/>
            </w:pPr>
            <w:r>
              <w:rPr>
                <w:sz w:val="16"/>
              </w:rPr>
              <w:t>User acceptance testing</w:t>
            </w:r>
          </w:p>
        </w:tc>
        <w:tc>
          <w:tcPr>
            <w:tcW w:type="dxa" w:w="4608"/>
            <w:tcMar>
              <w:top w:w="80" w:type="dxa"/>
              <w:start w:w="120" w:type="dxa"/>
              <w:bottom w:w="80" w:type="dxa"/>
              <w:end w:w="120" w:type="dxa"/>
            </w:tcMar>
            <w:vAlign w:val="center"/>
          </w:tcPr>
          <w:p>
            <w:pPr>
              <w:spacing w:after="0"/>
              <w:jc w:val="left"/>
            </w:pPr>
            <w:r>
              <w:rPr>
                <w:sz w:val="16"/>
              </w:rPr>
              <w:t>Role-based usability and operational fitness for buyer, planner, manager, administrator, and audit reviewer tasks.</w:t>
            </w:r>
          </w:p>
        </w:tc>
        <w:tc>
          <w:tcPr>
            <w:tcW w:type="dxa" w:w="2880"/>
            <w:tcMar>
              <w:top w:w="80" w:type="dxa"/>
              <w:start w:w="120" w:type="dxa"/>
              <w:bottom w:w="80" w:type="dxa"/>
              <w:end w:w="120" w:type="dxa"/>
            </w:tcMar>
            <w:vAlign w:val="center"/>
          </w:tcPr>
          <w:p>
            <w:pPr>
              <w:spacing w:after="0"/>
              <w:jc w:val="left"/>
            </w:pPr>
            <w:r>
              <w:rPr>
                <w:sz w:val="16"/>
              </w:rPr>
              <w:t>Scripted tasks are completed accurately; timed screening and evidence retrieval are measured; feedback is recorded as simulation/design evidence, not practitioner endorsement.</w:t>
            </w:r>
          </w:p>
        </w:tc>
      </w:tr>
      <w:tr>
        <w:trPr>
          <w:cantSplit/>
        </w:trPr>
        <w:tc>
          <w:tcPr>
            <w:tcW w:type="dxa" w:w="1872"/>
            <w:tcMar>
              <w:top w:w="80" w:type="dxa"/>
              <w:start w:w="120" w:type="dxa"/>
              <w:bottom w:w="80" w:type="dxa"/>
              <w:end w:w="120" w:type="dxa"/>
            </w:tcMar>
            <w:vAlign w:val="center"/>
          </w:tcPr>
          <w:p>
            <w:pPr>
              <w:spacing w:after="0"/>
              <w:jc w:val="center"/>
            </w:pPr>
            <w:r>
              <w:rPr>
                <w:sz w:val="16"/>
              </w:rPr>
              <w:t>Performance testing</w:t>
            </w:r>
          </w:p>
        </w:tc>
        <w:tc>
          <w:tcPr>
            <w:tcW w:type="dxa" w:w="4608"/>
            <w:tcMar>
              <w:top w:w="80" w:type="dxa"/>
              <w:start w:w="120" w:type="dxa"/>
              <w:bottom w:w="80" w:type="dxa"/>
              <w:end w:w="120" w:type="dxa"/>
            </w:tcMar>
            <w:vAlign w:val="center"/>
          </w:tcPr>
          <w:p>
            <w:pPr>
              <w:spacing w:after="0"/>
              <w:jc w:val="left"/>
            </w:pPr>
            <w:r>
              <w:rPr>
                <w:sz w:val="16"/>
              </w:rPr>
              <w:t>50,000-line batch, 1,500-record queue fixture, filters, repeatability, capacity, and failure recovery in a documented environment.</w:t>
            </w:r>
          </w:p>
        </w:tc>
        <w:tc>
          <w:tcPr>
            <w:tcW w:type="dxa" w:w="2880"/>
            <w:tcMar>
              <w:top w:w="80" w:type="dxa"/>
              <w:start w:w="120" w:type="dxa"/>
              <w:bottom w:w="80" w:type="dxa"/>
              <w:end w:w="120" w:type="dxa"/>
            </w:tcMar>
            <w:vAlign w:val="center"/>
          </w:tcPr>
          <w:p>
            <w:pPr>
              <w:spacing w:after="0"/>
              <w:jc w:val="left"/>
            </w:pPr>
            <w:r>
              <w:rPr>
                <w:sz w:val="16"/>
              </w:rPr>
              <w:t>Five batch runs meet the &lt;=5-minute target and queue p95 meets &lt;=3 seconds, or the shortfall is disclosed as a failed criterion.</w:t>
            </w:r>
          </w:p>
        </w:tc>
      </w:tr>
      <w:tr>
        <w:trPr>
          <w:cantSplit/>
        </w:trPr>
        <w:tc>
          <w:tcPr>
            <w:tcW w:type="dxa" w:w="1872"/>
            <w:tcMar>
              <w:top w:w="80" w:type="dxa"/>
              <w:start w:w="120" w:type="dxa"/>
              <w:bottom w:w="80" w:type="dxa"/>
              <w:end w:w="120" w:type="dxa"/>
            </w:tcMar>
            <w:vAlign w:val="center"/>
          </w:tcPr>
          <w:p>
            <w:pPr>
              <w:spacing w:after="0"/>
              <w:jc w:val="center"/>
            </w:pPr>
            <w:r>
              <w:rPr>
                <w:sz w:val="16"/>
              </w:rPr>
              <w:t>Governance and audit testing</w:t>
            </w:r>
          </w:p>
        </w:tc>
        <w:tc>
          <w:tcPr>
            <w:tcW w:type="dxa" w:w="4608"/>
            <w:tcMar>
              <w:top w:w="80" w:type="dxa"/>
              <w:start w:w="120" w:type="dxa"/>
              <w:bottom w:w="80" w:type="dxa"/>
              <w:end w:w="120" w:type="dxa"/>
            </w:tcMar>
            <w:vAlign w:val="center"/>
          </w:tcPr>
          <w:p>
            <w:pPr>
              <w:spacing w:after="0"/>
              <w:jc w:val="left"/>
            </w:pPr>
            <w:r>
              <w:rPr>
                <w:sz w:val="16"/>
              </w:rPr>
              <w:t>Append-only UI history, event completeness, score versioning, approval separation, override transparency, rule change control, evidence references, administrative accountability, and claim labelling.</w:t>
            </w:r>
          </w:p>
        </w:tc>
        <w:tc>
          <w:tcPr>
            <w:tcW w:type="dxa" w:w="2880"/>
            <w:tcMar>
              <w:top w:w="80" w:type="dxa"/>
              <w:start w:w="120" w:type="dxa"/>
              <w:bottom w:w="80" w:type="dxa"/>
              <w:end w:w="120" w:type="dxa"/>
            </w:tcMar>
            <w:vAlign w:val="center"/>
          </w:tcPr>
          <w:p>
            <w:pPr>
              <w:spacing w:after="0"/>
              <w:jc w:val="left"/>
            </w:pPr>
            <w:r>
              <w:rPr>
                <w:sz w:val="16"/>
              </w:rPr>
              <w:t>Golden records reconcile exactly; no standard role can alter prior events; limitations remain explicit.</w:t>
            </w:r>
          </w:p>
        </w:tc>
      </w:tr>
    </w:tbl>
    <w:p>
      <w:pPr>
        <w:spacing w:after="0"/>
      </w:pPr>
    </w:p>
    <w:p>
      <w:pPr>
        <w:pStyle w:val="Heading2"/>
      </w:pPr>
      <w:r>
        <w:t>Test ownership model</w:t>
      </w:r>
    </w:p>
    <w:tbl>
      <w:tblPr>
        <w:tblStyle w:val="TableGrid"/>
        <w:tblW w:type="dxa" w:w="9360"/>
        <w:jc w:val="center"/>
        <w:tblLayout w:type="fixed"/>
        <w:tblLook w:firstColumn="1" w:firstRow="1" w:lastColumn="0" w:lastRow="0" w:noHBand="0" w:noVBand="1" w:val="04A0"/>
        <w:tblInd w:w="120" w:type="dxa"/>
      </w:tblPr>
      <w:tblGrid>
        <w:gridCol w:w="2592"/>
        <w:gridCol w:w="6768"/>
      </w:tblGrid>
      <w:tr>
        <w:trPr>
          <w:tblHeader w:val="true"/>
          <w:cantSplit/>
        </w:trPr>
        <w:tc>
          <w:tcPr>
            <w:tcW w:type="dxa" w:w="2592"/>
            <w:shd w:fill="F2F4F7"/>
            <w:tcMar>
              <w:top w:w="80" w:type="dxa"/>
              <w:start w:w="120" w:type="dxa"/>
              <w:bottom w:w="80" w:type="dxa"/>
              <w:end w:w="120" w:type="dxa"/>
            </w:tcMar>
            <w:vAlign w:val="center"/>
          </w:tcPr>
          <w:p>
            <w:pPr>
              <w:spacing w:after="0"/>
              <w:jc w:val="center"/>
            </w:pPr>
            <w:r>
              <w:rPr>
                <w:b/>
                <w:color w:val="0B2545"/>
                <w:sz w:val="18"/>
              </w:rPr>
              <w:t>Role</w:t>
            </w:r>
          </w:p>
        </w:tc>
        <w:tc>
          <w:tcPr>
            <w:tcW w:type="dxa" w:w="6768"/>
            <w:shd w:fill="F2F4F7"/>
            <w:tcMar>
              <w:top w:w="80" w:type="dxa"/>
              <w:start w:w="120" w:type="dxa"/>
              <w:bottom w:w="80" w:type="dxa"/>
              <w:end w:w="120" w:type="dxa"/>
            </w:tcMar>
            <w:vAlign w:val="center"/>
          </w:tcPr>
          <w:p>
            <w:pPr>
              <w:spacing w:after="0"/>
              <w:jc w:val="center"/>
            </w:pPr>
            <w:r>
              <w:rPr>
                <w:b/>
                <w:color w:val="0B2545"/>
                <w:sz w:val="18"/>
              </w:rPr>
              <w:t>Primary assurance responsibility</w:t>
            </w:r>
          </w:p>
        </w:tc>
      </w:tr>
      <w:tr>
        <w:trPr>
          <w:cantSplit/>
        </w:trPr>
        <w:tc>
          <w:tcPr>
            <w:tcW w:type="dxa" w:w="2592"/>
            <w:tcMar>
              <w:top w:w="80" w:type="dxa"/>
              <w:start w:w="120" w:type="dxa"/>
              <w:bottom w:w="80" w:type="dxa"/>
              <w:end w:w="120" w:type="dxa"/>
            </w:tcMar>
            <w:vAlign w:val="center"/>
          </w:tcPr>
          <w:p>
            <w:pPr>
              <w:spacing w:after="0"/>
              <w:jc w:val="left"/>
            </w:pPr>
            <w:r>
              <w:rPr>
                <w:sz w:val="18"/>
              </w:rPr>
              <w:t>Project owner / BA</w:t>
            </w:r>
          </w:p>
        </w:tc>
        <w:tc>
          <w:tcPr>
            <w:tcW w:type="dxa" w:w="6768"/>
            <w:tcMar>
              <w:top w:w="80" w:type="dxa"/>
              <w:start w:w="120" w:type="dxa"/>
              <w:bottom w:w="80" w:type="dxa"/>
              <w:end w:w="120" w:type="dxa"/>
            </w:tcMar>
            <w:vAlign w:val="center"/>
          </w:tcPr>
          <w:p>
            <w:pPr>
              <w:spacing w:after="0"/>
              <w:jc w:val="left"/>
            </w:pPr>
            <w:r>
              <w:rPr>
                <w:sz w:val="18"/>
              </w:rPr>
              <w:t>Maintains requirements baseline, decisions, traceability, ambiguity log, and scope gates.</w:t>
            </w:r>
          </w:p>
        </w:tc>
      </w:tr>
      <w:tr>
        <w:trPr>
          <w:cantSplit/>
        </w:trPr>
        <w:tc>
          <w:tcPr>
            <w:tcW w:type="dxa" w:w="2592"/>
            <w:tcMar>
              <w:top w:w="80" w:type="dxa"/>
              <w:start w:w="120" w:type="dxa"/>
              <w:bottom w:w="80" w:type="dxa"/>
              <w:end w:w="120" w:type="dxa"/>
            </w:tcMar>
            <w:vAlign w:val="center"/>
          </w:tcPr>
          <w:p>
            <w:pPr>
              <w:spacing w:after="0"/>
              <w:jc w:val="left"/>
            </w:pPr>
            <w:r>
              <w:rPr>
                <w:sz w:val="18"/>
              </w:rPr>
              <w:t>Developer / technical tester</w:t>
            </w:r>
          </w:p>
        </w:tc>
        <w:tc>
          <w:tcPr>
            <w:tcW w:type="dxa" w:w="6768"/>
            <w:tcMar>
              <w:top w:w="80" w:type="dxa"/>
              <w:start w:w="120" w:type="dxa"/>
              <w:bottom w:w="80" w:type="dxa"/>
              <w:end w:w="120" w:type="dxa"/>
            </w:tcMar>
            <w:vAlign w:val="center"/>
          </w:tcPr>
          <w:p>
            <w:pPr>
              <w:spacing w:after="0"/>
              <w:jc w:val="left"/>
            </w:pPr>
            <w:r>
              <w:rPr>
                <w:sz w:val="18"/>
              </w:rPr>
              <w:t>Runs automated rule, integration, pipeline, reconciliation, and performance suites; preserves raw outputs.</w:t>
            </w:r>
          </w:p>
        </w:tc>
      </w:tr>
      <w:tr>
        <w:trPr>
          <w:cantSplit/>
        </w:trPr>
        <w:tc>
          <w:tcPr>
            <w:tcW w:type="dxa" w:w="2592"/>
            <w:tcMar>
              <w:top w:w="80" w:type="dxa"/>
              <w:start w:w="120" w:type="dxa"/>
              <w:bottom w:w="80" w:type="dxa"/>
              <w:end w:w="120" w:type="dxa"/>
            </w:tcMar>
            <w:vAlign w:val="center"/>
          </w:tcPr>
          <w:p>
            <w:pPr>
              <w:spacing w:after="0"/>
              <w:jc w:val="left"/>
            </w:pPr>
            <w:r>
              <w:rPr>
                <w:sz w:val="18"/>
              </w:rPr>
              <w:t>Simulated business roles</w:t>
            </w:r>
          </w:p>
        </w:tc>
        <w:tc>
          <w:tcPr>
            <w:tcW w:type="dxa" w:w="6768"/>
            <w:tcMar>
              <w:top w:w="80" w:type="dxa"/>
              <w:start w:w="120" w:type="dxa"/>
              <w:bottom w:w="80" w:type="dxa"/>
              <w:end w:w="120" w:type="dxa"/>
            </w:tcMar>
            <w:vAlign w:val="center"/>
          </w:tcPr>
          <w:p>
            <w:pPr>
              <w:spacing w:after="0"/>
              <w:jc w:val="left"/>
            </w:pPr>
            <w:r>
              <w:rPr>
                <w:sz w:val="18"/>
              </w:rPr>
              <w:t>Execute workflow and UAT scripts using role-specific permissions.</w:t>
            </w:r>
          </w:p>
        </w:tc>
      </w:tr>
      <w:tr>
        <w:trPr>
          <w:cantSplit/>
        </w:trPr>
        <w:tc>
          <w:tcPr>
            <w:tcW w:type="dxa" w:w="2592"/>
            <w:tcMar>
              <w:top w:w="80" w:type="dxa"/>
              <w:start w:w="120" w:type="dxa"/>
              <w:bottom w:w="80" w:type="dxa"/>
              <w:end w:w="120" w:type="dxa"/>
            </w:tcMar>
            <w:vAlign w:val="center"/>
          </w:tcPr>
          <w:p>
            <w:pPr>
              <w:spacing w:after="0"/>
              <w:jc w:val="left"/>
            </w:pPr>
            <w:r>
              <w:rPr>
                <w:sz w:val="18"/>
              </w:rPr>
              <w:t>Independent reviewer</w:t>
            </w:r>
          </w:p>
        </w:tc>
        <w:tc>
          <w:tcPr>
            <w:tcW w:type="dxa" w:w="6768"/>
            <w:tcMar>
              <w:top w:w="80" w:type="dxa"/>
              <w:start w:w="120" w:type="dxa"/>
              <w:bottom w:w="80" w:type="dxa"/>
              <w:end w:w="120" w:type="dxa"/>
            </w:tcMar>
            <w:vAlign w:val="center"/>
          </w:tcPr>
          <w:p>
            <w:pPr>
              <w:spacing w:after="0"/>
              <w:jc w:val="left"/>
            </w:pPr>
            <w:r>
              <w:rPr>
                <w:sz w:val="18"/>
              </w:rPr>
              <w:t>Challenges expected results, witnesses selected high-risk tests, and reviews evidence completeness.</w:t>
            </w:r>
          </w:p>
        </w:tc>
      </w:tr>
      <w:tr>
        <w:trPr>
          <w:cantSplit/>
        </w:trPr>
        <w:tc>
          <w:tcPr>
            <w:tcW w:type="dxa" w:w="2592"/>
            <w:tcMar>
              <w:top w:w="80" w:type="dxa"/>
              <w:start w:w="120" w:type="dxa"/>
              <w:bottom w:w="80" w:type="dxa"/>
              <w:end w:w="120" w:type="dxa"/>
            </w:tcMar>
            <w:vAlign w:val="center"/>
          </w:tcPr>
          <w:p>
            <w:pPr>
              <w:spacing w:after="0"/>
              <w:jc w:val="left"/>
            </w:pPr>
            <w:r>
              <w:rPr>
                <w:sz w:val="18"/>
              </w:rPr>
              <w:t>Acceptance authority</w:t>
            </w:r>
          </w:p>
        </w:tc>
        <w:tc>
          <w:tcPr>
            <w:tcW w:type="dxa" w:w="6768"/>
            <w:tcMar>
              <w:top w:w="80" w:type="dxa"/>
              <w:start w:w="120" w:type="dxa"/>
              <w:bottom w:w="80" w:type="dxa"/>
              <w:end w:w="120" w:type="dxa"/>
            </w:tcMar>
            <w:vAlign w:val="center"/>
          </w:tcPr>
          <w:p>
            <w:pPr>
              <w:spacing w:after="0"/>
              <w:jc w:val="left"/>
            </w:pPr>
            <w:r>
              <w:rPr>
                <w:sz w:val="18"/>
              </w:rPr>
              <w:t>Approves or rejects the relevant phase gate; does not convert failed evidence into a pass.</w:t>
            </w:r>
          </w:p>
        </w:tc>
      </w:tr>
    </w:tbl>
    <w:p>
      <w:pPr>
        <w:spacing w:after="0"/>
      </w:pPr>
    </w:p>
    <w:p>
      <w:pPr>
        <w:pStyle w:val="Heading1"/>
      </w:pPr>
      <w:r>
        <w:t>3. Requirement-to-test traceability approach</w:t>
      </w:r>
    </w:p>
    <w:p>
      <w:r>
        <w:t>Traceability will be maintained as a bidirectional register: each mandatory requirement maps to at least one test, and each test maps back to one or more requirement IDs. Business objectives and BRS acceptance criteria remain visible so technical checks do not replace the intended control outcome.</w:t>
      </w:r>
    </w:p>
    <w:p>
      <w:pPr>
        <w:pStyle w:val="Heading2"/>
      </w:pPr>
      <w:r>
        <w:t>Minimum traceability fields</w:t>
      </w:r>
    </w:p>
    <w:p>
      <w:pPr>
        <w:pStyle w:val="ListBullet"/>
      </w:pPr>
      <w:r>
        <w:t>Requirement ID and version; phase; priority; exact acceptance criterion; business objective/KPI.</w:t>
      </w:r>
    </w:p>
    <w:p>
      <w:pPr>
        <w:pStyle w:val="ListBullet"/>
      </w:pPr>
      <w:r>
        <w:t>Test ID and version; test level; positive/negative/boundary classification; automation status; owner.</w:t>
      </w:r>
    </w:p>
    <w:p>
      <w:pPr>
        <w:pStyle w:val="ListBullet"/>
      </w:pPr>
      <w:r>
        <w:t>Decision dependencies, fixture ID/version, rule version, lifecycle version, environment, and data seed.</w:t>
      </w:r>
    </w:p>
    <w:p>
      <w:pPr>
        <w:pStyle w:val="ListBullet"/>
      </w:pPr>
      <w:r>
        <w:t>Execution ID, result, evidence path/hash, defect ID, retest ID, and final acceptance decision.</w:t>
      </w:r>
    </w:p>
    <w:p>
      <w:pPr>
        <w:pStyle w:val="ListBullet"/>
      </w:pPr>
      <w:r>
        <w:t>Coverage status: Designed, Ready, Executed-Pass, Executed-Fail, Blocked, Deferred, or Not Applicable with rationale.</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FF7E6"/>
            <w:tcMar>
              <w:top w:w="140" w:type="dxa"/>
              <w:start w:w="180" w:type="dxa"/>
              <w:bottom w:w="140" w:type="dxa"/>
              <w:end w:w="180" w:type="dxa"/>
            </w:tcMar>
          </w:tcPr>
          <w:p>
            <w:pPr>
              <w:spacing w:after="0"/>
            </w:pPr>
            <w:r>
              <w:rPr>
                <w:b/>
                <w:color w:val="7A5A00"/>
              </w:rPr>
              <w:t xml:space="preserve">Control rule: </w:t>
            </w:r>
            <w:r>
              <w:t>A requirement is not covered merely because a test name resembles it. Coverage requires an explicit expected result that proves the measurable acceptance criterion.</w:t>
            </w:r>
          </w:p>
        </w:tc>
      </w:tr>
    </w:tbl>
    <w:p>
      <w:pPr>
        <w:spacing w:after="0"/>
      </w:pPr>
    </w:p>
    <w:p>
      <w:pPr>
        <w:pStyle w:val="Heading2"/>
      </w:pPr>
      <w:r>
        <w:t>Traceability controls</w:t>
      </w:r>
    </w:p>
    <w:p>
      <w:pPr>
        <w:pStyle w:val="ListBullet"/>
      </w:pPr>
      <w:r>
        <w:t>Run an orphan check before every gate: no in-scope Must requirement without a test, and no executed test without a valid requirement or risk reference.</w:t>
      </w:r>
    </w:p>
    <w:p>
      <w:pPr>
        <w:pStyle w:val="ListBullet"/>
      </w:pPr>
      <w:r>
        <w:t>Use separate rows when one requirement has materially different positive, negative, and boundary evidence.</w:t>
      </w:r>
    </w:p>
    <w:p>
      <w:pPr>
        <w:pStyle w:val="ListBullet"/>
      </w:pPr>
      <w:r>
        <w:t>Preserve superseded mappings after change; do not rewrite historical execution records to point to a new requirement version.</w:t>
      </w:r>
    </w:p>
    <w:p>
      <w:pPr>
        <w:pStyle w:val="ListBullet"/>
      </w:pPr>
      <w:r>
        <w:t>Record blocked dependencies explicitly, particularly DL-002 to DL-015 and open questions Q02-Q11/Q17.</w:t>
      </w:r>
    </w:p>
    <w:p>
      <w:pPr>
        <w:pStyle w:val="ListBullet"/>
      </w:pPr>
      <w:r>
        <w:t>At P4, reconcile the RTM summary with the test-result register and defect register before sign-off.</w:t>
      </w:r>
    </w:p>
    <w:p>
      <w:pPr>
        <w:pStyle w:val="Heading1"/>
      </w:pPr>
      <w:r>
        <w:t>4. Test-data strategy</w:t>
      </w:r>
    </w:p>
    <w:p>
      <w:r>
        <w:t>Testing will use synthetic, version-controlled data with two complementary layers: small deterministic fixtures for exact rule and workflow assertions, and a reproducible 24-month reference dataset for volume, calibration, backtesting, reporting, and performance. Test data must never contain real supplier, customer, employee, or credential information.</w:t>
      </w:r>
    </w:p>
    <w:tbl>
      <w:tblPr>
        <w:tblStyle w:val="TableGrid"/>
        <w:tblW w:type="dxa" w:w="9359"/>
        <w:jc w:val="center"/>
        <w:tblLayout w:type="fixed"/>
        <w:tblLook w:firstColumn="1" w:firstRow="1" w:lastColumn="0" w:lastRow="0" w:noHBand="0" w:noVBand="1" w:val="04A0"/>
        <w:tblInd w:w="120" w:type="dxa"/>
      </w:tblPr>
      <w:tblGrid>
        <w:gridCol w:w="2232"/>
        <w:gridCol w:w="3671"/>
        <w:gridCol w:w="3456"/>
      </w:tblGrid>
      <w:tr>
        <w:trPr>
          <w:tblHeader w:val="true"/>
          <w:cantSplit/>
        </w:trPr>
        <w:tc>
          <w:tcPr>
            <w:tcW w:type="dxa" w:w="2232"/>
            <w:shd w:fill="F2F4F7"/>
            <w:tcMar>
              <w:top w:w="80" w:type="dxa"/>
              <w:start w:w="120" w:type="dxa"/>
              <w:bottom w:w="80" w:type="dxa"/>
              <w:end w:w="120" w:type="dxa"/>
            </w:tcMar>
            <w:vAlign w:val="center"/>
          </w:tcPr>
          <w:p>
            <w:pPr>
              <w:spacing w:after="0"/>
              <w:jc w:val="center"/>
            </w:pPr>
            <w:r>
              <w:rPr>
                <w:b/>
                <w:color w:val="0B2545"/>
                <w:sz w:val="16"/>
              </w:rPr>
              <w:t>Data pack</w:t>
            </w:r>
          </w:p>
        </w:tc>
        <w:tc>
          <w:tcPr>
            <w:tcW w:type="dxa" w:w="3671"/>
            <w:shd w:fill="F2F4F7"/>
            <w:tcMar>
              <w:top w:w="80" w:type="dxa"/>
              <w:start w:w="120" w:type="dxa"/>
              <w:bottom w:w="80" w:type="dxa"/>
              <w:end w:w="120" w:type="dxa"/>
            </w:tcMar>
            <w:vAlign w:val="center"/>
          </w:tcPr>
          <w:p>
            <w:pPr>
              <w:spacing w:after="0"/>
              <w:jc w:val="center"/>
            </w:pPr>
            <w:r>
              <w:rPr>
                <w:b/>
                <w:color w:val="0B2545"/>
                <w:sz w:val="16"/>
              </w:rPr>
              <w:t>Purpose</w:t>
            </w:r>
          </w:p>
        </w:tc>
        <w:tc>
          <w:tcPr>
            <w:tcW w:type="dxa" w:w="3456"/>
            <w:shd w:fill="F2F4F7"/>
            <w:tcMar>
              <w:top w:w="80" w:type="dxa"/>
              <w:start w:w="120" w:type="dxa"/>
              <w:bottom w:w="80" w:type="dxa"/>
              <w:end w:w="120" w:type="dxa"/>
            </w:tcMar>
            <w:vAlign w:val="center"/>
          </w:tcPr>
          <w:p>
            <w:pPr>
              <w:spacing w:after="0"/>
              <w:jc w:val="center"/>
            </w:pPr>
            <w:r>
              <w:rPr>
                <w:b/>
                <w:color w:val="0B2545"/>
                <w:sz w:val="16"/>
              </w:rPr>
              <w:t>Required controls</w:t>
            </w:r>
          </w:p>
        </w:tc>
      </w:tr>
      <w:tr>
        <w:trPr>
          <w:cantSplit/>
        </w:trPr>
        <w:tc>
          <w:tcPr>
            <w:tcW w:type="dxa" w:w="2232"/>
            <w:tcMar>
              <w:top w:w="80" w:type="dxa"/>
              <w:start w:w="120" w:type="dxa"/>
              <w:bottom w:w="80" w:type="dxa"/>
              <w:end w:w="120" w:type="dxa"/>
            </w:tcMar>
            <w:vAlign w:val="center"/>
          </w:tcPr>
          <w:p>
            <w:pPr>
              <w:spacing w:after="0"/>
              <w:jc w:val="center"/>
            </w:pPr>
            <w:r>
              <w:rPr>
                <w:sz w:val="16"/>
              </w:rPr>
              <w:t>Golden micro-fixtures</w:t>
            </w:r>
          </w:p>
        </w:tc>
        <w:tc>
          <w:tcPr>
            <w:tcW w:type="dxa" w:w="3671"/>
            <w:tcMar>
              <w:top w:w="80" w:type="dxa"/>
              <w:start w:w="120" w:type="dxa"/>
              <w:bottom w:w="80" w:type="dxa"/>
              <w:end w:w="120" w:type="dxa"/>
            </w:tcMar>
            <w:vAlign w:val="center"/>
          </w:tcPr>
          <w:p>
            <w:pPr>
              <w:spacing w:after="0"/>
              <w:jc w:val="left"/>
            </w:pPr>
            <w:r>
              <w:rPr>
                <w:sz w:val="16"/>
              </w:rPr>
              <w:t>One-purpose cases for keys, dates, quantities, score boundaries, states, roles, and SLAs.</w:t>
            </w:r>
          </w:p>
        </w:tc>
        <w:tc>
          <w:tcPr>
            <w:tcW w:type="dxa" w:w="3456"/>
            <w:tcMar>
              <w:top w:w="80" w:type="dxa"/>
              <w:start w:w="120" w:type="dxa"/>
              <w:bottom w:w="80" w:type="dxa"/>
              <w:end w:w="120" w:type="dxa"/>
            </w:tcMar>
            <w:vAlign w:val="center"/>
          </w:tcPr>
          <w:p>
            <w:pPr>
              <w:spacing w:after="0"/>
              <w:jc w:val="left"/>
            </w:pPr>
            <w:r>
              <w:rPr>
                <w:sz w:val="16"/>
              </w:rPr>
              <w:t>Human-readable expected outcomes; stable IDs; frozen version; no irrelevant randomness.</w:t>
            </w:r>
          </w:p>
        </w:tc>
      </w:tr>
      <w:tr>
        <w:trPr>
          <w:cantSplit/>
        </w:trPr>
        <w:tc>
          <w:tcPr>
            <w:tcW w:type="dxa" w:w="2232"/>
            <w:tcMar>
              <w:top w:w="80" w:type="dxa"/>
              <w:start w:w="120" w:type="dxa"/>
              <w:bottom w:w="80" w:type="dxa"/>
              <w:end w:w="120" w:type="dxa"/>
            </w:tcMar>
            <w:vAlign w:val="center"/>
          </w:tcPr>
          <w:p>
            <w:pPr>
              <w:spacing w:after="0"/>
              <w:jc w:val="center"/>
            </w:pPr>
            <w:r>
              <w:rPr>
                <w:sz w:val="16"/>
              </w:rPr>
              <w:t>Golden episode</w:t>
            </w:r>
          </w:p>
        </w:tc>
        <w:tc>
          <w:tcPr>
            <w:tcW w:type="dxa" w:w="3671"/>
            <w:tcMar>
              <w:top w:w="80" w:type="dxa"/>
              <w:start w:w="120" w:type="dxa"/>
              <w:bottom w:w="80" w:type="dxa"/>
              <w:end w:w="120" w:type="dxa"/>
            </w:tcMar>
            <w:vAlign w:val="center"/>
          </w:tcPr>
          <w:p>
            <w:pPr>
              <w:spacing w:after="0"/>
              <w:jc w:val="left"/>
            </w:pPr>
            <w:r>
              <w:rPr>
                <w:sz w:val="16"/>
              </w:rPr>
              <w:t>End-to-end exception from candidate through closure, suppression/reopen, and audit export.</w:t>
            </w:r>
          </w:p>
        </w:tc>
        <w:tc>
          <w:tcPr>
            <w:tcW w:type="dxa" w:w="3456"/>
            <w:tcMar>
              <w:top w:w="80" w:type="dxa"/>
              <w:start w:w="120" w:type="dxa"/>
              <w:bottom w:w="80" w:type="dxa"/>
              <w:end w:w="120" w:type="dxa"/>
            </w:tcMar>
            <w:vAlign w:val="center"/>
          </w:tcPr>
          <w:p>
            <w:pPr>
              <w:spacing w:after="0"/>
              <w:jc w:val="left"/>
            </w:pPr>
            <w:r>
              <w:rPr>
                <w:sz w:val="16"/>
              </w:rPr>
              <w:t>Expected event ledger, actors, timestamps, before/after values, evidence and approvals.</w:t>
            </w:r>
          </w:p>
        </w:tc>
      </w:tr>
      <w:tr>
        <w:trPr>
          <w:cantSplit/>
        </w:trPr>
        <w:tc>
          <w:tcPr>
            <w:tcW w:type="dxa" w:w="2232"/>
            <w:tcMar>
              <w:top w:w="80" w:type="dxa"/>
              <w:start w:w="120" w:type="dxa"/>
              <w:bottom w:w="80" w:type="dxa"/>
              <w:end w:w="120" w:type="dxa"/>
            </w:tcMar>
            <w:vAlign w:val="center"/>
          </w:tcPr>
          <w:p>
            <w:pPr>
              <w:spacing w:after="0"/>
              <w:jc w:val="center"/>
            </w:pPr>
            <w:r>
              <w:rPr>
                <w:sz w:val="16"/>
              </w:rPr>
              <w:t>Negative/adversarial pack</w:t>
            </w:r>
          </w:p>
        </w:tc>
        <w:tc>
          <w:tcPr>
            <w:tcW w:type="dxa" w:w="3671"/>
            <w:tcMar>
              <w:top w:w="80" w:type="dxa"/>
              <w:start w:w="120" w:type="dxa"/>
              <w:bottom w:w="80" w:type="dxa"/>
              <w:end w:w="120" w:type="dxa"/>
            </w:tcMar>
            <w:vAlign w:val="center"/>
          </w:tcPr>
          <w:p>
            <w:pPr>
              <w:spacing w:after="0"/>
              <w:jc w:val="left"/>
            </w:pPr>
            <w:r>
              <w:rPr>
                <w:sz w:val="16"/>
              </w:rPr>
              <w:t>Duplicates, orphans, invalid dates, missing fields, prohibited roles/transitions, broken evidence, and stage failures.</w:t>
            </w:r>
          </w:p>
        </w:tc>
        <w:tc>
          <w:tcPr>
            <w:tcW w:type="dxa" w:w="3456"/>
            <w:tcMar>
              <w:top w:w="80" w:type="dxa"/>
              <w:start w:w="120" w:type="dxa"/>
              <w:bottom w:w="80" w:type="dxa"/>
              <w:end w:w="120" w:type="dxa"/>
            </w:tcMar>
            <w:vAlign w:val="center"/>
          </w:tcPr>
          <w:p>
            <w:pPr>
              <w:spacing w:after="0"/>
              <w:jc w:val="left"/>
            </w:pPr>
            <w:r>
              <w:rPr>
                <w:sz w:val="16"/>
              </w:rPr>
              <w:t>One injected defect at a time plus selected compound-defect cases; expected gate/quarantine behavior.</w:t>
            </w:r>
          </w:p>
        </w:tc>
      </w:tr>
      <w:tr>
        <w:trPr>
          <w:cantSplit/>
        </w:trPr>
        <w:tc>
          <w:tcPr>
            <w:tcW w:type="dxa" w:w="2232"/>
            <w:tcMar>
              <w:top w:w="80" w:type="dxa"/>
              <w:start w:w="120" w:type="dxa"/>
              <w:bottom w:w="80" w:type="dxa"/>
              <w:end w:w="120" w:type="dxa"/>
            </w:tcMar>
            <w:vAlign w:val="center"/>
          </w:tcPr>
          <w:p>
            <w:pPr>
              <w:spacing w:after="0"/>
              <w:jc w:val="center"/>
            </w:pPr>
            <w:r>
              <w:rPr>
                <w:sz w:val="16"/>
              </w:rPr>
              <w:t>Boundary pack</w:t>
            </w:r>
          </w:p>
        </w:tc>
        <w:tc>
          <w:tcPr>
            <w:tcW w:type="dxa" w:w="3671"/>
            <w:tcMar>
              <w:top w:w="80" w:type="dxa"/>
              <w:start w:w="120" w:type="dxa"/>
              <w:bottom w:w="80" w:type="dxa"/>
              <w:end w:w="120" w:type="dxa"/>
            </w:tcMar>
            <w:vAlign w:val="center"/>
          </w:tcPr>
          <w:p>
            <w:pPr>
              <w:spacing w:after="0"/>
              <w:jc w:val="left"/>
            </w:pPr>
            <w:r>
              <w:rPr>
                <w:sz w:val="16"/>
              </w:rPr>
              <w:t>Exact score, date, time, quantity, threshold, DST, holiday, and expiry boundaries.</w:t>
            </w:r>
          </w:p>
        </w:tc>
        <w:tc>
          <w:tcPr>
            <w:tcW w:type="dxa" w:w="3456"/>
            <w:tcMar>
              <w:top w:w="80" w:type="dxa"/>
              <w:start w:w="120" w:type="dxa"/>
              <w:bottom w:w="80" w:type="dxa"/>
              <w:end w:w="120" w:type="dxa"/>
            </w:tcMar>
            <w:vAlign w:val="center"/>
          </w:tcPr>
          <w:p>
            <w:pPr>
              <w:spacing w:after="0"/>
              <w:jc w:val="left"/>
            </w:pPr>
            <w:r>
              <w:rPr>
                <w:sz w:val="16"/>
              </w:rPr>
              <w:t>Values immediately below, exactly at, and immediately above each boundary.</w:t>
            </w:r>
          </w:p>
        </w:tc>
      </w:tr>
      <w:tr>
        <w:trPr>
          <w:cantSplit/>
        </w:trPr>
        <w:tc>
          <w:tcPr>
            <w:tcW w:type="dxa" w:w="2232"/>
            <w:tcMar>
              <w:top w:w="80" w:type="dxa"/>
              <w:start w:w="120" w:type="dxa"/>
              <w:bottom w:w="80" w:type="dxa"/>
              <w:end w:w="120" w:type="dxa"/>
            </w:tcMar>
            <w:vAlign w:val="center"/>
          </w:tcPr>
          <w:p>
            <w:pPr>
              <w:spacing w:after="0"/>
              <w:jc w:val="center"/>
            </w:pPr>
            <w:r>
              <w:rPr>
                <w:sz w:val="16"/>
              </w:rPr>
              <w:t>Reference operational dataset</w:t>
            </w:r>
          </w:p>
        </w:tc>
        <w:tc>
          <w:tcPr>
            <w:tcW w:type="dxa" w:w="3671"/>
            <w:tcMar>
              <w:top w:w="80" w:type="dxa"/>
              <w:start w:w="120" w:type="dxa"/>
              <w:bottom w:w="80" w:type="dxa"/>
              <w:end w:w="120" w:type="dxa"/>
            </w:tcMar>
            <w:vAlign w:val="center"/>
          </w:tcPr>
          <w:p>
            <w:pPr>
              <w:spacing w:after="0"/>
              <w:jc w:val="left"/>
            </w:pPr>
            <w:r>
              <w:rPr>
                <w:sz w:val="16"/>
              </w:rPr>
              <w:t>At least 50,000 historical PO lines, 24 months, 120 suppliers, 1,000 SKUs, two sites, and normal open-line volume.</w:t>
            </w:r>
          </w:p>
        </w:tc>
        <w:tc>
          <w:tcPr>
            <w:tcW w:type="dxa" w:w="3456"/>
            <w:tcMar>
              <w:top w:w="80" w:type="dxa"/>
              <w:start w:w="120" w:type="dxa"/>
              <w:bottom w:w="80" w:type="dxa"/>
              <w:end w:w="120" w:type="dxa"/>
            </w:tcMar>
            <w:vAlign w:val="center"/>
          </w:tcPr>
          <w:p>
            <w:pPr>
              <w:spacing w:after="0"/>
              <w:jc w:val="left"/>
            </w:pPr>
            <w:r>
              <w:rPr>
                <w:sz w:val="16"/>
              </w:rPr>
              <w:t>Reproducible seed; documented generator version; control totals; source freshness metadata.</w:t>
            </w:r>
          </w:p>
        </w:tc>
      </w:tr>
      <w:tr>
        <w:trPr>
          <w:cantSplit/>
        </w:trPr>
        <w:tc>
          <w:tcPr>
            <w:tcW w:type="dxa" w:w="2232"/>
            <w:tcMar>
              <w:top w:w="80" w:type="dxa"/>
              <w:start w:w="120" w:type="dxa"/>
              <w:bottom w:w="80" w:type="dxa"/>
              <w:end w:w="120" w:type="dxa"/>
            </w:tcMar>
            <w:vAlign w:val="center"/>
          </w:tcPr>
          <w:p>
            <w:pPr>
              <w:spacing w:after="0"/>
              <w:jc w:val="center"/>
            </w:pPr>
            <w:r>
              <w:rPr>
                <w:sz w:val="16"/>
              </w:rPr>
              <w:t>Independent outcome holdout</w:t>
            </w:r>
          </w:p>
        </w:tc>
        <w:tc>
          <w:tcPr>
            <w:tcW w:type="dxa" w:w="3671"/>
            <w:tcMar>
              <w:top w:w="80" w:type="dxa"/>
              <w:start w:w="120" w:type="dxa"/>
              <w:bottom w:w="80" w:type="dxa"/>
              <w:end w:w="120" w:type="dxa"/>
            </w:tcMar>
            <w:vAlign w:val="center"/>
          </w:tcPr>
          <w:p>
            <w:pPr>
              <w:spacing w:after="0"/>
              <w:jc w:val="left"/>
            </w:pPr>
            <w:r>
              <w:rPr>
                <w:sz w:val="16"/>
              </w:rPr>
              <w:t>Recall, false-positive, useful-lead-time, and missed-event assessment.</w:t>
            </w:r>
          </w:p>
        </w:tc>
        <w:tc>
          <w:tcPr>
            <w:tcW w:type="dxa" w:w="3456"/>
            <w:tcMar>
              <w:top w:w="80" w:type="dxa"/>
              <w:start w:w="120" w:type="dxa"/>
              <w:bottom w:w="80" w:type="dxa"/>
              <w:end w:w="120" w:type="dxa"/>
            </w:tcMar>
            <w:vAlign w:val="center"/>
          </w:tcPr>
          <w:p>
            <w:pPr>
              <w:spacing w:after="0"/>
              <w:jc w:val="left"/>
            </w:pPr>
            <w:r>
              <w:rPr>
                <w:sz w:val="16"/>
              </w:rPr>
              <w:t>Separate generator/seed from scoring; hidden until score rules are frozen; no threshold-derived labels.</w:t>
            </w:r>
          </w:p>
        </w:tc>
      </w:tr>
      <w:tr>
        <w:trPr>
          <w:cantSplit/>
        </w:trPr>
        <w:tc>
          <w:tcPr>
            <w:tcW w:type="dxa" w:w="2232"/>
            <w:tcMar>
              <w:top w:w="80" w:type="dxa"/>
              <w:start w:w="120" w:type="dxa"/>
              <w:bottom w:w="80" w:type="dxa"/>
              <w:end w:w="120" w:type="dxa"/>
            </w:tcMar>
            <w:vAlign w:val="center"/>
          </w:tcPr>
          <w:p>
            <w:pPr>
              <w:spacing w:after="0"/>
              <w:jc w:val="center"/>
            </w:pPr>
            <w:r>
              <w:rPr>
                <w:sz w:val="16"/>
              </w:rPr>
              <w:t>Performance dataset</w:t>
            </w:r>
          </w:p>
        </w:tc>
        <w:tc>
          <w:tcPr>
            <w:tcW w:type="dxa" w:w="3671"/>
            <w:tcMar>
              <w:top w:w="80" w:type="dxa"/>
              <w:start w:w="120" w:type="dxa"/>
              <w:bottom w:w="80" w:type="dxa"/>
              <w:end w:w="120" w:type="dxa"/>
            </w:tcMar>
            <w:vAlign w:val="center"/>
          </w:tcPr>
          <w:p>
            <w:pPr>
              <w:spacing w:after="0"/>
              <w:jc w:val="left"/>
            </w:pPr>
            <w:r>
              <w:rPr>
                <w:sz w:val="16"/>
              </w:rPr>
              <w:t>Batch and queue response measurements.</w:t>
            </w:r>
          </w:p>
        </w:tc>
        <w:tc>
          <w:tcPr>
            <w:tcW w:type="dxa" w:w="3456"/>
            <w:tcMar>
              <w:top w:w="80" w:type="dxa"/>
              <w:start w:w="120" w:type="dxa"/>
              <w:bottom w:w="80" w:type="dxa"/>
              <w:end w:w="120" w:type="dxa"/>
            </w:tcMar>
            <w:vAlign w:val="center"/>
          </w:tcPr>
          <w:p>
            <w:pPr>
              <w:spacing w:after="0"/>
              <w:jc w:val="left"/>
            </w:pPr>
            <w:r>
              <w:rPr>
                <w:sz w:val="16"/>
              </w:rPr>
              <w:t>Fixed row counts; cold/warm protocol; hardware/software/environment record.</w:t>
            </w:r>
          </w:p>
        </w:tc>
      </w:tr>
    </w:tbl>
    <w:p>
      <w:pPr>
        <w:spacing w:after="0"/>
      </w:pPr>
    </w:p>
    <w:p>
      <w:pPr>
        <w:pStyle w:val="Heading2"/>
      </w:pPr>
      <w:r>
        <w:t>Test-data design rules</w:t>
      </w:r>
    </w:p>
    <w:p>
      <w:pPr>
        <w:pStyle w:val="ListBullet"/>
      </w:pPr>
      <w:r>
        <w:t>Freeze an expected-result oracle before execution. For score and stockout cases, preserve the hand calculation alongside the fixture.</w:t>
      </w:r>
    </w:p>
    <w:p>
      <w:pPr>
        <w:pStyle w:val="ListBullet"/>
      </w:pPr>
      <w:r>
        <w:t>Use stable business keys while allowing a new immutable run ID per attempt. Repeatability comparisons must exclude legitimate run metadata such as run ID and timestamps.</w:t>
      </w:r>
    </w:p>
    <w:p>
      <w:pPr>
        <w:pStyle w:val="ListBullet"/>
      </w:pPr>
      <w:r>
        <w:t>Create partial-receipt variants: zero receipt, one partial, multiple partials, fully received, over-receipt within/outside tolerance, corrected receipt, and receipt reversal.</w:t>
      </w:r>
    </w:p>
    <w:p>
      <w:pPr>
        <w:pStyle w:val="ListBullet"/>
      </w:pPr>
      <w:r>
        <w:t>Create date variants covering need, confirmed promise, revised promise, expected receipt, actual receipt, missing dates, conflicting dates, weekends, holidays, and daylight-saving boundaries.</w:t>
      </w:r>
    </w:p>
    <w:p>
      <w:pPr>
        <w:pStyle w:val="ListBullet"/>
      </w:pPr>
      <w:r>
        <w:t>Create role/authority variants for buyer, planner, manager, administrator, auditor, and read-only reviewer, including requester-self-approval attempts.</w:t>
      </w:r>
    </w:p>
    <w:p>
      <w:pPr>
        <w:pStyle w:val="ListBullet"/>
      </w:pPr>
      <w:r>
        <w:t>Snapshot every acceptance dataset and record its checksum, generator version, seed, creation time, and intended test scope.</w:t>
      </w:r>
    </w:p>
    <w:p>
      <w:pPr>
        <w:pStyle w:val="ListBullet"/>
      </w:pPr>
      <w:r>
        <w:t>Do not tune thresholds on the hidden outcome holdout. If the holdout drives tuning, create a new untouched holdout before final measurement.</w:t>
      </w:r>
    </w:p>
    <w:p>
      <w:pPr>
        <w:pStyle w:val="Heading1"/>
      </w:pPr>
      <w:r>
        <w:t>5. Positive, negative and boundary test categories</w:t>
      </w:r>
    </w:p>
    <w:tbl>
      <w:tblPr>
        <w:tblStyle w:val="TableGrid"/>
        <w:tblW w:type="dxa" w:w="9360"/>
        <w:jc w:val="center"/>
        <w:tblLayout w:type="fixed"/>
        <w:tblLook w:firstColumn="1" w:firstRow="1" w:lastColumn="0" w:lastRow="0" w:noHBand="0" w:noVBand="1" w:val="04A0"/>
        <w:tblInd w:w="120" w:type="dxa"/>
      </w:tblPr>
      <w:tblGrid>
        <w:gridCol w:w="1800"/>
        <w:gridCol w:w="3240"/>
        <w:gridCol w:w="4320"/>
      </w:tblGrid>
      <w:tr>
        <w:trPr>
          <w:tblHeader w:val="true"/>
          <w:cantSplit/>
        </w:trPr>
        <w:tc>
          <w:tcPr>
            <w:tcW w:type="dxa" w:w="1800"/>
            <w:shd w:fill="F2F4F7"/>
            <w:tcMar>
              <w:top w:w="80" w:type="dxa"/>
              <w:start w:w="120" w:type="dxa"/>
              <w:bottom w:w="80" w:type="dxa"/>
              <w:end w:w="120" w:type="dxa"/>
            </w:tcMar>
            <w:vAlign w:val="center"/>
          </w:tcPr>
          <w:p>
            <w:pPr>
              <w:spacing w:after="0"/>
              <w:jc w:val="center"/>
            </w:pPr>
            <w:r>
              <w:rPr>
                <w:b/>
                <w:color w:val="0B2545"/>
                <w:sz w:val="17"/>
              </w:rPr>
              <w:t>Category</w:t>
            </w:r>
          </w:p>
        </w:tc>
        <w:tc>
          <w:tcPr>
            <w:tcW w:type="dxa" w:w="3240"/>
            <w:shd w:fill="F2F4F7"/>
            <w:tcMar>
              <w:top w:w="80" w:type="dxa"/>
              <w:start w:w="120" w:type="dxa"/>
              <w:bottom w:w="80" w:type="dxa"/>
              <w:end w:w="120" w:type="dxa"/>
            </w:tcMar>
            <w:vAlign w:val="center"/>
          </w:tcPr>
          <w:p>
            <w:pPr>
              <w:spacing w:after="0"/>
              <w:jc w:val="center"/>
            </w:pPr>
            <w:r>
              <w:rPr>
                <w:b/>
                <w:color w:val="0B2545"/>
                <w:sz w:val="17"/>
              </w:rPr>
              <w:t>Purpose</w:t>
            </w:r>
          </w:p>
        </w:tc>
        <w:tc>
          <w:tcPr>
            <w:tcW w:type="dxa" w:w="4320"/>
            <w:shd w:fill="F2F4F7"/>
            <w:tcMar>
              <w:top w:w="80" w:type="dxa"/>
              <w:start w:w="120" w:type="dxa"/>
              <w:bottom w:w="80" w:type="dxa"/>
              <w:end w:w="120" w:type="dxa"/>
            </w:tcMar>
            <w:vAlign w:val="center"/>
          </w:tcPr>
          <w:p>
            <w:pPr>
              <w:spacing w:after="0"/>
              <w:jc w:val="center"/>
            </w:pPr>
            <w:r>
              <w:rPr>
                <w:b/>
                <w:color w:val="0B2545"/>
                <w:sz w:val="17"/>
              </w:rPr>
              <w:t>Examples</w:t>
            </w:r>
          </w:p>
        </w:tc>
      </w:tr>
      <w:tr>
        <w:trPr>
          <w:cantSplit/>
        </w:trPr>
        <w:tc>
          <w:tcPr>
            <w:tcW w:type="dxa" w:w="1800"/>
            <w:tcMar>
              <w:top w:w="80" w:type="dxa"/>
              <w:start w:w="120" w:type="dxa"/>
              <w:bottom w:w="80" w:type="dxa"/>
              <w:end w:w="120" w:type="dxa"/>
            </w:tcMar>
            <w:vAlign w:val="center"/>
          </w:tcPr>
          <w:p>
            <w:pPr>
              <w:spacing w:after="0"/>
              <w:jc w:val="center"/>
            </w:pPr>
            <w:r>
              <w:rPr>
                <w:sz w:val="17"/>
              </w:rPr>
              <w:t>Positive</w:t>
            </w:r>
          </w:p>
        </w:tc>
        <w:tc>
          <w:tcPr>
            <w:tcW w:type="dxa" w:w="3240"/>
            <w:tcMar>
              <w:top w:w="80" w:type="dxa"/>
              <w:start w:w="120" w:type="dxa"/>
              <w:bottom w:w="80" w:type="dxa"/>
              <w:end w:w="120" w:type="dxa"/>
            </w:tcMar>
            <w:vAlign w:val="center"/>
          </w:tcPr>
          <w:p>
            <w:pPr>
              <w:spacing w:after="0"/>
              <w:jc w:val="left"/>
            </w:pPr>
            <w:r>
              <w:rPr>
                <w:sz w:val="17"/>
              </w:rPr>
              <w:t>Prove valid data and authorised actions achieve the stated outcome.</w:t>
            </w:r>
          </w:p>
        </w:tc>
        <w:tc>
          <w:tcPr>
            <w:tcW w:type="dxa" w:w="4320"/>
            <w:tcMar>
              <w:top w:w="80" w:type="dxa"/>
              <w:start w:w="120" w:type="dxa"/>
              <w:bottom w:w="80" w:type="dxa"/>
              <w:end w:w="120" w:type="dxa"/>
            </w:tcMar>
            <w:vAlign w:val="center"/>
          </w:tcPr>
          <w:p>
            <w:pPr>
              <w:spacing w:after="0"/>
              <w:jc w:val="left"/>
            </w:pPr>
            <w:r>
              <w:rPr>
                <w:sz w:val="17"/>
              </w:rPr>
              <w:t>Valid source load; mapped assignment; approved override; objective full-receipt resolution; reconciled publication.</w:t>
            </w:r>
          </w:p>
        </w:tc>
      </w:tr>
      <w:tr>
        <w:trPr>
          <w:cantSplit/>
        </w:trPr>
        <w:tc>
          <w:tcPr>
            <w:tcW w:type="dxa" w:w="1800"/>
            <w:tcMar>
              <w:top w:w="80" w:type="dxa"/>
              <w:start w:w="120" w:type="dxa"/>
              <w:bottom w:w="80" w:type="dxa"/>
              <w:end w:w="120" w:type="dxa"/>
            </w:tcMar>
            <w:vAlign w:val="center"/>
          </w:tcPr>
          <w:p>
            <w:pPr>
              <w:spacing w:after="0"/>
              <w:jc w:val="center"/>
            </w:pPr>
            <w:r>
              <w:rPr>
                <w:sz w:val="17"/>
              </w:rPr>
              <w:t>Negative</w:t>
            </w:r>
          </w:p>
        </w:tc>
        <w:tc>
          <w:tcPr>
            <w:tcW w:type="dxa" w:w="3240"/>
            <w:tcMar>
              <w:top w:w="80" w:type="dxa"/>
              <w:start w:w="120" w:type="dxa"/>
              <w:bottom w:w="80" w:type="dxa"/>
              <w:end w:w="120" w:type="dxa"/>
            </w:tcMar>
            <w:vAlign w:val="center"/>
          </w:tcPr>
          <w:p>
            <w:pPr>
              <w:spacing w:after="0"/>
              <w:jc w:val="left"/>
            </w:pPr>
            <w:r>
              <w:rPr>
                <w:sz w:val="17"/>
              </w:rPr>
              <w:t>Prove unsafe or unauthorised behaviour is rejected without hidden mutation.</w:t>
            </w:r>
          </w:p>
        </w:tc>
        <w:tc>
          <w:tcPr>
            <w:tcW w:type="dxa" w:w="4320"/>
            <w:tcMar>
              <w:top w:w="80" w:type="dxa"/>
              <w:start w:w="120" w:type="dxa"/>
              <w:bottom w:w="80" w:type="dxa"/>
              <w:end w:w="120" w:type="dxa"/>
            </w:tcMar>
            <w:vAlign w:val="center"/>
          </w:tcPr>
          <w:p>
            <w:pPr>
              <w:spacing w:after="0"/>
              <w:jc w:val="left"/>
            </w:pPr>
            <w:r>
              <w:rPr>
                <w:sz w:val="17"/>
              </w:rPr>
              <w:t>Duplicate key; orphan reference; invalid chronology; self-approval; direct active-to-Closed; manual suppression without approval.</w:t>
            </w:r>
          </w:p>
        </w:tc>
      </w:tr>
      <w:tr>
        <w:trPr>
          <w:cantSplit/>
        </w:trPr>
        <w:tc>
          <w:tcPr>
            <w:tcW w:type="dxa" w:w="1800"/>
            <w:tcMar>
              <w:top w:w="80" w:type="dxa"/>
              <w:start w:w="120" w:type="dxa"/>
              <w:bottom w:w="80" w:type="dxa"/>
              <w:end w:w="120" w:type="dxa"/>
            </w:tcMar>
            <w:vAlign w:val="center"/>
          </w:tcPr>
          <w:p>
            <w:pPr>
              <w:spacing w:after="0"/>
              <w:jc w:val="center"/>
            </w:pPr>
            <w:r>
              <w:rPr>
                <w:sz w:val="17"/>
              </w:rPr>
              <w:t>Boundary</w:t>
            </w:r>
          </w:p>
        </w:tc>
        <w:tc>
          <w:tcPr>
            <w:tcW w:type="dxa" w:w="3240"/>
            <w:tcMar>
              <w:top w:w="80" w:type="dxa"/>
              <w:start w:w="120" w:type="dxa"/>
              <w:bottom w:w="80" w:type="dxa"/>
              <w:end w:w="120" w:type="dxa"/>
            </w:tcMar>
            <w:vAlign w:val="center"/>
          </w:tcPr>
          <w:p>
            <w:pPr>
              <w:spacing w:after="0"/>
              <w:jc w:val="left"/>
            </w:pPr>
            <w:r>
              <w:rPr>
                <w:sz w:val="17"/>
              </w:rPr>
              <w:t>Prove exact behavior at decision edges and avoid off-by-one errors.</w:t>
            </w:r>
          </w:p>
        </w:tc>
        <w:tc>
          <w:tcPr>
            <w:tcW w:type="dxa" w:w="4320"/>
            <w:tcMar>
              <w:top w:w="80" w:type="dxa"/>
              <w:start w:w="120" w:type="dxa"/>
              <w:bottom w:w="80" w:type="dxa"/>
              <w:end w:w="120" w:type="dxa"/>
            </w:tcMar>
            <w:vAlign w:val="center"/>
          </w:tcPr>
          <w:p>
            <w:pPr>
              <w:spacing w:after="0"/>
              <w:jc w:val="left"/>
            </w:pPr>
            <w:r>
              <w:rPr>
                <w:sz w:val="17"/>
              </w:rPr>
              <w:t>Scores 29/30, 49/50, 69/70; day 7/day 8; 4-hour SLA; projected balance at threshold; expiry instant; DST transitions.</w:t>
            </w:r>
          </w:p>
        </w:tc>
      </w:tr>
      <w:tr>
        <w:trPr>
          <w:cantSplit/>
        </w:trPr>
        <w:tc>
          <w:tcPr>
            <w:tcW w:type="dxa" w:w="1800"/>
            <w:tcMar>
              <w:top w:w="80" w:type="dxa"/>
              <w:start w:w="120" w:type="dxa"/>
              <w:bottom w:w="80" w:type="dxa"/>
              <w:end w:w="120" w:type="dxa"/>
            </w:tcMar>
            <w:vAlign w:val="center"/>
          </w:tcPr>
          <w:p>
            <w:pPr>
              <w:spacing w:after="0"/>
              <w:jc w:val="center"/>
            </w:pPr>
            <w:r>
              <w:rPr>
                <w:sz w:val="17"/>
              </w:rPr>
              <w:t>Failure injection</w:t>
            </w:r>
          </w:p>
        </w:tc>
        <w:tc>
          <w:tcPr>
            <w:tcW w:type="dxa" w:w="3240"/>
            <w:tcMar>
              <w:top w:w="80" w:type="dxa"/>
              <w:start w:w="120" w:type="dxa"/>
              <w:bottom w:w="80" w:type="dxa"/>
              <w:end w:w="120" w:type="dxa"/>
            </w:tcMar>
            <w:vAlign w:val="center"/>
          </w:tcPr>
          <w:p>
            <w:pPr>
              <w:spacing w:after="0"/>
              <w:jc w:val="left"/>
            </w:pPr>
            <w:r>
              <w:rPr>
                <w:sz w:val="17"/>
              </w:rPr>
              <w:t>Prove atomicity, recovery, observability, and last-known-good behavior.</w:t>
            </w:r>
          </w:p>
        </w:tc>
        <w:tc>
          <w:tcPr>
            <w:tcW w:type="dxa" w:w="4320"/>
            <w:tcMar>
              <w:top w:w="80" w:type="dxa"/>
              <w:start w:w="120" w:type="dxa"/>
              <w:bottom w:w="80" w:type="dxa"/>
              <w:end w:w="120" w:type="dxa"/>
            </w:tcMar>
            <w:vAlign w:val="center"/>
          </w:tcPr>
          <w:p>
            <w:pPr>
              <w:spacing w:after="0"/>
              <w:jc w:val="left"/>
            </w:pPr>
            <w:r>
              <w:rPr>
                <w:sz w:val="17"/>
              </w:rPr>
              <w:t>Validation failure, scoring interruption, publication failure, dashboard refresh after failed run.</w:t>
            </w:r>
          </w:p>
        </w:tc>
      </w:tr>
      <w:tr>
        <w:trPr>
          <w:cantSplit/>
        </w:trPr>
        <w:tc>
          <w:tcPr>
            <w:tcW w:type="dxa" w:w="1800"/>
            <w:tcMar>
              <w:top w:w="80" w:type="dxa"/>
              <w:start w:w="120" w:type="dxa"/>
              <w:bottom w:w="80" w:type="dxa"/>
              <w:end w:w="120" w:type="dxa"/>
            </w:tcMar>
            <w:vAlign w:val="center"/>
          </w:tcPr>
          <w:p>
            <w:pPr>
              <w:spacing w:after="0"/>
              <w:jc w:val="center"/>
            </w:pPr>
            <w:r>
              <w:rPr>
                <w:sz w:val="17"/>
              </w:rPr>
              <w:t>Reconciliation</w:t>
            </w:r>
          </w:p>
        </w:tc>
        <w:tc>
          <w:tcPr>
            <w:tcW w:type="dxa" w:w="3240"/>
            <w:tcMar>
              <w:top w:w="80" w:type="dxa"/>
              <w:start w:w="120" w:type="dxa"/>
              <w:bottom w:w="80" w:type="dxa"/>
              <w:end w:w="120" w:type="dxa"/>
            </w:tcMar>
            <w:vAlign w:val="center"/>
          </w:tcPr>
          <w:p>
            <w:pPr>
              <w:spacing w:after="0"/>
              <w:jc w:val="left"/>
            </w:pPr>
            <w:r>
              <w:rPr>
                <w:sz w:val="17"/>
              </w:rPr>
              <w:t>Prove completeness and consistency across layers.</w:t>
            </w:r>
          </w:p>
        </w:tc>
        <w:tc>
          <w:tcPr>
            <w:tcW w:type="dxa" w:w="4320"/>
            <w:tcMar>
              <w:top w:w="80" w:type="dxa"/>
              <w:start w:w="120" w:type="dxa"/>
              <w:bottom w:w="80" w:type="dxa"/>
              <w:end w:w="120" w:type="dxa"/>
            </w:tcMar>
            <w:vAlign w:val="center"/>
          </w:tcPr>
          <w:p>
            <w:pPr>
              <w:spacing w:after="0"/>
              <w:jc w:val="left"/>
            </w:pPr>
            <w:r>
              <w:rPr>
                <w:sz w:val="17"/>
              </w:rPr>
              <w:t>Source = accepted + rejected; eligible = scored; queue/store equality; database/Power BI differences equal zero.</w:t>
            </w:r>
          </w:p>
        </w:tc>
      </w:tr>
      <w:tr>
        <w:trPr>
          <w:cantSplit/>
        </w:trPr>
        <w:tc>
          <w:tcPr>
            <w:tcW w:type="dxa" w:w="1800"/>
            <w:tcMar>
              <w:top w:w="80" w:type="dxa"/>
              <w:start w:w="120" w:type="dxa"/>
              <w:bottom w:w="80" w:type="dxa"/>
              <w:end w:w="120" w:type="dxa"/>
            </w:tcMar>
            <w:vAlign w:val="center"/>
          </w:tcPr>
          <w:p>
            <w:pPr>
              <w:spacing w:after="0"/>
              <w:jc w:val="center"/>
            </w:pPr>
            <w:r>
              <w:rPr>
                <w:sz w:val="17"/>
              </w:rPr>
              <w:t>Exploratory/UAT</w:t>
            </w:r>
          </w:p>
        </w:tc>
        <w:tc>
          <w:tcPr>
            <w:tcW w:type="dxa" w:w="3240"/>
            <w:tcMar>
              <w:top w:w="80" w:type="dxa"/>
              <w:start w:w="120" w:type="dxa"/>
              <w:bottom w:w="80" w:type="dxa"/>
              <w:end w:w="120" w:type="dxa"/>
            </w:tcMar>
            <w:vAlign w:val="center"/>
          </w:tcPr>
          <w:p>
            <w:pPr>
              <w:spacing w:after="0"/>
              <w:jc w:val="left"/>
            </w:pPr>
            <w:r>
              <w:rPr>
                <w:sz w:val="17"/>
              </w:rPr>
              <w:t>Identify operational confusion not captured by deterministic assertions.</w:t>
            </w:r>
          </w:p>
        </w:tc>
        <w:tc>
          <w:tcPr>
            <w:tcW w:type="dxa" w:w="4320"/>
            <w:tcMar>
              <w:top w:w="80" w:type="dxa"/>
              <w:start w:w="120" w:type="dxa"/>
              <w:bottom w:w="80" w:type="dxa"/>
              <w:end w:w="120" w:type="dxa"/>
            </w:tcMar>
            <w:vAlign w:val="center"/>
          </w:tcPr>
          <w:p>
            <w:pPr>
              <w:spacing w:after="0"/>
              <w:jc w:val="left"/>
            </w:pPr>
            <w:r>
              <w:rPr>
                <w:sz w:val="17"/>
              </w:rPr>
              <w:t>Can a buyer explain the top exception, record action, and find closure evidence without workarounds?</w:t>
            </w:r>
          </w:p>
        </w:tc>
      </w:tr>
    </w:tbl>
    <w:p>
      <w:pPr>
        <w:spacing w:after="0"/>
      </w:pPr>
    </w:p>
    <w:p>
      <w:pPr>
        <w:pStyle w:val="Heading1"/>
      </w:pPr>
      <w:r>
        <w:t>6. Evidence that must be preserved</w:t>
      </w:r>
    </w:p>
    <w:p>
      <w:r>
        <w:t>Evidence must be sufficient for an independent reviewer to reproduce what was tested, determine what actually happened, and verify that failed or blocked results were not hidden. GitHub should contain only synthetic, non-secret material suitable for public review.</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val="true"/>
          <w:cantSplit/>
        </w:trPr>
        <w:tc>
          <w:tcPr>
            <w:tcW w:type="dxa" w:w="2232"/>
            <w:shd w:fill="F2F4F7"/>
            <w:tcMar>
              <w:top w:w="80" w:type="dxa"/>
              <w:start w:w="120" w:type="dxa"/>
              <w:bottom w:w="80" w:type="dxa"/>
              <w:end w:w="120" w:type="dxa"/>
            </w:tcMar>
            <w:vAlign w:val="center"/>
          </w:tcPr>
          <w:p>
            <w:pPr>
              <w:spacing w:after="0"/>
              <w:jc w:val="center"/>
            </w:pPr>
            <w:r>
              <w:rPr>
                <w:b/>
                <w:color w:val="0B2545"/>
                <w:sz w:val="17"/>
              </w:rPr>
              <w:t>Evidence class</w:t>
            </w:r>
          </w:p>
        </w:tc>
        <w:tc>
          <w:tcPr>
            <w:tcW w:type="dxa" w:w="7128"/>
            <w:shd w:fill="F2F4F7"/>
            <w:tcMar>
              <w:top w:w="80" w:type="dxa"/>
              <w:start w:w="120" w:type="dxa"/>
              <w:bottom w:w="80" w:type="dxa"/>
              <w:end w:w="120" w:type="dxa"/>
            </w:tcMar>
            <w:vAlign w:val="center"/>
          </w:tcPr>
          <w:p>
            <w:pPr>
              <w:spacing w:after="0"/>
              <w:jc w:val="center"/>
            </w:pPr>
            <w:r>
              <w:rPr>
                <w:b/>
                <w:color w:val="0B2545"/>
                <w:sz w:val="17"/>
              </w:rPr>
              <w:t>Minimum preserved artefacts</w:t>
            </w:r>
          </w:p>
        </w:tc>
      </w:tr>
      <w:tr>
        <w:trPr>
          <w:cantSplit/>
        </w:trPr>
        <w:tc>
          <w:tcPr>
            <w:tcW w:type="dxa" w:w="2232"/>
            <w:tcMar>
              <w:top w:w="80" w:type="dxa"/>
              <w:start w:w="120" w:type="dxa"/>
              <w:bottom w:w="80" w:type="dxa"/>
              <w:end w:w="120" w:type="dxa"/>
            </w:tcMar>
            <w:vAlign w:val="center"/>
          </w:tcPr>
          <w:p>
            <w:pPr>
              <w:spacing w:after="0"/>
              <w:jc w:val="left"/>
            </w:pPr>
            <w:r>
              <w:rPr>
                <w:sz w:val="17"/>
              </w:rPr>
              <w:t>Baseline and traceability</w:t>
            </w:r>
          </w:p>
        </w:tc>
        <w:tc>
          <w:tcPr>
            <w:tcW w:type="dxa" w:w="7128"/>
            <w:tcMar>
              <w:top w:w="80" w:type="dxa"/>
              <w:start w:w="120" w:type="dxa"/>
              <w:bottom w:w="80" w:type="dxa"/>
              <w:end w:w="120" w:type="dxa"/>
            </w:tcMar>
            <w:vAlign w:val="center"/>
          </w:tcPr>
          <w:p>
            <w:pPr>
              <w:spacing w:after="0"/>
              <w:jc w:val="left"/>
            </w:pPr>
            <w:r>
              <w:rPr>
                <w:sz w:val="17"/>
              </w:rPr>
              <w:t>Charter/BRS versions; frozen decisions; rule/lifecycle/approval/calendar versions; RTM export; ambiguity and change logs.</w:t>
            </w:r>
          </w:p>
        </w:tc>
      </w:tr>
      <w:tr>
        <w:trPr>
          <w:cantSplit/>
        </w:trPr>
        <w:tc>
          <w:tcPr>
            <w:tcW w:type="dxa" w:w="2232"/>
            <w:tcMar>
              <w:top w:w="80" w:type="dxa"/>
              <w:start w:w="120" w:type="dxa"/>
              <w:bottom w:w="80" w:type="dxa"/>
              <w:end w:w="120" w:type="dxa"/>
            </w:tcMar>
            <w:vAlign w:val="center"/>
          </w:tcPr>
          <w:p>
            <w:pPr>
              <w:spacing w:after="0"/>
              <w:jc w:val="left"/>
            </w:pPr>
            <w:r>
              <w:rPr>
                <w:sz w:val="17"/>
              </w:rPr>
              <w:t>Test design</w:t>
            </w:r>
          </w:p>
        </w:tc>
        <w:tc>
          <w:tcPr>
            <w:tcW w:type="dxa" w:w="7128"/>
            <w:tcMar>
              <w:top w:w="80" w:type="dxa"/>
              <w:start w:w="120" w:type="dxa"/>
              <w:bottom w:w="80" w:type="dxa"/>
              <w:end w:w="120" w:type="dxa"/>
            </w:tcMar>
            <w:vAlign w:val="center"/>
          </w:tcPr>
          <w:p>
            <w:pPr>
              <w:spacing w:after="0"/>
              <w:jc w:val="left"/>
            </w:pPr>
            <w:r>
              <w:rPr>
                <w:sz w:val="17"/>
              </w:rPr>
              <w:t>Strategy; scenario catalogue; fixture catalogue; expected-result oracles; UAT scripts; performance protocol.</w:t>
            </w:r>
          </w:p>
        </w:tc>
      </w:tr>
      <w:tr>
        <w:trPr>
          <w:cantSplit/>
        </w:trPr>
        <w:tc>
          <w:tcPr>
            <w:tcW w:type="dxa" w:w="2232"/>
            <w:tcMar>
              <w:top w:w="80" w:type="dxa"/>
              <w:start w:w="120" w:type="dxa"/>
              <w:bottom w:w="80" w:type="dxa"/>
              <w:end w:w="120" w:type="dxa"/>
            </w:tcMar>
            <w:vAlign w:val="center"/>
          </w:tcPr>
          <w:p>
            <w:pPr>
              <w:spacing w:after="0"/>
              <w:jc w:val="left"/>
            </w:pPr>
            <w:r>
              <w:rPr>
                <w:sz w:val="17"/>
              </w:rPr>
              <w:t>Execution</w:t>
            </w:r>
          </w:p>
        </w:tc>
        <w:tc>
          <w:tcPr>
            <w:tcW w:type="dxa" w:w="7128"/>
            <w:tcMar>
              <w:top w:w="80" w:type="dxa"/>
              <w:start w:w="120" w:type="dxa"/>
              <w:bottom w:w="80" w:type="dxa"/>
              <w:end w:w="120" w:type="dxa"/>
            </w:tcMar>
            <w:vAlign w:val="center"/>
          </w:tcPr>
          <w:p>
            <w:pPr>
              <w:spacing w:after="0"/>
              <w:jc w:val="left"/>
            </w:pPr>
            <w:r>
              <w:rPr>
                <w:sz w:val="17"/>
              </w:rPr>
              <w:t>Test-run summary; machine-readable results; timestamps; environment; commit/build identifier; configuration; seed; raw logs.</w:t>
            </w:r>
          </w:p>
        </w:tc>
      </w:tr>
      <w:tr>
        <w:trPr>
          <w:cantSplit/>
        </w:trPr>
        <w:tc>
          <w:tcPr>
            <w:tcW w:type="dxa" w:w="2232"/>
            <w:tcMar>
              <w:top w:w="80" w:type="dxa"/>
              <w:start w:w="120" w:type="dxa"/>
              <w:bottom w:w="80" w:type="dxa"/>
              <w:end w:w="120" w:type="dxa"/>
            </w:tcMar>
            <w:vAlign w:val="center"/>
          </w:tcPr>
          <w:p>
            <w:pPr>
              <w:spacing w:after="0"/>
              <w:jc w:val="left"/>
            </w:pPr>
            <w:r>
              <w:rPr>
                <w:sz w:val="17"/>
              </w:rPr>
              <w:t>Data quality and pipeline</w:t>
            </w:r>
          </w:p>
        </w:tc>
        <w:tc>
          <w:tcPr>
            <w:tcW w:type="dxa" w:w="7128"/>
            <w:tcMar>
              <w:top w:w="80" w:type="dxa"/>
              <w:start w:w="120" w:type="dxa"/>
              <w:bottom w:w="80" w:type="dxa"/>
              <w:end w:w="120" w:type="dxa"/>
            </w:tcMar>
            <w:vAlign w:val="center"/>
          </w:tcPr>
          <w:p>
            <w:pPr>
              <w:spacing w:after="0"/>
              <w:jc w:val="left"/>
            </w:pPr>
            <w:r>
              <w:rPr>
                <w:sz w:val="17"/>
              </w:rPr>
              <w:t>Input/control totals; accepted/quarantine/rejected counts; defect extracts; run status; failure-stage evidence; last-success pointer.</w:t>
            </w:r>
          </w:p>
        </w:tc>
      </w:tr>
      <w:tr>
        <w:trPr>
          <w:cantSplit/>
        </w:trPr>
        <w:tc>
          <w:tcPr>
            <w:tcW w:type="dxa" w:w="2232"/>
            <w:tcMar>
              <w:top w:w="80" w:type="dxa"/>
              <w:start w:w="120" w:type="dxa"/>
              <w:bottom w:w="80" w:type="dxa"/>
              <w:end w:w="120" w:type="dxa"/>
            </w:tcMar>
            <w:vAlign w:val="center"/>
          </w:tcPr>
          <w:p>
            <w:pPr>
              <w:spacing w:after="0"/>
              <w:jc w:val="left"/>
            </w:pPr>
            <w:r>
              <w:rPr>
                <w:sz w:val="17"/>
              </w:rPr>
              <w:t>Risk engine</w:t>
            </w:r>
          </w:p>
        </w:tc>
        <w:tc>
          <w:tcPr>
            <w:tcW w:type="dxa" w:w="7128"/>
            <w:tcMar>
              <w:top w:w="80" w:type="dxa"/>
              <w:start w:w="120" w:type="dxa"/>
              <w:bottom w:w="80" w:type="dxa"/>
              <w:end w:w="120" w:type="dxa"/>
            </w:tcMar>
            <w:vAlign w:val="center"/>
          </w:tcPr>
          <w:p>
            <w:pPr>
              <w:spacing w:after="0"/>
              <w:jc w:val="left"/>
            </w:pPr>
            <w:r>
              <w:rPr>
                <w:sz w:val="17"/>
              </w:rPr>
              <w:t>Hand calculations; stored contributions; score and rule versions; determinism hashes; boundary outputs; calibration and missed-event reports.</w:t>
            </w:r>
          </w:p>
        </w:tc>
      </w:tr>
      <w:tr>
        <w:trPr>
          <w:cantSplit/>
        </w:trPr>
        <w:tc>
          <w:tcPr>
            <w:tcW w:type="dxa" w:w="2232"/>
            <w:tcMar>
              <w:top w:w="80" w:type="dxa"/>
              <w:start w:w="120" w:type="dxa"/>
              <w:bottom w:w="80" w:type="dxa"/>
              <w:end w:w="120" w:type="dxa"/>
            </w:tcMar>
            <w:vAlign w:val="center"/>
          </w:tcPr>
          <w:p>
            <w:pPr>
              <w:spacing w:after="0"/>
              <w:jc w:val="left"/>
            </w:pPr>
            <w:r>
              <w:rPr>
                <w:sz w:val="17"/>
              </w:rPr>
              <w:t>Workflow and audit</w:t>
            </w:r>
          </w:p>
        </w:tc>
        <w:tc>
          <w:tcPr>
            <w:tcW w:type="dxa" w:w="7128"/>
            <w:tcMar>
              <w:top w:w="80" w:type="dxa"/>
              <w:start w:w="120" w:type="dxa"/>
              <w:bottom w:w="80" w:type="dxa"/>
              <w:end w:w="120" w:type="dxa"/>
            </w:tcMar>
            <w:vAlign w:val="center"/>
          </w:tcPr>
          <w:p>
            <w:pPr>
              <w:spacing w:after="0"/>
              <w:jc w:val="left"/>
            </w:pPr>
            <w:r>
              <w:rPr>
                <w:sz w:val="17"/>
              </w:rPr>
              <w:t>Screenshots or screen recording of selected manual cases; event-ledger export; before/after values; approval records; rejection evidence; history checksums.</w:t>
            </w:r>
          </w:p>
        </w:tc>
      </w:tr>
      <w:tr>
        <w:trPr>
          <w:cantSplit/>
        </w:trPr>
        <w:tc>
          <w:tcPr>
            <w:tcW w:type="dxa" w:w="2232"/>
            <w:tcMar>
              <w:top w:w="80" w:type="dxa"/>
              <w:start w:w="120" w:type="dxa"/>
              <w:bottom w:w="80" w:type="dxa"/>
              <w:end w:w="120" w:type="dxa"/>
            </w:tcMar>
            <w:vAlign w:val="center"/>
          </w:tcPr>
          <w:p>
            <w:pPr>
              <w:spacing w:after="0"/>
              <w:jc w:val="left"/>
            </w:pPr>
            <w:r>
              <w:rPr>
                <w:sz w:val="17"/>
              </w:rPr>
              <w:t>Performance</w:t>
            </w:r>
          </w:p>
        </w:tc>
        <w:tc>
          <w:tcPr>
            <w:tcW w:type="dxa" w:w="7128"/>
            <w:tcMar>
              <w:top w:w="80" w:type="dxa"/>
              <w:start w:w="120" w:type="dxa"/>
              <w:bottom w:w="80" w:type="dxa"/>
              <w:end w:w="120" w:type="dxa"/>
            </w:tcMar>
            <w:vAlign w:val="center"/>
          </w:tcPr>
          <w:p>
            <w:pPr>
              <w:spacing w:after="0"/>
              <w:jc w:val="left"/>
            </w:pPr>
            <w:r>
              <w:rPr>
                <w:sz w:val="17"/>
              </w:rPr>
              <w:t>Hardware/software specification; cold/warm designation; five batch timings; 30 queue response timings; raw measurements and summary statistics.</w:t>
            </w:r>
          </w:p>
        </w:tc>
      </w:tr>
      <w:tr>
        <w:trPr>
          <w:cantSplit/>
        </w:trPr>
        <w:tc>
          <w:tcPr>
            <w:tcW w:type="dxa" w:w="2232"/>
            <w:tcMar>
              <w:top w:w="80" w:type="dxa"/>
              <w:start w:w="120" w:type="dxa"/>
              <w:bottom w:w="80" w:type="dxa"/>
              <w:end w:w="120" w:type="dxa"/>
            </w:tcMar>
            <w:vAlign w:val="center"/>
          </w:tcPr>
          <w:p>
            <w:pPr>
              <w:spacing w:after="0"/>
              <w:jc w:val="left"/>
            </w:pPr>
            <w:r>
              <w:rPr>
                <w:sz w:val="17"/>
              </w:rPr>
              <w:t>Power BI</w:t>
            </w:r>
          </w:p>
        </w:tc>
        <w:tc>
          <w:tcPr>
            <w:tcW w:type="dxa" w:w="7128"/>
            <w:tcMar>
              <w:top w:w="80" w:type="dxa"/>
              <w:start w:w="120" w:type="dxa"/>
              <w:bottom w:w="80" w:type="dxa"/>
              <w:end w:w="120" w:type="dxa"/>
            </w:tcMar>
            <w:vAlign w:val="center"/>
          </w:tcPr>
          <w:p>
            <w:pPr>
              <w:spacing w:after="0"/>
              <w:jc w:val="left"/>
            </w:pPr>
            <w:r>
              <w:rPr>
                <w:sz w:val="17"/>
              </w:rPr>
              <w:t>Dataset/run identifier; refresh timestamp; control totals by required dimensions; reconciliation output; failed-run/freshness screenshots; PBIX or approved portable artefact where publishable.</w:t>
            </w:r>
          </w:p>
        </w:tc>
      </w:tr>
      <w:tr>
        <w:trPr>
          <w:cantSplit/>
        </w:trPr>
        <w:tc>
          <w:tcPr>
            <w:tcW w:type="dxa" w:w="2232"/>
            <w:tcMar>
              <w:top w:w="80" w:type="dxa"/>
              <w:start w:w="120" w:type="dxa"/>
              <w:bottom w:w="80" w:type="dxa"/>
              <w:end w:w="120" w:type="dxa"/>
            </w:tcMar>
            <w:vAlign w:val="center"/>
          </w:tcPr>
          <w:p>
            <w:pPr>
              <w:spacing w:after="0"/>
              <w:jc w:val="left"/>
            </w:pPr>
            <w:r>
              <w:rPr>
                <w:sz w:val="17"/>
              </w:rPr>
              <w:t>Defects and decisions</w:t>
            </w:r>
          </w:p>
        </w:tc>
        <w:tc>
          <w:tcPr>
            <w:tcW w:type="dxa" w:w="7128"/>
            <w:tcMar>
              <w:top w:w="80" w:type="dxa"/>
              <w:start w:w="120" w:type="dxa"/>
              <w:bottom w:w="80" w:type="dxa"/>
              <w:end w:w="120" w:type="dxa"/>
            </w:tcMar>
            <w:vAlign w:val="center"/>
          </w:tcPr>
          <w:p>
            <w:pPr>
              <w:spacing w:after="0"/>
              <w:jc w:val="left"/>
            </w:pPr>
            <w:r>
              <w:rPr>
                <w:sz w:val="17"/>
              </w:rPr>
              <w:t>Defect register; severity rationale; reproduction evidence; fix commit; retest evidence; residual risk/waiver and sign-off.</w:t>
            </w:r>
          </w:p>
        </w:tc>
      </w:tr>
      <w:tr>
        <w:trPr>
          <w:cantSplit/>
        </w:trPr>
        <w:tc>
          <w:tcPr>
            <w:tcW w:type="dxa" w:w="2232"/>
            <w:tcMar>
              <w:top w:w="80" w:type="dxa"/>
              <w:start w:w="120" w:type="dxa"/>
              <w:bottom w:w="80" w:type="dxa"/>
              <w:end w:w="120" w:type="dxa"/>
            </w:tcMar>
            <w:vAlign w:val="center"/>
          </w:tcPr>
          <w:p>
            <w:pPr>
              <w:spacing w:after="0"/>
              <w:jc w:val="left"/>
            </w:pPr>
            <w:r>
              <w:rPr>
                <w:sz w:val="17"/>
              </w:rPr>
              <w:t>Final report</w:t>
            </w:r>
          </w:p>
        </w:tc>
        <w:tc>
          <w:tcPr>
            <w:tcW w:type="dxa" w:w="7128"/>
            <w:tcMar>
              <w:top w:w="80" w:type="dxa"/>
              <w:start w:w="120" w:type="dxa"/>
              <w:bottom w:w="80" w:type="dxa"/>
              <w:end w:w="120" w:type="dxa"/>
            </w:tcMar>
            <w:vAlign w:val="center"/>
          </w:tcPr>
          <w:p>
            <w:pPr>
              <w:spacing w:after="0"/>
              <w:jc w:val="left"/>
            </w:pPr>
            <w:r>
              <w:rPr>
                <w:sz w:val="17"/>
              </w:rPr>
              <w:t>Pass/fail/blocked counts; requirement coverage; open defects; failed targets; limitations; acceptance decisions; no unsupported achieved-benefit claim.</w:t>
            </w:r>
          </w:p>
        </w:tc>
      </w:tr>
    </w:tbl>
    <w:p>
      <w:pPr>
        <w:spacing w:after="0"/>
      </w:pPr>
    </w:p>
    <w:p>
      <w:pPr>
        <w:pStyle w:val="Heading2"/>
      </w:pPr>
      <w:r>
        <w:t>Recommended public evidence structure</w:t>
      </w:r>
    </w:p>
    <w:p>
      <w:pPr>
        <w:pStyle w:val="ListBullet"/>
      </w:pPr>
      <w:r>
        <w:t>docs/testing/ - strategy, test catalogue, UAT scripts, performance protocol, and evidence index.</w:t>
      </w:r>
    </w:p>
    <w:p>
      <w:pPr>
        <w:pStyle w:val="ListBullet"/>
      </w:pPr>
      <w:r>
        <w:t>docs/traceability/ - requirement-to-test matrix, decision dependencies, change-impact records.</w:t>
      </w:r>
    </w:p>
    <w:p>
      <w:pPr>
        <w:pStyle w:val="ListBullet"/>
      </w:pPr>
      <w:r>
        <w:t>tests/fixtures/ - synthetic micro-fixtures and expected-result files.</w:t>
      </w:r>
    </w:p>
    <w:p>
      <w:pPr>
        <w:pStyle w:val="ListBullet"/>
      </w:pPr>
      <w:r>
        <w:t>evidence/test-runs/&lt;execution-id&gt;/ - summary, raw results, logs, hashes, and reconciliations.</w:t>
      </w:r>
    </w:p>
    <w:p>
      <w:pPr>
        <w:pStyle w:val="ListBullet"/>
      </w:pPr>
      <w:r>
        <w:t>evidence/acceptance/P0 through P4/ - gate checklist, reviewer decision, and unresolved items.</w:t>
      </w:r>
    </w:p>
    <w:p>
      <w:pPr>
        <w:pStyle w:val="ListBullet"/>
      </w:pPr>
      <w:r>
        <w:t>evidence/defects/ - defect register and selected reproduction/retest artefacts.</w:t>
      </w:r>
    </w:p>
    <w:p>
      <w:pPr>
        <w:pStyle w:val="ListBullet"/>
      </w:pPr>
      <w:r>
        <w:t>reports/ - calibration, missed-event, performance, UAT, audit, and final assurance reports.</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DECEC"/>
            <w:tcMar>
              <w:top w:w="140" w:type="dxa"/>
              <w:start w:w="180" w:type="dxa"/>
              <w:bottom w:w="140" w:type="dxa"/>
              <w:end w:w="180" w:type="dxa"/>
            </w:tcMar>
          </w:tcPr>
          <w:p>
            <w:pPr>
              <w:spacing w:after="0"/>
            </w:pPr>
            <w:r>
              <w:rPr>
                <w:b/>
                <w:color w:val="9B1C1C"/>
              </w:rPr>
              <w:t xml:space="preserve">Repository control: </w:t>
            </w:r>
            <w:r>
              <w:t>Do not commit credentials, connection strings, real identities, raw confidential evidence, or unredacted local paths. Preserve checksums and synthetic references instead.</w:t>
            </w:r>
          </w:p>
        </w:tc>
      </w:tr>
    </w:tbl>
    <w:p>
      <w:pPr>
        <w:spacing w:after="0"/>
      </w:pPr>
    </w:p>
    <w:p>
      <w:pPr>
        <w:pStyle w:val="Heading1"/>
      </w:pPr>
      <w:r>
        <w:t>7. Proposed test-result format</w:t>
      </w:r>
    </w:p>
    <w:p>
      <w:r>
        <w:t>Each execution should produce a human-readable summary and a machine-readable result register using the same execution ID.</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val="true"/>
          <w:cantSplit/>
        </w:trPr>
        <w:tc>
          <w:tcPr>
            <w:tcW w:type="dxa" w:w="2232"/>
            <w:shd w:fill="F2F4F7"/>
            <w:tcMar>
              <w:top w:w="80" w:type="dxa"/>
              <w:start w:w="120" w:type="dxa"/>
              <w:bottom w:w="80" w:type="dxa"/>
              <w:end w:w="120" w:type="dxa"/>
            </w:tcMar>
            <w:vAlign w:val="center"/>
          </w:tcPr>
          <w:p>
            <w:pPr>
              <w:spacing w:after="0"/>
              <w:jc w:val="center"/>
            </w:pPr>
            <w:r>
              <w:rPr>
                <w:b/>
                <w:color w:val="0B2545"/>
                <w:sz w:val="17"/>
              </w:rPr>
              <w:t>Section</w:t>
            </w:r>
          </w:p>
        </w:tc>
        <w:tc>
          <w:tcPr>
            <w:tcW w:type="dxa" w:w="7128"/>
            <w:shd w:fill="F2F4F7"/>
            <w:tcMar>
              <w:top w:w="80" w:type="dxa"/>
              <w:start w:w="120" w:type="dxa"/>
              <w:bottom w:w="80" w:type="dxa"/>
              <w:end w:w="120" w:type="dxa"/>
            </w:tcMar>
            <w:vAlign w:val="center"/>
          </w:tcPr>
          <w:p>
            <w:pPr>
              <w:spacing w:after="0"/>
              <w:jc w:val="center"/>
            </w:pPr>
            <w:r>
              <w:rPr>
                <w:b/>
                <w:color w:val="0B2545"/>
                <w:sz w:val="17"/>
              </w:rPr>
              <w:t>Required fields</w:t>
            </w:r>
          </w:p>
        </w:tc>
      </w:tr>
      <w:tr>
        <w:trPr>
          <w:cantSplit/>
        </w:trPr>
        <w:tc>
          <w:tcPr>
            <w:tcW w:type="dxa" w:w="2232"/>
            <w:tcMar>
              <w:top w:w="80" w:type="dxa"/>
              <w:start w:w="120" w:type="dxa"/>
              <w:bottom w:w="80" w:type="dxa"/>
              <w:end w:w="120" w:type="dxa"/>
            </w:tcMar>
            <w:vAlign w:val="center"/>
          </w:tcPr>
          <w:p>
            <w:pPr>
              <w:spacing w:after="0"/>
              <w:jc w:val="left"/>
            </w:pPr>
            <w:r>
              <w:rPr>
                <w:sz w:val="17"/>
              </w:rPr>
              <w:t>Execution header</w:t>
            </w:r>
          </w:p>
        </w:tc>
        <w:tc>
          <w:tcPr>
            <w:tcW w:type="dxa" w:w="7128"/>
            <w:tcMar>
              <w:top w:w="80" w:type="dxa"/>
              <w:start w:w="120" w:type="dxa"/>
              <w:bottom w:w="80" w:type="dxa"/>
              <w:end w:w="120" w:type="dxa"/>
            </w:tcMar>
            <w:vAlign w:val="center"/>
          </w:tcPr>
          <w:p>
            <w:pPr>
              <w:spacing w:after="0"/>
              <w:jc w:val="left"/>
            </w:pPr>
            <w:r>
              <w:rPr>
                <w:sz w:val="17"/>
              </w:rPr>
              <w:t>Execution ID; date/time; tester; environment; hardware/software; commit/build; BRS/decision/rule/lifecycle versions; dataset/seed; run ID(s).</w:t>
            </w:r>
          </w:p>
        </w:tc>
      </w:tr>
      <w:tr>
        <w:trPr>
          <w:cantSplit/>
        </w:trPr>
        <w:tc>
          <w:tcPr>
            <w:tcW w:type="dxa" w:w="2232"/>
            <w:tcMar>
              <w:top w:w="80" w:type="dxa"/>
              <w:start w:w="120" w:type="dxa"/>
              <w:bottom w:w="80" w:type="dxa"/>
              <w:end w:w="120" w:type="dxa"/>
            </w:tcMar>
            <w:vAlign w:val="center"/>
          </w:tcPr>
          <w:p>
            <w:pPr>
              <w:spacing w:after="0"/>
              <w:jc w:val="left"/>
            </w:pPr>
            <w:r>
              <w:rPr>
                <w:sz w:val="17"/>
              </w:rPr>
              <w:t>Test result</w:t>
            </w:r>
          </w:p>
        </w:tc>
        <w:tc>
          <w:tcPr>
            <w:tcW w:type="dxa" w:w="7128"/>
            <w:tcMar>
              <w:top w:w="80" w:type="dxa"/>
              <w:start w:w="120" w:type="dxa"/>
              <w:bottom w:w="80" w:type="dxa"/>
              <w:end w:w="120" w:type="dxa"/>
            </w:tcMar>
            <w:vAlign w:val="center"/>
          </w:tcPr>
          <w:p>
            <w:pPr>
              <w:spacing w:after="0"/>
              <w:jc w:val="left"/>
            </w:pPr>
            <w:r>
              <w:rPr>
                <w:sz w:val="17"/>
              </w:rPr>
              <w:t>Test ID/version; requirement IDs; level/category; preconditions; expected; actual; status; duration; evidence path/hash; defect ID.</w:t>
            </w:r>
          </w:p>
        </w:tc>
      </w:tr>
      <w:tr>
        <w:trPr>
          <w:cantSplit/>
        </w:trPr>
        <w:tc>
          <w:tcPr>
            <w:tcW w:type="dxa" w:w="2232"/>
            <w:tcMar>
              <w:top w:w="80" w:type="dxa"/>
              <w:start w:w="120" w:type="dxa"/>
              <w:bottom w:w="80" w:type="dxa"/>
              <w:end w:w="120" w:type="dxa"/>
            </w:tcMar>
            <w:vAlign w:val="center"/>
          </w:tcPr>
          <w:p>
            <w:pPr>
              <w:spacing w:after="0"/>
              <w:jc w:val="left"/>
            </w:pPr>
            <w:r>
              <w:rPr>
                <w:sz w:val="17"/>
              </w:rPr>
              <w:t>Status vocabulary</w:t>
            </w:r>
          </w:p>
        </w:tc>
        <w:tc>
          <w:tcPr>
            <w:tcW w:type="dxa" w:w="7128"/>
            <w:tcMar>
              <w:top w:w="80" w:type="dxa"/>
              <w:start w:w="120" w:type="dxa"/>
              <w:bottom w:w="80" w:type="dxa"/>
              <w:end w:w="120" w:type="dxa"/>
            </w:tcMar>
            <w:vAlign w:val="center"/>
          </w:tcPr>
          <w:p>
            <w:pPr>
              <w:spacing w:after="0"/>
              <w:jc w:val="left"/>
            </w:pPr>
            <w:r>
              <w:rPr>
                <w:sz w:val="17"/>
              </w:rPr>
              <w:t>Pass; Fail; Blocked; Not Run; Not Applicable; Deferred. 'Partial pass' is not used for an individual assertion.</w:t>
            </w:r>
          </w:p>
        </w:tc>
      </w:tr>
      <w:tr>
        <w:trPr>
          <w:cantSplit/>
        </w:trPr>
        <w:tc>
          <w:tcPr>
            <w:tcW w:type="dxa" w:w="2232"/>
            <w:tcMar>
              <w:top w:w="80" w:type="dxa"/>
              <w:start w:w="120" w:type="dxa"/>
              <w:bottom w:w="80" w:type="dxa"/>
              <w:end w:w="120" w:type="dxa"/>
            </w:tcMar>
            <w:vAlign w:val="center"/>
          </w:tcPr>
          <w:p>
            <w:pPr>
              <w:spacing w:after="0"/>
              <w:jc w:val="left"/>
            </w:pPr>
            <w:r>
              <w:rPr>
                <w:sz w:val="17"/>
              </w:rPr>
              <w:t>Control totals</w:t>
            </w:r>
          </w:p>
        </w:tc>
        <w:tc>
          <w:tcPr>
            <w:tcW w:type="dxa" w:w="7128"/>
            <w:tcMar>
              <w:top w:w="80" w:type="dxa"/>
              <w:start w:w="120" w:type="dxa"/>
              <w:bottom w:w="80" w:type="dxa"/>
              <w:end w:w="120" w:type="dxa"/>
            </w:tcMar>
            <w:vAlign w:val="center"/>
          </w:tcPr>
          <w:p>
            <w:pPr>
              <w:spacing w:after="0"/>
              <w:jc w:val="left"/>
            </w:pPr>
            <w:r>
              <w:rPr>
                <w:sz w:val="17"/>
              </w:rPr>
              <w:t>Source, accepted, rejected/quarantined, eligible, scored, candidate, active exception, published counts; unexplained differences.</w:t>
            </w:r>
          </w:p>
        </w:tc>
      </w:tr>
      <w:tr>
        <w:trPr>
          <w:cantSplit/>
        </w:trPr>
        <w:tc>
          <w:tcPr>
            <w:tcW w:type="dxa" w:w="2232"/>
            <w:tcMar>
              <w:top w:w="80" w:type="dxa"/>
              <w:start w:w="120" w:type="dxa"/>
              <w:bottom w:w="80" w:type="dxa"/>
              <w:end w:w="120" w:type="dxa"/>
            </w:tcMar>
            <w:vAlign w:val="center"/>
          </w:tcPr>
          <w:p>
            <w:pPr>
              <w:spacing w:after="0"/>
              <w:jc w:val="left"/>
            </w:pPr>
            <w:r>
              <w:rPr>
                <w:sz w:val="17"/>
              </w:rPr>
              <w:t>Performance</w:t>
            </w:r>
          </w:p>
        </w:tc>
        <w:tc>
          <w:tcPr>
            <w:tcW w:type="dxa" w:w="7128"/>
            <w:tcMar>
              <w:top w:w="80" w:type="dxa"/>
              <w:start w:w="120" w:type="dxa"/>
              <w:bottom w:w="80" w:type="dxa"/>
              <w:end w:w="120" w:type="dxa"/>
            </w:tcMar>
            <w:vAlign w:val="center"/>
          </w:tcPr>
          <w:p>
            <w:pPr>
              <w:spacing w:after="0"/>
              <w:jc w:val="left"/>
            </w:pPr>
            <w:r>
              <w:rPr>
                <w:sz w:val="17"/>
              </w:rPr>
              <w:t>Iteration, cold/warm state, start/end, elapsed, row/request count, percentile or aggregate calculation.</w:t>
            </w:r>
          </w:p>
        </w:tc>
      </w:tr>
      <w:tr>
        <w:trPr>
          <w:cantSplit/>
        </w:trPr>
        <w:tc>
          <w:tcPr>
            <w:tcW w:type="dxa" w:w="2232"/>
            <w:tcMar>
              <w:top w:w="80" w:type="dxa"/>
              <w:start w:w="120" w:type="dxa"/>
              <w:bottom w:w="80" w:type="dxa"/>
              <w:end w:w="120" w:type="dxa"/>
            </w:tcMar>
            <w:vAlign w:val="center"/>
          </w:tcPr>
          <w:p>
            <w:pPr>
              <w:spacing w:after="0"/>
              <w:jc w:val="left"/>
            </w:pPr>
            <w:r>
              <w:rPr>
                <w:sz w:val="17"/>
              </w:rPr>
              <w:t>Reconciliation</w:t>
            </w:r>
          </w:p>
        </w:tc>
        <w:tc>
          <w:tcPr>
            <w:tcW w:type="dxa" w:w="7128"/>
            <w:tcMar>
              <w:top w:w="80" w:type="dxa"/>
              <w:start w:w="120" w:type="dxa"/>
              <w:bottom w:w="80" w:type="dxa"/>
              <w:end w:w="120" w:type="dxa"/>
            </w:tcMar>
            <w:vAlign w:val="center"/>
          </w:tcPr>
          <w:p>
            <w:pPr>
              <w:spacing w:after="0"/>
              <w:jc w:val="left"/>
            </w:pPr>
            <w:r>
              <w:rPr>
                <w:sz w:val="17"/>
              </w:rPr>
              <w:t>Run/date/severity/status/supplier/site dimensions; database value; report value; difference; tolerance; result.</w:t>
            </w:r>
          </w:p>
        </w:tc>
      </w:tr>
      <w:tr>
        <w:trPr>
          <w:cantSplit/>
        </w:trPr>
        <w:tc>
          <w:tcPr>
            <w:tcW w:type="dxa" w:w="2232"/>
            <w:tcMar>
              <w:top w:w="80" w:type="dxa"/>
              <w:start w:w="120" w:type="dxa"/>
              <w:bottom w:w="80" w:type="dxa"/>
              <w:end w:w="120" w:type="dxa"/>
            </w:tcMar>
            <w:vAlign w:val="center"/>
          </w:tcPr>
          <w:p>
            <w:pPr>
              <w:spacing w:after="0"/>
              <w:jc w:val="left"/>
            </w:pPr>
            <w:r>
              <w:rPr>
                <w:sz w:val="17"/>
              </w:rPr>
              <w:t>Approval</w:t>
            </w:r>
          </w:p>
        </w:tc>
        <w:tc>
          <w:tcPr>
            <w:tcW w:type="dxa" w:w="7128"/>
            <w:tcMar>
              <w:top w:w="80" w:type="dxa"/>
              <w:start w:w="120" w:type="dxa"/>
              <w:bottom w:w="80" w:type="dxa"/>
              <w:end w:w="120" w:type="dxa"/>
            </w:tcMar>
            <w:vAlign w:val="center"/>
          </w:tcPr>
          <w:p>
            <w:pPr>
              <w:spacing w:after="0"/>
              <w:jc w:val="left"/>
            </w:pPr>
            <w:r>
              <w:rPr>
                <w:sz w:val="17"/>
              </w:rPr>
              <w:t>Prepared by; reviewed by; exceptions/waivers; decision; date; signature or attributable approval record.</w:t>
            </w:r>
          </w:p>
        </w:tc>
      </w:tr>
    </w:tbl>
    <w:p>
      <w:pPr>
        <w:spacing w:after="0"/>
      </w:pPr>
    </w:p>
    <w:p>
      <w:pPr>
        <w:pStyle w:val="Heading2"/>
      </w:pPr>
      <w:r>
        <w:t>Result rules</w:t>
      </w:r>
    </w:p>
    <w:p>
      <w:pPr>
        <w:pStyle w:val="ListBullet"/>
      </w:pPr>
      <w:r>
        <w:t>Pass only when every stated expected result is observed and required evidence is present.</w:t>
      </w:r>
    </w:p>
    <w:p>
      <w:pPr>
        <w:pStyle w:val="ListBullet"/>
      </w:pPr>
      <w:r>
        <w:t>Fail when the actual result differs, even if the tester believes the requirement should be changed.</w:t>
      </w:r>
    </w:p>
    <w:p>
      <w:pPr>
        <w:pStyle w:val="ListBullet"/>
      </w:pPr>
      <w:r>
        <w:t>Blocked when a prerequisite, decision, environment, or objective oracle is missing; blocked is not a pass.</w:t>
      </w:r>
    </w:p>
    <w:p>
      <w:pPr>
        <w:pStyle w:val="ListBullet"/>
      </w:pPr>
      <w:r>
        <w:t>A disclosed shortfall remains a failed acceptance criterion. Disclosure protects credibility but does not convert failure to acceptance.</w:t>
      </w:r>
    </w:p>
    <w:p>
      <w:pPr>
        <w:pStyle w:val="ListBullet"/>
      </w:pPr>
      <w:r>
        <w:t>Retest results supplement rather than overwrite the original failure.</w:t>
      </w:r>
    </w:p>
    <w:p>
      <w:pPr>
        <w:pStyle w:val="Heading1"/>
      </w:pPr>
      <w:r>
        <w:t>8. Defect-severity definitions</w:t>
      </w:r>
    </w:p>
    <w:tbl>
      <w:tblPr>
        <w:tblStyle w:val="TableGrid"/>
        <w:tblW w:type="dxa" w:w="9360"/>
        <w:jc w:val="center"/>
        <w:tblLayout w:type="fixed"/>
        <w:tblLook w:firstColumn="1" w:firstRow="1" w:lastColumn="0" w:lastRow="0" w:noHBand="0" w:noVBand="1" w:val="04A0"/>
        <w:tblInd w:w="120" w:type="dxa"/>
      </w:tblPr>
      <w:tblGrid>
        <w:gridCol w:w="1584"/>
        <w:gridCol w:w="3024"/>
        <w:gridCol w:w="2592"/>
        <w:gridCol w:w="2160"/>
      </w:tblGrid>
      <w:tr>
        <w:trPr>
          <w:tblHeader w:val="true"/>
          <w:cantSplit/>
        </w:trPr>
        <w:tc>
          <w:tcPr>
            <w:tcW w:type="dxa" w:w="1584"/>
            <w:shd w:fill="F2F4F7"/>
            <w:tcMar>
              <w:top w:w="80" w:type="dxa"/>
              <w:start w:w="120" w:type="dxa"/>
              <w:bottom w:w="80" w:type="dxa"/>
              <w:end w:w="120" w:type="dxa"/>
            </w:tcMar>
            <w:vAlign w:val="center"/>
          </w:tcPr>
          <w:p>
            <w:pPr>
              <w:spacing w:after="0"/>
              <w:jc w:val="center"/>
            </w:pPr>
            <w:r>
              <w:rPr>
                <w:b/>
                <w:color w:val="0B2545"/>
                <w:sz w:val="15"/>
              </w:rPr>
              <w:t>Severity</w:t>
            </w:r>
          </w:p>
        </w:tc>
        <w:tc>
          <w:tcPr>
            <w:tcW w:type="dxa" w:w="3024"/>
            <w:shd w:fill="F2F4F7"/>
            <w:tcMar>
              <w:top w:w="80" w:type="dxa"/>
              <w:start w:w="120" w:type="dxa"/>
              <w:bottom w:w="80" w:type="dxa"/>
              <w:end w:w="120" w:type="dxa"/>
            </w:tcMar>
            <w:vAlign w:val="center"/>
          </w:tcPr>
          <w:p>
            <w:pPr>
              <w:spacing w:after="0"/>
              <w:jc w:val="center"/>
            </w:pPr>
            <w:r>
              <w:rPr>
                <w:b/>
                <w:color w:val="0B2545"/>
                <w:sz w:val="15"/>
              </w:rPr>
              <w:t>Definition</w:t>
            </w:r>
          </w:p>
        </w:tc>
        <w:tc>
          <w:tcPr>
            <w:tcW w:type="dxa" w:w="2592"/>
            <w:shd w:fill="F2F4F7"/>
            <w:tcMar>
              <w:top w:w="80" w:type="dxa"/>
              <w:start w:w="120" w:type="dxa"/>
              <w:bottom w:w="80" w:type="dxa"/>
              <w:end w:w="120" w:type="dxa"/>
            </w:tcMar>
            <w:vAlign w:val="center"/>
          </w:tcPr>
          <w:p>
            <w:pPr>
              <w:spacing w:after="0"/>
              <w:jc w:val="center"/>
            </w:pPr>
            <w:r>
              <w:rPr>
                <w:b/>
                <w:color w:val="0B2545"/>
                <w:sz w:val="15"/>
              </w:rPr>
              <w:t>Examples</w:t>
            </w:r>
          </w:p>
        </w:tc>
        <w:tc>
          <w:tcPr>
            <w:tcW w:type="dxa" w:w="2160"/>
            <w:shd w:fill="F2F4F7"/>
            <w:tcMar>
              <w:top w:w="80" w:type="dxa"/>
              <w:start w:w="120" w:type="dxa"/>
              <w:bottom w:w="80" w:type="dxa"/>
              <w:end w:w="120" w:type="dxa"/>
            </w:tcMar>
            <w:vAlign w:val="center"/>
          </w:tcPr>
          <w:p>
            <w:pPr>
              <w:spacing w:after="0"/>
              <w:jc w:val="center"/>
            </w:pPr>
            <w:r>
              <w:rPr>
                <w:b/>
                <w:color w:val="0B2545"/>
                <w:sz w:val="15"/>
              </w:rPr>
              <w:t>Release treatment</w:t>
            </w:r>
          </w:p>
        </w:tc>
      </w:tr>
      <w:tr>
        <w:trPr>
          <w:cantSplit/>
        </w:trPr>
        <w:tc>
          <w:tcPr>
            <w:tcW w:type="dxa" w:w="1584"/>
            <w:tcMar>
              <w:top w:w="80" w:type="dxa"/>
              <w:start w:w="120" w:type="dxa"/>
              <w:bottom w:w="80" w:type="dxa"/>
              <w:end w:w="120" w:type="dxa"/>
            </w:tcMar>
            <w:vAlign w:val="center"/>
          </w:tcPr>
          <w:p>
            <w:pPr>
              <w:spacing w:after="0"/>
              <w:jc w:val="center"/>
            </w:pPr>
            <w:r>
              <w:rPr>
                <w:sz w:val="15"/>
              </w:rPr>
              <w:t>Severity 1 - Critical</w:t>
            </w:r>
          </w:p>
        </w:tc>
        <w:tc>
          <w:tcPr>
            <w:tcW w:type="dxa" w:w="3024"/>
            <w:tcMar>
              <w:top w:w="80" w:type="dxa"/>
              <w:start w:w="120" w:type="dxa"/>
              <w:bottom w:w="80" w:type="dxa"/>
              <w:end w:w="120" w:type="dxa"/>
            </w:tcMar>
            <w:vAlign w:val="center"/>
          </w:tcPr>
          <w:p>
            <w:pPr>
              <w:spacing w:after="0"/>
              <w:jc w:val="left"/>
            </w:pPr>
            <w:r>
              <w:rPr>
                <w:sz w:val="15"/>
              </w:rPr>
              <w:t>Control failure can publish unsafe data, lose/corrupt audit evidence, allow prohibited high-impact action, expose secrets/real data, or make core testing impossible.</w:t>
            </w:r>
          </w:p>
        </w:tc>
        <w:tc>
          <w:tcPr>
            <w:tcW w:type="dxa" w:w="2592"/>
            <w:tcMar>
              <w:top w:w="80" w:type="dxa"/>
              <w:start w:w="120" w:type="dxa"/>
              <w:bottom w:w="80" w:type="dxa"/>
              <w:end w:w="120" w:type="dxa"/>
            </w:tcMar>
            <w:vAlign w:val="center"/>
          </w:tcPr>
          <w:p>
            <w:pPr>
              <w:spacing w:after="0"/>
              <w:jc w:val="left"/>
            </w:pPr>
            <w:r>
              <w:rPr>
                <w:sz w:val="15"/>
              </w:rPr>
              <w:t>Failed run becomes current; duplicate active exceptions at scale; prior events altered/deleted; unauthorised closure/suppression; secret exposure.</w:t>
            </w:r>
          </w:p>
        </w:tc>
        <w:tc>
          <w:tcPr>
            <w:tcW w:type="dxa" w:w="2160"/>
            <w:tcMar>
              <w:top w:w="80" w:type="dxa"/>
              <w:start w:w="120" w:type="dxa"/>
              <w:bottom w:w="80" w:type="dxa"/>
              <w:end w:w="120" w:type="dxa"/>
            </w:tcMar>
            <w:vAlign w:val="center"/>
          </w:tcPr>
          <w:p>
            <w:pPr>
              <w:spacing w:after="0"/>
              <w:jc w:val="left"/>
            </w:pPr>
            <w:r>
              <w:rPr>
                <w:sz w:val="15"/>
              </w:rPr>
              <w:t>Immediate stop; blocks relevant gate and MVP release. No waiver for core control without BRS change.</w:t>
            </w:r>
          </w:p>
        </w:tc>
      </w:tr>
      <w:tr>
        <w:trPr>
          <w:cantSplit/>
        </w:trPr>
        <w:tc>
          <w:tcPr>
            <w:tcW w:type="dxa" w:w="1584"/>
            <w:tcMar>
              <w:top w:w="80" w:type="dxa"/>
              <w:start w:w="120" w:type="dxa"/>
              <w:bottom w:w="80" w:type="dxa"/>
              <w:end w:w="120" w:type="dxa"/>
            </w:tcMar>
            <w:vAlign w:val="center"/>
          </w:tcPr>
          <w:p>
            <w:pPr>
              <w:spacing w:after="0"/>
              <w:jc w:val="center"/>
            </w:pPr>
            <w:r>
              <w:rPr>
                <w:sz w:val="15"/>
              </w:rPr>
              <w:t>Severity 2 - High</w:t>
            </w:r>
          </w:p>
        </w:tc>
        <w:tc>
          <w:tcPr>
            <w:tcW w:type="dxa" w:w="3024"/>
            <w:tcMar>
              <w:top w:w="80" w:type="dxa"/>
              <w:start w:w="120" w:type="dxa"/>
              <w:bottom w:w="80" w:type="dxa"/>
              <w:end w:w="120" w:type="dxa"/>
            </w:tcMar>
            <w:vAlign w:val="center"/>
          </w:tcPr>
          <w:p>
            <w:pPr>
              <w:spacing w:after="0"/>
              <w:jc w:val="left"/>
            </w:pPr>
            <w:r>
              <w:rPr>
                <w:sz w:val="15"/>
              </w:rPr>
              <w:t>Major mandatory function or material control is wrong with no reliable workaround; significant KPI/reconciliation error.</w:t>
            </w:r>
          </w:p>
        </w:tc>
        <w:tc>
          <w:tcPr>
            <w:tcW w:type="dxa" w:w="2592"/>
            <w:tcMar>
              <w:top w:w="80" w:type="dxa"/>
              <w:start w:w="120" w:type="dxa"/>
              <w:bottom w:w="80" w:type="dxa"/>
              <w:end w:w="120" w:type="dxa"/>
            </w:tcMar>
            <w:vAlign w:val="center"/>
          </w:tcPr>
          <w:p>
            <w:pPr>
              <w:spacing w:after="0"/>
              <w:jc w:val="left"/>
            </w:pPr>
            <w:r>
              <w:rPr>
                <w:sz w:val="15"/>
              </w:rPr>
              <w:t>Incorrect stockout/delay result; assignment/escalation not triggered; Power BI differs materially; missing resolution evidence accepted.</w:t>
            </w:r>
          </w:p>
        </w:tc>
        <w:tc>
          <w:tcPr>
            <w:tcW w:type="dxa" w:w="2160"/>
            <w:tcMar>
              <w:top w:w="80" w:type="dxa"/>
              <w:start w:w="120" w:type="dxa"/>
              <w:bottom w:w="80" w:type="dxa"/>
              <w:end w:w="120" w:type="dxa"/>
            </w:tcMar>
            <w:vAlign w:val="center"/>
          </w:tcPr>
          <w:p>
            <w:pPr>
              <w:spacing w:after="0"/>
              <w:jc w:val="left"/>
            </w:pPr>
            <w:r>
              <w:rPr>
                <w:sz w:val="15"/>
              </w:rPr>
              <w:t>Blocks relevant gate and MVP release until fixed and regression-tested.</w:t>
            </w:r>
          </w:p>
        </w:tc>
      </w:tr>
      <w:tr>
        <w:trPr>
          <w:cantSplit/>
        </w:trPr>
        <w:tc>
          <w:tcPr>
            <w:tcW w:type="dxa" w:w="1584"/>
            <w:tcMar>
              <w:top w:w="80" w:type="dxa"/>
              <w:start w:w="120" w:type="dxa"/>
              <w:bottom w:w="80" w:type="dxa"/>
              <w:end w:w="120" w:type="dxa"/>
            </w:tcMar>
            <w:vAlign w:val="center"/>
          </w:tcPr>
          <w:p>
            <w:pPr>
              <w:spacing w:after="0"/>
              <w:jc w:val="center"/>
            </w:pPr>
            <w:r>
              <w:rPr>
                <w:sz w:val="15"/>
              </w:rPr>
              <w:t>Severity 3 - Medium</w:t>
            </w:r>
          </w:p>
        </w:tc>
        <w:tc>
          <w:tcPr>
            <w:tcW w:type="dxa" w:w="3024"/>
            <w:tcMar>
              <w:top w:w="80" w:type="dxa"/>
              <w:start w:w="120" w:type="dxa"/>
              <w:bottom w:w="80" w:type="dxa"/>
              <w:end w:w="120" w:type="dxa"/>
            </w:tcMar>
            <w:vAlign w:val="center"/>
          </w:tcPr>
          <w:p>
            <w:pPr>
              <w:spacing w:after="0"/>
              <w:jc w:val="left"/>
            </w:pPr>
            <w:r>
              <w:rPr>
                <w:sz w:val="15"/>
              </w:rPr>
              <w:t>Requirement is partially impaired but a controlled workaround exists; limited scope or non-critical reporting/usability impact.</w:t>
            </w:r>
          </w:p>
        </w:tc>
        <w:tc>
          <w:tcPr>
            <w:tcW w:type="dxa" w:w="2592"/>
            <w:tcMar>
              <w:top w:w="80" w:type="dxa"/>
              <w:start w:w="120" w:type="dxa"/>
              <w:bottom w:w="80" w:type="dxa"/>
              <w:end w:w="120" w:type="dxa"/>
            </w:tcMar>
            <w:vAlign w:val="center"/>
          </w:tcPr>
          <w:p>
            <w:pPr>
              <w:spacing w:after="0"/>
              <w:jc w:val="left"/>
            </w:pPr>
            <w:r>
              <w:rPr>
                <w:sz w:val="15"/>
              </w:rPr>
              <w:t>One secondary filter wrong; evidence label unclear; response target missed for a non-critical view.</w:t>
            </w:r>
          </w:p>
        </w:tc>
        <w:tc>
          <w:tcPr>
            <w:tcW w:type="dxa" w:w="2160"/>
            <w:tcMar>
              <w:top w:w="80" w:type="dxa"/>
              <w:start w:w="120" w:type="dxa"/>
              <w:bottom w:w="80" w:type="dxa"/>
              <w:end w:w="120" w:type="dxa"/>
            </w:tcMar>
            <w:vAlign w:val="center"/>
          </w:tcPr>
          <w:p>
            <w:pPr>
              <w:spacing w:after="0"/>
              <w:jc w:val="left"/>
            </w:pPr>
            <w:r>
              <w:rPr>
                <w:sz w:val="15"/>
              </w:rPr>
              <w:t>May proceed only with documented owner, plan, residual risk, and acceptance authority decision.</w:t>
            </w:r>
          </w:p>
        </w:tc>
      </w:tr>
      <w:tr>
        <w:trPr>
          <w:cantSplit/>
        </w:trPr>
        <w:tc>
          <w:tcPr>
            <w:tcW w:type="dxa" w:w="1584"/>
            <w:tcMar>
              <w:top w:w="80" w:type="dxa"/>
              <w:start w:w="120" w:type="dxa"/>
              <w:bottom w:w="80" w:type="dxa"/>
              <w:end w:w="120" w:type="dxa"/>
            </w:tcMar>
            <w:vAlign w:val="center"/>
          </w:tcPr>
          <w:p>
            <w:pPr>
              <w:spacing w:after="0"/>
              <w:jc w:val="center"/>
            </w:pPr>
            <w:r>
              <w:rPr>
                <w:sz w:val="15"/>
              </w:rPr>
              <w:t>Severity 4 - Low</w:t>
            </w:r>
          </w:p>
        </w:tc>
        <w:tc>
          <w:tcPr>
            <w:tcW w:type="dxa" w:w="3024"/>
            <w:tcMar>
              <w:top w:w="80" w:type="dxa"/>
              <w:start w:w="120" w:type="dxa"/>
              <w:bottom w:w="80" w:type="dxa"/>
              <w:end w:w="120" w:type="dxa"/>
            </w:tcMar>
            <w:vAlign w:val="center"/>
          </w:tcPr>
          <w:p>
            <w:pPr>
              <w:spacing w:after="0"/>
              <w:jc w:val="left"/>
            </w:pPr>
            <w:r>
              <w:rPr>
                <w:sz w:val="15"/>
              </w:rPr>
              <w:t>Cosmetic, wording, or minor usability issue with no material control/data impact.</w:t>
            </w:r>
          </w:p>
        </w:tc>
        <w:tc>
          <w:tcPr>
            <w:tcW w:type="dxa" w:w="2592"/>
            <w:tcMar>
              <w:top w:w="80" w:type="dxa"/>
              <w:start w:w="120" w:type="dxa"/>
              <w:bottom w:w="80" w:type="dxa"/>
              <w:end w:w="120" w:type="dxa"/>
            </w:tcMar>
            <w:vAlign w:val="center"/>
          </w:tcPr>
          <w:p>
            <w:pPr>
              <w:spacing w:after="0"/>
              <w:jc w:val="left"/>
            </w:pPr>
            <w:r>
              <w:rPr>
                <w:sz w:val="15"/>
              </w:rPr>
              <w:t>Alignment issue; non-misleading label inconsistency; minor export formatting defect.</w:t>
            </w:r>
          </w:p>
        </w:tc>
        <w:tc>
          <w:tcPr>
            <w:tcW w:type="dxa" w:w="2160"/>
            <w:tcMar>
              <w:top w:w="80" w:type="dxa"/>
              <w:start w:w="120" w:type="dxa"/>
              <w:bottom w:w="80" w:type="dxa"/>
              <w:end w:w="120" w:type="dxa"/>
            </w:tcMar>
            <w:vAlign w:val="center"/>
          </w:tcPr>
          <w:p>
            <w:pPr>
              <w:spacing w:after="0"/>
              <w:jc w:val="left"/>
            </w:pPr>
            <w:r>
              <w:rPr>
                <w:sz w:val="15"/>
              </w:rPr>
              <w:t>Does not block release; record and prioritise.</w:t>
            </w:r>
          </w:p>
        </w:tc>
      </w:tr>
    </w:tbl>
    <w:p>
      <w:pPr>
        <w:spacing w:after="0"/>
      </w:pPr>
    </w:p>
    <w:p>
      <w:pPr>
        <w:pStyle w:val="Heading2"/>
      </w:pPr>
      <w:r>
        <w:t>Severity assignment principles</w:t>
      </w:r>
    </w:p>
    <w:p>
      <w:pPr>
        <w:pStyle w:val="ListBullet"/>
      </w:pPr>
      <w:r>
        <w:t>Severity measures impact, not developer effort or test priority.</w:t>
      </w:r>
    </w:p>
    <w:p>
      <w:pPr>
        <w:pStyle w:val="ListBullet"/>
      </w:pPr>
      <w:r>
        <w:t>Any defect that silently creates false safety, destroys traceability, or bypasses required approval is at least Severity 2 and usually Severity 1.</w:t>
      </w:r>
    </w:p>
    <w:p>
      <w:pPr>
        <w:pStyle w:val="ListBullet"/>
      </w:pPr>
      <w:r>
        <w:t>Several related Medium defects may be escalated when their combined effect weakens a control.</w:t>
      </w:r>
    </w:p>
    <w:p>
      <w:pPr>
        <w:pStyle w:val="ListBullet"/>
      </w:pPr>
      <w:r>
        <w:t>Defect priority may differ from severity and should reflect sequencing, exposure, and availability of a safe workaround.</w:t>
      </w:r>
    </w:p>
    <w:p>
      <w:pPr>
        <w:pStyle w:val="Heading1"/>
      </w:pPr>
      <w:r>
        <w:t>9. Entry and exit criteria for project checkpoints</w:t>
      </w:r>
    </w:p>
    <w:tbl>
      <w:tblPr>
        <w:tblStyle w:val="TableGrid"/>
        <w:tblW w:type="dxa" w:w="9360"/>
        <w:jc w:val="center"/>
        <w:tblLayout w:type="fixed"/>
        <w:tblLook w:firstColumn="1" w:firstRow="1" w:lastColumn="0" w:lastRow="0" w:noHBand="0" w:noVBand="1" w:val="04A0"/>
        <w:tblInd w:w="120" w:type="dxa"/>
      </w:tblPr>
      <w:tblGrid>
        <w:gridCol w:w="1584"/>
        <w:gridCol w:w="3528"/>
        <w:gridCol w:w="4248"/>
      </w:tblGrid>
      <w:tr>
        <w:trPr>
          <w:tblHeader w:val="true"/>
          <w:cantSplit/>
        </w:trPr>
        <w:tc>
          <w:tcPr>
            <w:tcW w:type="dxa" w:w="1584"/>
            <w:shd w:fill="F2F4F7"/>
            <w:tcMar>
              <w:top w:w="80" w:type="dxa"/>
              <w:start w:w="120" w:type="dxa"/>
              <w:bottom w:w="80" w:type="dxa"/>
              <w:end w:w="120" w:type="dxa"/>
            </w:tcMar>
            <w:vAlign w:val="center"/>
          </w:tcPr>
          <w:p>
            <w:pPr>
              <w:spacing w:after="0"/>
              <w:jc w:val="center"/>
            </w:pPr>
            <w:r>
              <w:rPr>
                <w:b/>
                <w:color w:val="0B2545"/>
                <w:sz w:val="15"/>
              </w:rPr>
              <w:t>Checkpoint</w:t>
            </w:r>
          </w:p>
        </w:tc>
        <w:tc>
          <w:tcPr>
            <w:tcW w:type="dxa" w:w="3528"/>
            <w:shd w:fill="F2F4F7"/>
            <w:tcMar>
              <w:top w:w="80" w:type="dxa"/>
              <w:start w:w="120" w:type="dxa"/>
              <w:bottom w:w="80" w:type="dxa"/>
              <w:end w:w="120" w:type="dxa"/>
            </w:tcMar>
            <w:vAlign w:val="center"/>
          </w:tcPr>
          <w:p>
            <w:pPr>
              <w:spacing w:after="0"/>
              <w:jc w:val="center"/>
            </w:pPr>
            <w:r>
              <w:rPr>
                <w:b/>
                <w:color w:val="0B2545"/>
                <w:sz w:val="15"/>
              </w:rPr>
              <w:t>Entry criteria</w:t>
            </w:r>
          </w:p>
        </w:tc>
        <w:tc>
          <w:tcPr>
            <w:tcW w:type="dxa" w:w="4248"/>
            <w:shd w:fill="F2F4F7"/>
            <w:tcMar>
              <w:top w:w="80" w:type="dxa"/>
              <w:start w:w="120" w:type="dxa"/>
              <w:bottom w:w="80" w:type="dxa"/>
              <w:end w:w="120" w:type="dxa"/>
            </w:tcMar>
            <w:vAlign w:val="center"/>
          </w:tcPr>
          <w:p>
            <w:pPr>
              <w:spacing w:after="0"/>
              <w:jc w:val="center"/>
            </w:pPr>
            <w:r>
              <w:rPr>
                <w:b/>
                <w:color w:val="0B2545"/>
                <w:sz w:val="15"/>
              </w:rPr>
              <w:t>Exit criteria</w:t>
            </w:r>
          </w:p>
        </w:tc>
      </w:tr>
      <w:tr>
        <w:trPr>
          <w:cantSplit/>
        </w:trPr>
        <w:tc>
          <w:tcPr>
            <w:tcW w:type="dxa" w:w="1584"/>
            <w:tcMar>
              <w:top w:w="80" w:type="dxa"/>
              <w:start w:w="120" w:type="dxa"/>
              <w:bottom w:w="80" w:type="dxa"/>
              <w:end w:w="120" w:type="dxa"/>
            </w:tcMar>
            <w:vAlign w:val="center"/>
          </w:tcPr>
          <w:p>
            <w:pPr>
              <w:spacing w:after="0"/>
              <w:jc w:val="center"/>
            </w:pPr>
            <w:r>
              <w:rPr>
                <w:sz w:val="15"/>
              </w:rPr>
              <w:t>P0 Design</w:t>
            </w:r>
          </w:p>
        </w:tc>
        <w:tc>
          <w:tcPr>
            <w:tcW w:type="dxa" w:w="3528"/>
            <w:tcMar>
              <w:top w:w="80" w:type="dxa"/>
              <w:start w:w="120" w:type="dxa"/>
              <w:bottom w:w="80" w:type="dxa"/>
              <w:end w:w="120" w:type="dxa"/>
            </w:tcMar>
            <w:vAlign w:val="center"/>
          </w:tcPr>
          <w:p>
            <w:pPr>
              <w:spacing w:after="0"/>
              <w:jc w:val="left"/>
            </w:pPr>
            <w:r>
              <w:rPr>
                <w:sz w:val="15"/>
              </w:rPr>
              <w:t>Charter and BRS identified; requirement IDs loaded; open decisions logged; scope and acceptance authorities named.</w:t>
            </w:r>
          </w:p>
        </w:tc>
        <w:tc>
          <w:tcPr>
            <w:tcW w:type="dxa" w:w="4248"/>
            <w:tcMar>
              <w:top w:w="80" w:type="dxa"/>
              <w:start w:w="120" w:type="dxa"/>
              <w:bottom w:w="80" w:type="dxa"/>
              <w:end w:w="120" w:type="dxa"/>
            </w:tcMar>
            <w:vAlign w:val="center"/>
          </w:tcPr>
          <w:p>
            <w:pPr>
              <w:spacing w:after="0"/>
              <w:jc w:val="left"/>
            </w:pPr>
            <w:r>
              <w:rPr>
                <w:sz w:val="15"/>
              </w:rPr>
              <w:t>DL-002 to DL-015 that define keys, dates, rules, lifecycle, SLA, approvals, and evidence are frozen for execution; RTM and test fixtures approved; no unresolved contradiction prevents modelling. Merely accepting a risk is insufficient where a Must requirement explicitly requires a frozen value.</w:t>
            </w:r>
          </w:p>
        </w:tc>
      </w:tr>
      <w:tr>
        <w:trPr>
          <w:cantSplit/>
        </w:trPr>
        <w:tc>
          <w:tcPr>
            <w:tcW w:type="dxa" w:w="1584"/>
            <w:tcMar>
              <w:top w:w="80" w:type="dxa"/>
              <w:start w:w="120" w:type="dxa"/>
              <w:bottom w:w="80" w:type="dxa"/>
              <w:end w:w="120" w:type="dxa"/>
            </w:tcMar>
            <w:vAlign w:val="center"/>
          </w:tcPr>
          <w:p>
            <w:pPr>
              <w:spacing w:after="0"/>
              <w:jc w:val="center"/>
            </w:pPr>
            <w:r>
              <w:rPr>
                <w:sz w:val="15"/>
              </w:rPr>
              <w:t>P1 Data foundation</w:t>
            </w:r>
          </w:p>
        </w:tc>
        <w:tc>
          <w:tcPr>
            <w:tcW w:type="dxa" w:w="3528"/>
            <w:tcMar>
              <w:top w:w="80" w:type="dxa"/>
              <w:start w:w="120" w:type="dxa"/>
              <w:bottom w:w="80" w:type="dxa"/>
              <w:end w:w="120" w:type="dxa"/>
            </w:tcMar>
            <w:vAlign w:val="center"/>
          </w:tcPr>
          <w:p>
            <w:pPr>
              <w:spacing w:after="0"/>
              <w:jc w:val="left"/>
            </w:pPr>
            <w:r>
              <w:rPr>
                <w:sz w:val="15"/>
              </w:rPr>
              <w:t>P0 exit met; synthetic-data design and generator version controlled; reference volumes and expected control totals defined; environment available.</w:t>
            </w:r>
          </w:p>
        </w:tc>
        <w:tc>
          <w:tcPr>
            <w:tcW w:type="dxa" w:w="4248"/>
            <w:tcMar>
              <w:top w:w="80" w:type="dxa"/>
              <w:start w:w="120" w:type="dxa"/>
              <w:bottom w:w="80" w:type="dxa"/>
              <w:end w:w="120" w:type="dxa"/>
            </w:tcMar>
            <w:vAlign w:val="center"/>
          </w:tcPr>
          <w:p>
            <w:pPr>
              <w:spacing w:after="0"/>
              <w:jc w:val="left"/>
            </w:pPr>
            <w:r>
              <w:rPr>
                <w:sz w:val="15"/>
              </w:rPr>
              <w:t>FR-001 to FR-005 and DQ-001 to DQ-011 executed; critical gates and quarantine behave as specified; independent outcomes evidenced; reproducibility and reconciliation pass; no open Severity 1/2.</w:t>
            </w:r>
          </w:p>
        </w:tc>
      </w:tr>
      <w:tr>
        <w:trPr>
          <w:cantSplit/>
        </w:trPr>
        <w:tc>
          <w:tcPr>
            <w:tcW w:type="dxa" w:w="1584"/>
            <w:tcMar>
              <w:top w:w="80" w:type="dxa"/>
              <w:start w:w="120" w:type="dxa"/>
              <w:bottom w:w="80" w:type="dxa"/>
              <w:end w:w="120" w:type="dxa"/>
            </w:tcMar>
            <w:vAlign w:val="center"/>
          </w:tcPr>
          <w:p>
            <w:pPr>
              <w:spacing w:after="0"/>
              <w:jc w:val="center"/>
            </w:pPr>
            <w:r>
              <w:rPr>
                <w:sz w:val="15"/>
              </w:rPr>
              <w:t>P2 Risk engine</w:t>
            </w:r>
          </w:p>
        </w:tc>
        <w:tc>
          <w:tcPr>
            <w:tcW w:type="dxa" w:w="3528"/>
            <w:tcMar>
              <w:top w:w="80" w:type="dxa"/>
              <w:start w:w="120" w:type="dxa"/>
              <w:bottom w:w="80" w:type="dxa"/>
              <w:end w:w="120" w:type="dxa"/>
            </w:tcMar>
            <w:vAlign w:val="center"/>
          </w:tcPr>
          <w:p>
            <w:pPr>
              <w:spacing w:after="0"/>
              <w:jc w:val="left"/>
            </w:pPr>
            <w:r>
              <w:rPr>
                <w:sz w:val="15"/>
              </w:rPr>
              <w:t>P1 exit met; rule catalogue/version and date/partial-receipt hierarchy approved; hand-calculated fixtures and hidden outcome policy frozen.</w:t>
            </w:r>
          </w:p>
        </w:tc>
        <w:tc>
          <w:tcPr>
            <w:tcW w:type="dxa" w:w="4248"/>
            <w:tcMar>
              <w:top w:w="80" w:type="dxa"/>
              <w:start w:w="120" w:type="dxa"/>
              <w:bottom w:w="80" w:type="dxa"/>
              <w:end w:w="120" w:type="dxa"/>
            </w:tcMar>
            <w:vAlign w:val="center"/>
          </w:tcPr>
          <w:p>
            <w:pPr>
              <w:spacing w:after="0"/>
              <w:jc w:val="left"/>
            </w:pPr>
            <w:r>
              <w:rPr>
                <w:sz w:val="15"/>
              </w:rPr>
              <w:t>FR-006 to FR-010, RULE-001 to RULE-014, GOV-003/006, NFR-001/008 executed; deterministic explanations and boundaries pass; performance met; recall/FP/lead-time/workload reported honestly; no open Severity 1/2.</w:t>
            </w:r>
          </w:p>
        </w:tc>
      </w:tr>
      <w:tr>
        <w:trPr>
          <w:cantSplit/>
        </w:trPr>
        <w:tc>
          <w:tcPr>
            <w:tcW w:type="dxa" w:w="1584"/>
            <w:tcMar>
              <w:top w:w="80" w:type="dxa"/>
              <w:start w:w="120" w:type="dxa"/>
              <w:bottom w:w="80" w:type="dxa"/>
              <w:end w:w="120" w:type="dxa"/>
            </w:tcMar>
            <w:vAlign w:val="center"/>
          </w:tcPr>
          <w:p>
            <w:pPr>
              <w:spacing w:after="0"/>
              <w:jc w:val="center"/>
            </w:pPr>
            <w:r>
              <w:rPr>
                <w:sz w:val="15"/>
              </w:rPr>
              <w:t>P3 Workflow</w:t>
            </w:r>
          </w:p>
        </w:tc>
        <w:tc>
          <w:tcPr>
            <w:tcW w:type="dxa" w:w="3528"/>
            <w:tcMar>
              <w:top w:w="80" w:type="dxa"/>
              <w:start w:w="120" w:type="dxa"/>
              <w:bottom w:w="80" w:type="dxa"/>
              <w:end w:w="120" w:type="dxa"/>
            </w:tcMar>
            <w:vAlign w:val="center"/>
          </w:tcPr>
          <w:p>
            <w:pPr>
              <w:spacing w:after="0"/>
              <w:jc w:val="left"/>
            </w:pPr>
            <w:r>
              <w:rPr>
                <w:sz w:val="15"/>
              </w:rPr>
              <w:t>P2 exit met; episode key, lifecycle matrix including Reopened routing, ownership mapping, calendar, SLA reset/pause, approval matrix, suppression/reopen policy, and evidence catalogue frozen.</w:t>
            </w:r>
          </w:p>
        </w:tc>
        <w:tc>
          <w:tcPr>
            <w:tcW w:type="dxa" w:w="4248"/>
            <w:tcMar>
              <w:top w:w="80" w:type="dxa"/>
              <w:start w:w="120" w:type="dxa"/>
              <w:bottom w:w="80" w:type="dxa"/>
              <w:end w:w="120" w:type="dxa"/>
            </w:tcMar>
            <w:vAlign w:val="center"/>
          </w:tcPr>
          <w:p>
            <w:pPr>
              <w:spacing w:after="0"/>
              <w:jc w:val="left"/>
            </w:pPr>
            <w:r>
              <w:rPr>
                <w:sz w:val="15"/>
              </w:rPr>
              <w:t>FR-011 to FR-024 and related LIF/SLA/GOV/SEC tests executed; golden episode passes; prohibited transitions/roles produce zero mutation; audit history is complete; no open Severity 1/2.</w:t>
            </w:r>
          </w:p>
        </w:tc>
      </w:tr>
      <w:tr>
        <w:trPr>
          <w:cantSplit/>
        </w:trPr>
        <w:tc>
          <w:tcPr>
            <w:tcW w:type="dxa" w:w="1584"/>
            <w:tcMar>
              <w:top w:w="80" w:type="dxa"/>
              <w:start w:w="120" w:type="dxa"/>
              <w:bottom w:w="80" w:type="dxa"/>
              <w:end w:w="120" w:type="dxa"/>
            </w:tcMar>
            <w:vAlign w:val="center"/>
          </w:tcPr>
          <w:p>
            <w:pPr>
              <w:spacing w:after="0"/>
              <w:jc w:val="center"/>
            </w:pPr>
            <w:r>
              <w:rPr>
                <w:sz w:val="15"/>
              </w:rPr>
              <w:t>P4 BI and local release</w:t>
            </w:r>
          </w:p>
        </w:tc>
        <w:tc>
          <w:tcPr>
            <w:tcW w:type="dxa" w:w="3528"/>
            <w:tcMar>
              <w:top w:w="80" w:type="dxa"/>
              <w:start w:w="120" w:type="dxa"/>
              <w:bottom w:w="80" w:type="dxa"/>
              <w:end w:w="120" w:type="dxa"/>
            </w:tcMar>
            <w:vAlign w:val="center"/>
          </w:tcPr>
          <w:p>
            <w:pPr>
              <w:spacing w:after="0"/>
              <w:jc w:val="left"/>
            </w:pPr>
            <w:r>
              <w:rPr>
                <w:sz w:val="15"/>
              </w:rPr>
              <w:t>P3 exit met; publication path and current-run logic frozen; Power BI model connected to controlled source; performance/UAT protocols approved.</w:t>
            </w:r>
          </w:p>
        </w:tc>
        <w:tc>
          <w:tcPr>
            <w:tcW w:type="dxa" w:w="4248"/>
            <w:tcMar>
              <w:top w:w="80" w:type="dxa"/>
              <w:start w:w="120" w:type="dxa"/>
              <w:bottom w:w="80" w:type="dxa"/>
              <w:end w:w="120" w:type="dxa"/>
            </w:tcMar>
            <w:vAlign w:val="center"/>
          </w:tcPr>
          <w:p>
            <w:pPr>
              <w:spacing w:after="0"/>
              <w:jc w:val="left"/>
            </w:pPr>
            <w:r>
              <w:rPr>
                <w:sz w:val="15"/>
              </w:rPr>
              <w:t>FR-025/028, REP-001 to REP-010, NFR-002/004 and SEC-005 executed; multidimensional differences are zero; latest-success/failure/freshness visible; local demo and evidence index reviewed; no open Severity 1/2.</w:t>
            </w:r>
          </w:p>
        </w:tc>
      </w:tr>
      <w:tr>
        <w:trPr>
          <w:cantSplit/>
        </w:trPr>
        <w:tc>
          <w:tcPr>
            <w:tcW w:type="dxa" w:w="1584"/>
            <w:tcMar>
              <w:top w:w="80" w:type="dxa"/>
              <w:start w:w="120" w:type="dxa"/>
              <w:bottom w:w="80" w:type="dxa"/>
              <w:end w:w="120" w:type="dxa"/>
            </w:tcMar>
            <w:vAlign w:val="center"/>
          </w:tcPr>
          <w:p>
            <w:pPr>
              <w:spacing w:after="0"/>
              <w:jc w:val="center"/>
            </w:pPr>
            <w:r>
              <w:rPr>
                <w:sz w:val="15"/>
              </w:rPr>
              <w:t>P5 Optional automation</w:t>
            </w:r>
          </w:p>
        </w:tc>
        <w:tc>
          <w:tcPr>
            <w:tcW w:type="dxa" w:w="3528"/>
            <w:tcMar>
              <w:top w:w="80" w:type="dxa"/>
              <w:start w:w="120" w:type="dxa"/>
              <w:bottom w:w="80" w:type="dxa"/>
              <w:end w:w="120" w:type="dxa"/>
            </w:tcMar>
            <w:vAlign w:val="center"/>
          </w:tcPr>
          <w:p>
            <w:pPr>
              <w:spacing w:after="0"/>
              <w:jc w:val="left"/>
            </w:pPr>
            <w:r>
              <w:rPr>
                <w:sz w:val="15"/>
              </w:rPr>
              <w:t>P4 accepted; scheduler is not used as operational state storage; failure observation and retry policy documented.</w:t>
            </w:r>
          </w:p>
        </w:tc>
        <w:tc>
          <w:tcPr>
            <w:tcW w:type="dxa" w:w="4248"/>
            <w:tcMar>
              <w:top w:w="80" w:type="dxa"/>
              <w:start w:w="120" w:type="dxa"/>
              <w:bottom w:w="80" w:type="dxa"/>
              <w:end w:w="120" w:type="dxa"/>
            </w:tcMar>
            <w:vAlign w:val="center"/>
          </w:tcPr>
          <w:p>
            <w:pPr>
              <w:spacing w:after="0"/>
              <w:jc w:val="left"/>
            </w:pPr>
            <w:r>
              <w:rPr>
                <w:sz w:val="15"/>
              </w:rPr>
              <w:t>Exactly 30 attempts evidenced; success target interpreted discretely; failures visible; persistence boundary disclosed; core regression suite passes.</w:t>
            </w:r>
          </w:p>
        </w:tc>
      </w:tr>
      <w:tr>
        <w:trPr>
          <w:cantSplit/>
        </w:trPr>
        <w:tc>
          <w:tcPr>
            <w:tcW w:type="dxa" w:w="1584"/>
            <w:tcMar>
              <w:top w:w="80" w:type="dxa"/>
              <w:start w:w="120" w:type="dxa"/>
              <w:bottom w:w="80" w:type="dxa"/>
              <w:end w:w="120" w:type="dxa"/>
            </w:tcMar>
            <w:vAlign w:val="center"/>
          </w:tcPr>
          <w:p>
            <w:pPr>
              <w:spacing w:after="0"/>
              <w:jc w:val="center"/>
            </w:pPr>
            <w:r>
              <w:rPr>
                <w:sz w:val="15"/>
              </w:rPr>
              <w:t>P6 Optional AI</w:t>
            </w:r>
          </w:p>
        </w:tc>
        <w:tc>
          <w:tcPr>
            <w:tcW w:type="dxa" w:w="3528"/>
            <w:tcMar>
              <w:top w:w="80" w:type="dxa"/>
              <w:start w:w="120" w:type="dxa"/>
              <w:bottom w:w="80" w:type="dxa"/>
              <w:end w:w="120" w:type="dxa"/>
            </w:tcMar>
            <w:vAlign w:val="center"/>
          </w:tcPr>
          <w:p>
            <w:pPr>
              <w:spacing w:after="0"/>
              <w:jc w:val="left"/>
            </w:pPr>
            <w:r>
              <w:rPr>
                <w:sz w:val="15"/>
              </w:rPr>
              <w:t>P4 accepted and AI gate signed; permitted uses, payload whitelist, evaluation thresholds, and kill switch approved.</w:t>
            </w:r>
          </w:p>
        </w:tc>
        <w:tc>
          <w:tcPr>
            <w:tcW w:type="dxa" w:w="4248"/>
            <w:tcMar>
              <w:top w:w="80" w:type="dxa"/>
              <w:start w:w="120" w:type="dxa"/>
              <w:bottom w:w="80" w:type="dxa"/>
              <w:end w:w="120" w:type="dxa"/>
            </w:tcMar>
            <w:vAlign w:val="center"/>
          </w:tcPr>
          <w:p>
            <w:pPr>
              <w:spacing w:after="0"/>
              <w:jc w:val="left"/>
            </w:pPr>
            <w:r>
              <w:rPr>
                <w:sz w:val="15"/>
              </w:rPr>
              <w:t>AI requirements executed separately; zero prohibited mutations; all outputs reviewed; core works with AI disabled. Not part of MVP DoD.</w:t>
            </w:r>
          </w:p>
        </w:tc>
      </w:tr>
    </w:tbl>
    <w:p>
      <w:pPr>
        <w:spacing w:after="0"/>
      </w:pPr>
    </w:p>
    <w:p>
      <w:pPr>
        <w:pStyle w:val="Heading1"/>
      </w:pPr>
      <w:r>
        <w:t>10. Definition of done for the MVP</w:t>
      </w:r>
    </w:p>
    <w:p>
      <w:r>
        <w:t>The MVP is Done only when all of the following are true for P0-P4:</w:t>
      </w:r>
    </w:p>
    <w:p>
      <w:pPr>
        <w:pStyle w:val="ListBullet"/>
      </w:pPr>
      <w:r>
        <w:t>The approved requirement baseline and all execution-critical decisions are frozen and versioned.</w:t>
      </w:r>
    </w:p>
    <w:p>
      <w:pPr>
        <w:pStyle w:val="ListBullet"/>
      </w:pPr>
      <w:r>
        <w:t>Every in-scope Must requirement has bidirectional traceability to executed evidence; no orphan Must requirement remains.</w:t>
      </w:r>
    </w:p>
    <w:p>
      <w:pPr>
        <w:pStyle w:val="ListBullet"/>
      </w:pPr>
      <w:r>
        <w:t>All Critical and High-priority tests are executed, not merely designed, and all mandatory acceptance criteria pass.</w:t>
      </w:r>
    </w:p>
    <w:p>
      <w:pPr>
        <w:pStyle w:val="ListBullet"/>
      </w:pPr>
      <w:r>
        <w:t>No open Severity 1 or Severity 2 defect remains. Any retained Severity 3/4 item has owner, residual-risk assessment, target treatment, and acceptance decision.</w:t>
      </w:r>
    </w:p>
    <w:p>
      <w:pPr>
        <w:pStyle w:val="ListBullet"/>
      </w:pPr>
      <w:r>
        <w:t>The data-quality, deterministic scoring, workflow, governance, performance, and Power BI reconciliation exit evidence required by BRS section 14 is complete.</w:t>
      </w:r>
    </w:p>
    <w:p>
      <w:pPr>
        <w:pStyle w:val="ListBullet"/>
      </w:pPr>
      <w:r>
        <w:t>A golden end-to-end episode proves assignment, investigation, action, monitoring, resolution, closure, suppression/reopen behavior, and complete history under the frozen lifecycle.</w:t>
      </w:r>
    </w:p>
    <w:p>
      <w:pPr>
        <w:pStyle w:val="ListBullet"/>
      </w:pPr>
      <w:r>
        <w:t>Failed and partial runs cannot replace the latest successful dataset; freshness and failed-run indicators are visible.</w:t>
      </w:r>
    </w:p>
    <w:p>
      <w:pPr>
        <w:pStyle w:val="ListBullet"/>
      </w:pPr>
      <w:r>
        <w:t>Operational store and Power BI differences are zero for run, date, severity, status, supplier, and site across three acceptance runs.</w:t>
      </w:r>
    </w:p>
    <w:p>
      <w:pPr>
        <w:pStyle w:val="ListBullet"/>
      </w:pPr>
      <w:r>
        <w:t>The public evidence package is reproducible, synthetic, secret-free, indexed, and labels proposed targets separately from measured simulated results.</w:t>
      </w:r>
    </w:p>
    <w:p>
      <w:pPr>
        <w:pStyle w:val="ListBullet"/>
      </w:pPr>
      <w:r>
        <w:t>The final report states passes, failures, blocked items, unmet targets, limitations, and deferred P5/P6 scope without claiming realised commercial benefit or production-grade control.</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DECEC"/>
            <w:tcMar>
              <w:top w:w="140" w:type="dxa"/>
              <w:start w:w="180" w:type="dxa"/>
              <w:bottom w:w="140" w:type="dxa"/>
              <w:end w:w="180" w:type="dxa"/>
            </w:tcMar>
          </w:tcPr>
          <w:p>
            <w:pPr>
              <w:spacing w:after="0"/>
            </w:pPr>
            <w:r>
              <w:rPr>
                <w:b/>
                <w:color w:val="9B1C1C"/>
              </w:rPr>
              <w:t xml:space="preserve">Critical distinction: </w:t>
            </w:r>
            <w:r>
              <w:t>Disclosure of a failed target is mandatory, but disclosure alone does not satisfy the target. If a Must criterion is not met, the MVP is not Done unless the governing baseline is formally changed and affected tests are rerun.</w:t>
            </w:r>
          </w:p>
        </w:tc>
      </w:tr>
    </w:tbl>
    <w:p>
      <w:pPr>
        <w:spacing w:after="0"/>
      </w:pPr>
    </w:p>
    <w:p>
      <w:pPr>
        <w:pStyle w:val="Heading1"/>
      </w:pPr>
      <w:r>
        <w:t>11. High-priority test scenarios</w:t>
      </w:r>
    </w:p>
    <w:p>
      <w:r>
        <w:t>The following proposed scenarios form the initial high-priority catalogue. They are not execution results. Priority reflects assurance risk. Automation suitability identifies the preferred future execution mode without providing implementation code.</w:t>
      </w:r>
    </w:p>
    <w:p>
      <w:pPr>
        <w:pStyle w:val="Heading2"/>
        <w:keepNext/>
        <w:spacing w:before="160" w:after="80"/>
      </w:pPr>
      <w:r>
        <w:rPr>
          <w:color w:val="1F4D78"/>
          <w:sz w:val="24"/>
        </w:rPr>
        <w:t>TS-001 - Duplicate source key stops or quarantines the run</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FR-003, FR-004, DQ-001, US-005</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duplicate PO-line keys cannot enter accepted data or create ambiguous episodes.</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Approved duplicate-severity policy; valid baseline package; one injected duplicate PO-line key with distinguishable values.</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 automated data-quality and pipeline assertion.</w:t>
            </w:r>
          </w:p>
        </w:tc>
      </w:tr>
    </w:tbl>
    <w:p>
      <w:pPr>
        <w:keepNext/>
        <w:spacing w:before="100" w:after="40"/>
      </w:pPr>
      <w:r>
        <w:rPr>
          <w:b/>
          <w:color w:val="1F4D78"/>
        </w:rPr>
        <w:t>Test steps</w:t>
      </w:r>
    </w:p>
    <w:p>
      <w:pPr>
        <w:spacing w:after="40"/>
        <w:ind w:left="720" w:hanging="360"/>
      </w:pPr>
      <w:r>
        <w:rPr>
          <w:sz w:val="19"/>
        </w:rPr>
        <w:t>1.  Load the baseline package and record source row counts.</w:t>
      </w:r>
    </w:p>
    <w:p>
      <w:pPr>
        <w:spacing w:after="40"/>
        <w:ind w:left="720" w:hanging="360"/>
      </w:pPr>
      <w:r>
        <w:rPr>
          <w:sz w:val="19"/>
        </w:rPr>
        <w:t>2.  Insert a second PO-line record with the same stable key.</w:t>
      </w:r>
    </w:p>
    <w:p>
      <w:pPr>
        <w:spacing w:after="40"/>
        <w:ind w:left="720" w:hanging="360"/>
      </w:pPr>
      <w:r>
        <w:rPr>
          <w:sz w:val="19"/>
        </w:rPr>
        <w:t>3.  Execute validation and attempt downstream scoring/publication.</w:t>
      </w:r>
    </w:p>
    <w:p>
      <w:pPr>
        <w:spacing w:after="40"/>
        <w:ind w:left="720" w:hanging="360"/>
      </w:pPr>
      <w:r>
        <w:rPr>
          <w:sz w:val="19"/>
        </w:rPr>
        <w:t>4.  Inspect run status, accepted data, quarantine/rejection record, and current dataset pointer.</w:t>
      </w:r>
    </w:p>
    <w:p>
      <w:pPr>
        <w:spacing w:before="60" w:after="40"/>
      </w:pPr>
      <w:r>
        <w:rPr>
          <w:b/>
          <w:color w:val="1F4D78"/>
        </w:rPr>
        <w:t xml:space="preserve">Expected result. </w:t>
      </w:r>
      <w:r>
        <w:t>The duplicate is identified with a stable defect code. Critical policy stops publication; otherwise the record is quarantined exactly once. Zero ambiguous duplicate keys enter accepted data, and no duplicate exception is created.</w:t>
      </w:r>
    </w:p>
    <w:p>
      <w:pPr>
        <w:spacing w:after="160"/>
      </w:pPr>
      <w:r>
        <w:rPr>
          <w:b/>
          <w:color w:val="1F4D78"/>
        </w:rPr>
        <w:t xml:space="preserve">Evidence required. </w:t>
      </w:r>
      <w:r>
        <w:t>Fixture and expected oracle; validation log; defect extract; run status; accepted/quarantine counts; proof that the current successful dataset is unchanged.</w:t>
      </w:r>
    </w:p>
    <w:p>
      <w:pPr>
        <w:pStyle w:val="Heading2"/>
        <w:keepNext/>
        <w:spacing w:before="160" w:after="80"/>
      </w:pPr>
      <w:r>
        <w:rPr>
          <w:color w:val="1F4D78"/>
          <w:sz w:val="24"/>
        </w:rPr>
        <w:t>TS-002 - Missing supplier reference is rejected</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DQ-002, FR-003, FR-004</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every accepted PO line resolves to a valid supplier master record.</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Valid masters and PO package; one PO line references a nonexistent supplier ID; referential defect severity frozen.</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 automated referential-integrity test.</w:t>
            </w:r>
          </w:p>
        </w:tc>
      </w:tr>
    </w:tbl>
    <w:p>
      <w:pPr>
        <w:keepNext/>
        <w:spacing w:before="100" w:after="40"/>
      </w:pPr>
      <w:r>
        <w:rPr>
          <w:b/>
          <w:color w:val="1F4D78"/>
        </w:rPr>
        <w:t>Test steps</w:t>
      </w:r>
    </w:p>
    <w:p>
      <w:pPr>
        <w:spacing w:after="40"/>
        <w:ind w:left="720" w:hanging="360"/>
      </w:pPr>
      <w:r>
        <w:rPr>
          <w:sz w:val="19"/>
        </w:rPr>
        <w:t>1.  Record the valid supplier-master control total.</w:t>
      </w:r>
    </w:p>
    <w:p>
      <w:pPr>
        <w:spacing w:after="40"/>
        <w:ind w:left="720" w:hanging="360"/>
      </w:pPr>
      <w:r>
        <w:rPr>
          <w:sz w:val="19"/>
        </w:rPr>
        <w:t>2.  Inject a PO line with an orphan supplier reference.</w:t>
      </w:r>
    </w:p>
    <w:p>
      <w:pPr>
        <w:spacing w:after="40"/>
        <w:ind w:left="720" w:hanging="360"/>
      </w:pPr>
      <w:r>
        <w:rPr>
          <w:sz w:val="19"/>
        </w:rPr>
        <w:t>3.  Run validation and attempt scoring.</w:t>
      </w:r>
    </w:p>
    <w:p>
      <w:pPr>
        <w:spacing w:after="40"/>
        <w:ind w:left="720" w:hanging="360"/>
      </w:pPr>
      <w:r>
        <w:rPr>
          <w:sz w:val="19"/>
        </w:rPr>
        <w:t>4.  Inspect accepted, quarantined/rejected, and scoring populations.</w:t>
      </w:r>
    </w:p>
    <w:p>
      <w:pPr>
        <w:spacing w:before="60" w:after="40"/>
      </w:pPr>
      <w:r>
        <w:rPr>
          <w:b/>
          <w:color w:val="1F4D78"/>
        </w:rPr>
        <w:t xml:space="preserve">Expected result. </w:t>
      </w:r>
      <w:r>
        <w:t>The orphan is stopped or quarantined under the approved severity rule with entity, field, value, source, and run recorded. It is excluded from scoring and accepted referential integrity remains 100%.</w:t>
      </w:r>
    </w:p>
    <w:p>
      <w:pPr>
        <w:spacing w:after="160"/>
      </w:pPr>
      <w:r>
        <w:rPr>
          <w:b/>
          <w:color w:val="1F4D78"/>
        </w:rPr>
        <w:t xml:space="preserve">Evidence required. </w:t>
      </w:r>
      <w:r>
        <w:t>Input row; supplier-master snapshot; defect record; counts; scoring exclusion; run/publication status.</w:t>
      </w:r>
    </w:p>
    <w:p>
      <w:pPr>
        <w:pStyle w:val="Heading2"/>
        <w:keepNext/>
        <w:spacing w:before="160" w:after="80"/>
      </w:pPr>
      <w:r>
        <w:rPr>
          <w:color w:val="1F4D78"/>
          <w:sz w:val="24"/>
        </w:rPr>
        <w:t>TS-003 - Missing product reference is rejected</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DQ-002, DQ-008, FR-003, FR-004</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an orphan item/product cannot be used for quantity, unit, or stockout calculations.</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Valid item master and inventory data; one PO line uses an unknown item ID.</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 automated referential-integrity test.</w:t>
            </w:r>
          </w:p>
        </w:tc>
      </w:tr>
    </w:tbl>
    <w:p>
      <w:pPr>
        <w:keepNext/>
        <w:spacing w:before="100" w:after="40"/>
      </w:pPr>
      <w:r>
        <w:rPr>
          <w:b/>
          <w:color w:val="1F4D78"/>
        </w:rPr>
        <w:t>Test steps</w:t>
      </w:r>
    </w:p>
    <w:p>
      <w:pPr>
        <w:spacing w:after="40"/>
        <w:ind w:left="720" w:hanging="360"/>
      </w:pPr>
      <w:r>
        <w:rPr>
          <w:sz w:val="19"/>
        </w:rPr>
        <w:t>1.  Load the valid reference package.</w:t>
      </w:r>
    </w:p>
    <w:p>
      <w:pPr>
        <w:spacing w:after="40"/>
        <w:ind w:left="720" w:hanging="360"/>
      </w:pPr>
      <w:r>
        <w:rPr>
          <w:sz w:val="19"/>
        </w:rPr>
        <w:t>2.  Inject the orphan item reference.</w:t>
      </w:r>
    </w:p>
    <w:p>
      <w:pPr>
        <w:spacing w:after="40"/>
        <w:ind w:left="720" w:hanging="360"/>
      </w:pPr>
      <w:r>
        <w:rPr>
          <w:sz w:val="19"/>
        </w:rPr>
        <w:t>3.  Run validation through scoring.</w:t>
      </w:r>
    </w:p>
    <w:p>
      <w:pPr>
        <w:spacing w:after="40"/>
        <w:ind w:left="720" w:hanging="360"/>
      </w:pPr>
      <w:r>
        <w:rPr>
          <w:sz w:val="19"/>
        </w:rPr>
        <w:t>4.  Check quarantine, UOM/stockout calculation output, and publication state.</w:t>
      </w:r>
    </w:p>
    <w:p>
      <w:pPr>
        <w:spacing w:before="60" w:after="40"/>
      </w:pPr>
      <w:r>
        <w:rPr>
          <w:b/>
          <w:color w:val="1F4D78"/>
        </w:rPr>
        <w:t xml:space="preserve">Expected result. </w:t>
      </w:r>
      <w:r>
        <w:t>The orphan is visibly rejected or quarantined and receives no projected-balance or score result. Accepted references remain complete and no implicit default item/UOM is created.</w:t>
      </w:r>
    </w:p>
    <w:p>
      <w:pPr>
        <w:spacing w:after="160"/>
      </w:pPr>
      <w:r>
        <w:rPr>
          <w:b/>
          <w:color w:val="1F4D78"/>
        </w:rPr>
        <w:t xml:space="preserve">Evidence required. </w:t>
      </w:r>
      <w:r>
        <w:t>Fixture; defect code; absence from accepted/scored outputs; control totals; publication status.</w:t>
      </w:r>
    </w:p>
    <w:p>
      <w:pPr>
        <w:pStyle w:val="Heading2"/>
        <w:keepNext/>
        <w:spacing w:before="160" w:after="80"/>
      </w:pPr>
      <w:r>
        <w:rPr>
          <w:color w:val="1F4D78"/>
          <w:sz w:val="24"/>
        </w:rPr>
        <w:t>TS-004 - Invalid date chronology is classified correctly</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DQ-004, RULE-014, FR-003</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invalid order, need, promise, expected-receipt, and receipt chronology cannot silently drive urgency.</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Frozen date hierarchy and documented exceptions; fixture containing valid and invalid chronology cases.</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 automated boundary and classification test.</w:t>
            </w:r>
          </w:p>
        </w:tc>
      </w:tr>
    </w:tbl>
    <w:p>
      <w:pPr>
        <w:keepNext/>
        <w:spacing w:before="100" w:after="40"/>
      </w:pPr>
      <w:r>
        <w:rPr>
          <w:b/>
          <w:color w:val="1F4D78"/>
        </w:rPr>
        <w:t>Test steps</w:t>
      </w:r>
    </w:p>
    <w:p>
      <w:pPr>
        <w:spacing w:after="40"/>
        <w:ind w:left="720" w:hanging="360"/>
      </w:pPr>
      <w:r>
        <w:rPr>
          <w:sz w:val="19"/>
        </w:rPr>
        <w:t>1.  Load cases including receipt before order, invalid revised promise, missing authoritative date, and one documented valid exception.</w:t>
      </w:r>
    </w:p>
    <w:p>
      <w:pPr>
        <w:spacing w:after="40"/>
        <w:ind w:left="720" w:hanging="360"/>
      </w:pPr>
      <w:r>
        <w:rPr>
          <w:sz w:val="19"/>
        </w:rPr>
        <w:t>2.  Run date validation.</w:t>
      </w:r>
    </w:p>
    <w:p>
      <w:pPr>
        <w:spacing w:after="40"/>
        <w:ind w:left="720" w:hanging="360"/>
      </w:pPr>
      <w:r>
        <w:rPr>
          <w:sz w:val="19"/>
        </w:rPr>
        <w:t>3.  Compare each classification with the frozen oracle.</w:t>
      </w:r>
    </w:p>
    <w:p>
      <w:pPr>
        <w:spacing w:after="40"/>
        <w:ind w:left="720" w:hanging="360"/>
      </w:pPr>
      <w:r>
        <w:rPr>
          <w:sz w:val="19"/>
        </w:rPr>
        <w:t>4.  Attempt scoring/publication for critical invalid cases.</w:t>
      </w:r>
    </w:p>
    <w:p>
      <w:pPr>
        <w:spacing w:before="60" w:after="40"/>
      </w:pPr>
      <w:r>
        <w:rPr>
          <w:b/>
          <w:color w:val="1F4D78"/>
        </w:rPr>
        <w:t xml:space="preserve">Expected result. </w:t>
      </w:r>
      <w:r>
        <w:t>Every chronology fixture receives the exact expected pass/fail/qualified outcome. Critical invalidity prevents publication; no invalid date is silently substituted or treated as low risk.</w:t>
      </w:r>
    </w:p>
    <w:p>
      <w:pPr>
        <w:spacing w:after="160"/>
      </w:pPr>
      <w:r>
        <w:rPr>
          <w:b/>
          <w:color w:val="1F4D78"/>
        </w:rPr>
        <w:t xml:space="preserve">Evidence required. </w:t>
      </w:r>
      <w:r>
        <w:t>Date-policy version; fixture/oracle; classification output; logs; run gate status.</w:t>
      </w:r>
    </w:p>
    <w:p>
      <w:pPr>
        <w:pStyle w:val="Heading2"/>
        <w:keepNext/>
        <w:spacing w:before="160" w:after="80"/>
      </w:pPr>
      <w:r>
        <w:rPr>
          <w:color w:val="1F4D78"/>
          <w:sz w:val="24"/>
        </w:rPr>
        <w:t>TS-005 - Invalid quantities and over-receipt boundaries</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DQ-003, FR-005, RULE-001</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negative quantities and receipts above tolerance cannot distort eligibility or exposure.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Frozen over-receipt tolerance and correction rules; cases for negative, zero, within-tolerance, exact-limit, and above-limit quantities.</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 automated quantity boundary suite.</w:t>
            </w:r>
          </w:p>
        </w:tc>
      </w:tr>
    </w:tbl>
    <w:p>
      <w:pPr>
        <w:keepNext/>
        <w:spacing w:before="100" w:after="40"/>
      </w:pPr>
      <w:r>
        <w:rPr>
          <w:b/>
          <w:color w:val="1F4D78"/>
        </w:rPr>
        <w:t>Test steps</w:t>
      </w:r>
    </w:p>
    <w:p>
      <w:pPr>
        <w:spacing w:after="40"/>
        <w:ind w:left="720" w:hanging="360"/>
      </w:pPr>
      <w:r>
        <w:rPr>
          <w:sz w:val="19"/>
        </w:rPr>
        <w:t>1.  Run validation across each quantity case.</w:t>
      </w:r>
    </w:p>
    <w:p>
      <w:pPr>
        <w:spacing w:after="40"/>
        <w:ind w:left="720" w:hanging="360"/>
      </w:pPr>
      <w:r>
        <w:rPr>
          <w:sz w:val="19"/>
        </w:rPr>
        <w:t>2.  Compare pass/fail classification with the oracle.</w:t>
      </w:r>
    </w:p>
    <w:p>
      <w:pPr>
        <w:spacing w:after="40"/>
        <w:ind w:left="720" w:hanging="360"/>
      </w:pPr>
      <w:r>
        <w:rPr>
          <w:sz w:val="19"/>
        </w:rPr>
        <w:t>3.  For accepted cases, calculate open quantity and eligibility.</w:t>
      </w:r>
    </w:p>
    <w:p>
      <w:pPr>
        <w:spacing w:after="40"/>
        <w:ind w:left="720" w:hanging="360"/>
      </w:pPr>
      <w:r>
        <w:rPr>
          <w:sz w:val="19"/>
        </w:rPr>
        <w:t>4.  Confirm invalid cases do not proceed to scoring.</w:t>
      </w:r>
    </w:p>
    <w:p>
      <w:pPr>
        <w:spacing w:before="60" w:after="40"/>
      </w:pPr>
      <w:r>
        <w:rPr>
          <w:b/>
          <w:color w:val="1F4D78"/>
        </w:rPr>
        <w:t xml:space="preserve">Expected result. </w:t>
      </w:r>
      <w:r>
        <w:t>Each case matches the approved boundary behavior; accepted open quantity is non-negative; above-tolerance or negative defects are rejected/qualified explicitly and never create false eligibility.</w:t>
      </w:r>
    </w:p>
    <w:p>
      <w:pPr>
        <w:spacing w:after="160"/>
      </w:pPr>
      <w:r>
        <w:rPr>
          <w:b/>
          <w:color w:val="1F4D78"/>
        </w:rPr>
        <w:t xml:space="preserve">Evidence required. </w:t>
      </w:r>
      <w:r>
        <w:t>Tolerance decision; fixture; hand calculations; validation and eligibility outputs; counts.</w:t>
      </w:r>
    </w:p>
    <w:p>
      <w:pPr>
        <w:pStyle w:val="Heading2"/>
        <w:keepNext/>
        <w:spacing w:before="160" w:after="80"/>
      </w:pPr>
      <w:r>
        <w:rPr>
          <w:color w:val="1F4D78"/>
          <w:sz w:val="24"/>
        </w:rPr>
        <w:t>TS-006 - Partial receipt retains only residual risk</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FR-005, RULE-003, RULE-014, Q04, DL-004</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a partial receipt reduces open quantity without falsely closing or duplicating the risk episode.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DL-004 frozen; PO quantity 100, approved partial receipt scenario, authoritative dates, and expected residual quantity.</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after policy freeze - automated rule and integration test.</w:t>
            </w:r>
          </w:p>
        </w:tc>
      </w:tr>
    </w:tbl>
    <w:p>
      <w:pPr>
        <w:keepNext/>
        <w:spacing w:before="100" w:after="40"/>
      </w:pPr>
      <w:r>
        <w:rPr>
          <w:b/>
          <w:color w:val="1F4D78"/>
        </w:rPr>
        <w:t>Test steps</w:t>
      </w:r>
    </w:p>
    <w:p>
      <w:pPr>
        <w:spacing w:after="40"/>
        <w:ind w:left="720" w:hanging="360"/>
      </w:pPr>
      <w:r>
        <w:rPr>
          <w:sz w:val="19"/>
        </w:rPr>
        <w:t>1.  Process the PO line before receipt and capture candidate/episode state.</w:t>
      </w:r>
    </w:p>
    <w:p>
      <w:pPr>
        <w:spacing w:after="40"/>
        <w:ind w:left="720" w:hanging="360"/>
      </w:pPr>
      <w:r>
        <w:rPr>
          <w:sz w:val="19"/>
        </w:rPr>
        <w:t>2.  Add a valid partial receipt under the next run.</w:t>
      </w:r>
    </w:p>
    <w:p>
      <w:pPr>
        <w:spacing w:after="40"/>
        <w:ind w:left="720" w:hanging="360"/>
      </w:pPr>
      <w:r>
        <w:rPr>
          <w:sz w:val="19"/>
        </w:rPr>
        <w:t>3.  Recalculate open quantity, overdue signal, stock exposure, score, and episode linkage.</w:t>
      </w:r>
    </w:p>
    <w:p>
      <w:pPr>
        <w:spacing w:after="40"/>
        <w:ind w:left="720" w:hanging="360"/>
      </w:pPr>
      <w:r>
        <w:rPr>
          <w:sz w:val="19"/>
        </w:rPr>
        <w:t>4.  Compare against the hand-calculated residual-risk oracle.</w:t>
      </w:r>
    </w:p>
    <w:p>
      <w:pPr>
        <w:spacing w:before="60" w:after="40"/>
      </w:pPr>
      <w:r>
        <w:rPr>
          <w:b/>
          <w:color w:val="1F4D78"/>
        </w:rPr>
        <w:t xml:space="preserve">Expected result. </w:t>
      </w:r>
      <w:r>
        <w:t>Only unreceived quantity is evaluated. The same continuous episode is updated, prior score remains, and no full-receipt resolution or duplicate active exception occurs.</w:t>
      </w:r>
    </w:p>
    <w:p>
      <w:pPr>
        <w:spacing w:after="160"/>
      </w:pPr>
      <w:r>
        <w:rPr>
          <w:b/>
          <w:color w:val="1F4D78"/>
        </w:rPr>
        <w:t xml:space="preserve">Evidence required. </w:t>
      </w:r>
      <w:r>
        <w:t>Partial-receipt policy; input snapshots; open-quantity calculation; score contributions; episode and audit history.</w:t>
      </w:r>
    </w:p>
    <w:p>
      <w:pPr>
        <w:pStyle w:val="Heading2"/>
        <w:keepNext/>
        <w:spacing w:before="160" w:after="80"/>
      </w:pPr>
      <w:r>
        <w:rPr>
          <w:color w:val="1F4D78"/>
          <w:sz w:val="24"/>
        </w:rPr>
        <w:t>TS-007 - Fully received line becomes ineligible and resolves only by approved route</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FR-005, LIF-007, RULE-001, RULE-014</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full receipt removes future eligibility while preserving objective resolution evidence and history.</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Approved objective full-receipt resolution rule; open monitored episode; valid receipt completes residual quantity.</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Medium/High - automated rule plus workflow integration.</w:t>
            </w:r>
          </w:p>
        </w:tc>
      </w:tr>
    </w:tbl>
    <w:p>
      <w:pPr>
        <w:keepNext/>
        <w:spacing w:before="100" w:after="40"/>
      </w:pPr>
      <w:r>
        <w:rPr>
          <w:b/>
          <w:color w:val="1F4D78"/>
        </w:rPr>
        <w:t>Test steps</w:t>
      </w:r>
    </w:p>
    <w:p>
      <w:pPr>
        <w:spacing w:after="40"/>
        <w:ind w:left="720" w:hanging="360"/>
      </w:pPr>
      <w:r>
        <w:rPr>
          <w:sz w:val="19"/>
        </w:rPr>
        <w:t>1.  Process the active episode before final receipt.</w:t>
      </w:r>
    </w:p>
    <w:p>
      <w:pPr>
        <w:spacing w:after="40"/>
        <w:ind w:left="720" w:hanging="360"/>
      </w:pPr>
      <w:r>
        <w:rPr>
          <w:sz w:val="19"/>
        </w:rPr>
        <w:t>2.  Post the valid final receipt in a new run.</w:t>
      </w:r>
    </w:p>
    <w:p>
      <w:pPr>
        <w:spacing w:after="40"/>
        <w:ind w:left="720" w:hanging="360"/>
      </w:pPr>
      <w:r>
        <w:rPr>
          <w:sz w:val="19"/>
        </w:rPr>
        <w:t>3.  Execute eligibility, scoring, and lifecycle processing.</w:t>
      </w:r>
    </w:p>
    <w:p>
      <w:pPr>
        <w:spacing w:after="40"/>
        <w:ind w:left="720" w:hanging="360"/>
      </w:pPr>
      <w:r>
        <w:rPr>
          <w:sz w:val="19"/>
        </w:rPr>
        <w:t>4.  Inspect resolution code, source-event link, status, and prior history.</w:t>
      </w:r>
    </w:p>
    <w:p>
      <w:pPr>
        <w:spacing w:before="60" w:after="40"/>
      </w:pPr>
      <w:r>
        <w:rPr>
          <w:b/>
          <w:color w:val="1F4D78"/>
        </w:rPr>
        <w:t xml:space="preserve">Expected result. </w:t>
      </w:r>
      <w:r>
        <w:t>The line is no longer eligible for a new active candidate/exception. The existing episode follows the approved objective route to Resolved, never directly to Closed, with receipt evidence and prior history retained.</w:t>
      </w:r>
    </w:p>
    <w:p>
      <w:pPr>
        <w:spacing w:after="160"/>
      </w:pPr>
      <w:r>
        <w:rPr>
          <w:b/>
          <w:color w:val="1F4D78"/>
        </w:rPr>
        <w:t xml:space="preserve">Evidence required. </w:t>
      </w:r>
      <w:r>
        <w:t>Receipt and eligibility outputs; lifecycle event; resolution code/source reference; audit export.</w:t>
      </w:r>
    </w:p>
    <w:p>
      <w:pPr>
        <w:pStyle w:val="Heading2"/>
        <w:keepNext/>
        <w:spacing w:before="160" w:after="80"/>
      </w:pPr>
      <w:r>
        <w:rPr>
          <w:color w:val="1F4D78"/>
          <w:sz w:val="24"/>
        </w:rPr>
        <w:t>TS-008 - Delayed purchase order triggers overdue signal at the boundary</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RULE-003, DQ-004, RULE-014, FR-006</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30 overdue points apply only when the authoritative accepted delivery date is past and quantity remains unreceived.</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Frozen date hierarchy; cases immediately before, exactly at, and after the overdue boundary; zero/partial/full receipt variants.</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after date policy freeze - automated boundary test.</w:t>
            </w:r>
          </w:p>
        </w:tc>
      </w:tr>
    </w:tbl>
    <w:p>
      <w:pPr>
        <w:keepNext/>
        <w:spacing w:before="100" w:after="40"/>
      </w:pPr>
      <w:r>
        <w:rPr>
          <w:b/>
          <w:color w:val="1F4D78"/>
        </w:rPr>
        <w:t>Test steps</w:t>
      </w:r>
    </w:p>
    <w:p>
      <w:pPr>
        <w:spacing w:after="40"/>
        <w:ind w:left="720" w:hanging="360"/>
      </w:pPr>
      <w:r>
        <w:rPr>
          <w:sz w:val="19"/>
        </w:rPr>
        <w:t>1.  Run each date and receipt combination using the same rule version.</w:t>
      </w:r>
    </w:p>
    <w:p>
      <w:pPr>
        <w:spacing w:after="40"/>
        <w:ind w:left="720" w:hanging="360"/>
      </w:pPr>
      <w:r>
        <w:rPr>
          <w:sz w:val="19"/>
        </w:rPr>
        <w:t>2.  Inspect R01 trigger, observed date, threshold, and points.</w:t>
      </w:r>
    </w:p>
    <w:p>
      <w:pPr>
        <w:spacing w:after="40"/>
        <w:ind w:left="720" w:hanging="360"/>
      </w:pPr>
      <w:r>
        <w:rPr>
          <w:sz w:val="19"/>
        </w:rPr>
        <w:t>3.  Recalculate total score by hand.</w:t>
      </w:r>
    </w:p>
    <w:p>
      <w:pPr>
        <w:spacing w:after="40"/>
        <w:ind w:left="720" w:hanging="360"/>
      </w:pPr>
      <w:r>
        <w:rPr>
          <w:sz w:val="19"/>
        </w:rPr>
        <w:t>4.  Repeat once to verify determinism.</w:t>
      </w:r>
    </w:p>
    <w:p>
      <w:pPr>
        <w:spacing w:before="60" w:after="40"/>
      </w:pPr>
      <w:r>
        <w:rPr>
          <w:b/>
          <w:color w:val="1F4D78"/>
        </w:rPr>
        <w:t xml:space="preserve">Expected result. </w:t>
      </w:r>
      <w:r>
        <w:t>R01 applies exactly according to the frozen boundary and only to residual unreceived quantity. Stored observed value, threshold, reason, and 30-point contribution reproduce the total.</w:t>
      </w:r>
    </w:p>
    <w:p>
      <w:pPr>
        <w:spacing w:after="160"/>
      </w:pPr>
      <w:r>
        <w:rPr>
          <w:b/>
          <w:color w:val="1F4D78"/>
        </w:rPr>
        <w:t xml:space="preserve">Evidence required. </w:t>
      </w:r>
      <w:r>
        <w:t>Date hierarchy; fixture/oracle; contribution records; hand calculation; repeatability comparison.</w:t>
      </w:r>
    </w:p>
    <w:p>
      <w:pPr>
        <w:pStyle w:val="Heading2"/>
        <w:keepNext/>
        <w:spacing w:before="160" w:after="80"/>
      </w:pPr>
      <w:r>
        <w:rPr>
          <w:color w:val="1F4D78"/>
          <w:sz w:val="24"/>
        </w:rPr>
        <w:t>TS-009 - Stockout risk before expected receipt</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RULE-004, DQ-007, DQ-008, FR-006, US-003</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projected available balance below the approved threshold before receipt creates the correct stockout contribution.</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Frozen projected-balance definition, demand horizon, safety-stock treatment, UOM conversions, and hand-calculated item-site fixture.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after DL-005 freeze - automated calculation test.</w:t>
            </w:r>
          </w:p>
        </w:tc>
      </w:tr>
    </w:tbl>
    <w:p>
      <w:pPr>
        <w:keepNext/>
        <w:spacing w:before="100" w:after="40"/>
      </w:pPr>
      <w:r>
        <w:rPr>
          <w:b/>
          <w:color w:val="1F4D78"/>
        </w:rPr>
        <w:t>Test steps</w:t>
      </w:r>
    </w:p>
    <w:p>
      <w:pPr>
        <w:spacing w:after="40"/>
        <w:ind w:left="720" w:hanging="360"/>
      </w:pPr>
      <w:r>
        <w:rPr>
          <w:sz w:val="19"/>
        </w:rPr>
        <w:t>1.  Load inventory, demand, allocation/substitution, and expected-receipt facts.</w:t>
      </w:r>
    </w:p>
    <w:p>
      <w:pPr>
        <w:spacing w:after="40"/>
        <w:ind w:left="720" w:hanging="360"/>
      </w:pPr>
      <w:r>
        <w:rPr>
          <w:sz w:val="19"/>
        </w:rPr>
        <w:t>2.  Calculate the projected balance independently by period.</w:t>
      </w:r>
    </w:p>
    <w:p>
      <w:pPr>
        <w:spacing w:after="40"/>
        <w:ind w:left="720" w:hanging="360"/>
      </w:pPr>
      <w:r>
        <w:rPr>
          <w:sz w:val="19"/>
        </w:rPr>
        <w:t>3.  Run scoring and inspect R02 contribution.</w:t>
      </w:r>
    </w:p>
    <w:p>
      <w:pPr>
        <w:spacing w:after="40"/>
        <w:ind w:left="720" w:hanging="360"/>
      </w:pPr>
      <w:r>
        <w:rPr>
          <w:sz w:val="19"/>
        </w:rPr>
        <w:t>4.  Compare the system exposure timeline and total score with the oracle.</w:t>
      </w:r>
    </w:p>
    <w:p>
      <w:pPr>
        <w:spacing w:before="60" w:after="40"/>
      </w:pPr>
      <w:r>
        <w:rPr>
          <w:b/>
          <w:color w:val="1F4D78"/>
        </w:rPr>
        <w:t xml:space="preserve">Expected result. </w:t>
      </w:r>
      <w:r>
        <w:t>The first threshold breach before receipt is identified exactly and contributes 25 points. All quantities share the approved base UOM and the detail view exposes the assumptions used.</w:t>
      </w:r>
    </w:p>
    <w:p>
      <w:pPr>
        <w:spacing w:after="160"/>
      </w:pPr>
      <w:r>
        <w:rPr>
          <w:b/>
          <w:color w:val="1F4D78"/>
        </w:rPr>
        <w:t xml:space="preserve">Evidence required. </w:t>
      </w:r>
      <w:r>
        <w:t>Projected-balance policy; input facts; hand calculation; system timeline; contribution and score output.</w:t>
      </w:r>
    </w:p>
    <w:p>
      <w:pPr>
        <w:pStyle w:val="Heading2"/>
        <w:keepNext/>
        <w:spacing w:before="160" w:after="80"/>
      </w:pPr>
      <w:r>
        <w:rPr>
          <w:color w:val="1F4D78"/>
          <w:sz w:val="24"/>
        </w:rPr>
        <w:t>TS-010 - Stockout threshold boundary and missing-demand behavior</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RULE-004, DQ-007, Q05, DL-005</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exact-threshold behavior and prevent unavailable demand from being treated as zero exposure.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Frozen comparison operator and missing-demand policy; cases above, at, below threshold, and missing demand.</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after policy freeze - automated boundary test.</w:t>
            </w:r>
          </w:p>
        </w:tc>
      </w:tr>
    </w:tbl>
    <w:p>
      <w:pPr>
        <w:keepNext/>
        <w:spacing w:before="100" w:after="40"/>
      </w:pPr>
      <w:r>
        <w:rPr>
          <w:b/>
          <w:color w:val="1F4D78"/>
        </w:rPr>
        <w:t>Test steps</w:t>
      </w:r>
    </w:p>
    <w:p>
      <w:pPr>
        <w:spacing w:after="40"/>
        <w:ind w:left="720" w:hanging="360"/>
      </w:pPr>
      <w:r>
        <w:rPr>
          <w:sz w:val="19"/>
        </w:rPr>
        <w:t>1.  Run above/at/below projected-balance fixtures.</w:t>
      </w:r>
    </w:p>
    <w:p>
      <w:pPr>
        <w:spacing w:after="40"/>
        <w:ind w:left="720" w:hanging="360"/>
      </w:pPr>
      <w:r>
        <w:rPr>
          <w:sz w:val="19"/>
        </w:rPr>
        <w:t>2.  Run the same case with demand missing.</w:t>
      </w:r>
    </w:p>
    <w:p>
      <w:pPr>
        <w:spacing w:after="40"/>
        <w:ind w:left="720" w:hanging="360"/>
      </w:pPr>
      <w:r>
        <w:rPr>
          <w:sz w:val="19"/>
        </w:rPr>
        <w:t>3.  Inspect trigger, availability flag, contribution, and explanation.</w:t>
      </w:r>
    </w:p>
    <w:p>
      <w:pPr>
        <w:spacing w:after="40"/>
        <w:ind w:left="720" w:hanging="360"/>
      </w:pPr>
      <w:r>
        <w:rPr>
          <w:sz w:val="19"/>
        </w:rPr>
        <w:t>4.  Verify the missing case does not receive an implicit safe contribution.</w:t>
      </w:r>
    </w:p>
    <w:p>
      <w:pPr>
        <w:spacing w:before="60" w:after="40"/>
      </w:pPr>
      <w:r>
        <w:rPr>
          <w:b/>
          <w:color w:val="1F4D78"/>
        </w:rPr>
        <w:t xml:space="preserve">Expected result. </w:t>
      </w:r>
      <w:r>
        <w:t>Boundary cases match the approved operator exactly. Missing demand is shown as unavailable/qualified, never silently converted to zero demand or zero risk.</w:t>
      </w:r>
    </w:p>
    <w:p>
      <w:pPr>
        <w:spacing w:after="160"/>
      </w:pPr>
      <w:r>
        <w:rPr>
          <w:b/>
          <w:color w:val="1F4D78"/>
        </w:rPr>
        <w:t xml:space="preserve">Evidence required. </w:t>
      </w:r>
      <w:r>
        <w:t>Policy decision; fixture/oracle; trigger outputs; availability/explanation records.</w:t>
      </w:r>
    </w:p>
    <w:p>
      <w:pPr>
        <w:pStyle w:val="Heading2"/>
        <w:keepNext/>
        <w:spacing w:before="160" w:after="80"/>
      </w:pPr>
      <w:r>
        <w:rPr>
          <w:color w:val="1F4D78"/>
          <w:sz w:val="24"/>
        </w:rPr>
        <w:t>TS-011 - Missing supplier history is unavailable, not safe</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DQ-007, DQ-009, RULE-006</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insufficient OTIF history does not create a misleading reliability score.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Frozen OTIF window and minimum-observation threshold; suppliers immediately below, at, and above the minimum.</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High</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after OTIF policy freeze - automated boundary test.</w:t>
            </w:r>
          </w:p>
        </w:tc>
      </w:tr>
    </w:tbl>
    <w:p>
      <w:pPr>
        <w:keepNext/>
        <w:spacing w:before="100" w:after="40"/>
      </w:pPr>
      <w:r>
        <w:rPr>
          <w:b/>
          <w:color w:val="1F4D78"/>
        </w:rPr>
        <w:t>Test steps</w:t>
      </w:r>
    </w:p>
    <w:p>
      <w:pPr>
        <w:spacing w:after="40"/>
        <w:ind w:left="720" w:hanging="360"/>
      </w:pPr>
      <w:r>
        <w:rPr>
          <w:sz w:val="19"/>
        </w:rPr>
        <w:t>1.  Calculate the observation count and OTIF oracle for each supplier.</w:t>
      </w:r>
    </w:p>
    <w:p>
      <w:pPr>
        <w:spacing w:after="40"/>
        <w:ind w:left="720" w:hanging="360"/>
      </w:pPr>
      <w:r>
        <w:rPr>
          <w:sz w:val="19"/>
        </w:rPr>
        <w:t>2.  Run scoring.</w:t>
      </w:r>
    </w:p>
    <w:p>
      <w:pPr>
        <w:spacing w:after="40"/>
        <w:ind w:left="720" w:hanging="360"/>
      </w:pPr>
      <w:r>
        <w:rPr>
          <w:sz w:val="19"/>
        </w:rPr>
        <w:t>3.  Inspect R04 availability, threshold, value, and points.</w:t>
      </w:r>
    </w:p>
    <w:p>
      <w:pPr>
        <w:spacing w:after="40"/>
        <w:ind w:left="720" w:hanging="360"/>
      </w:pPr>
      <w:r>
        <w:rPr>
          <w:sz w:val="19"/>
        </w:rPr>
        <w:t>4.  Confirm UI/report labels distinguish unavailable history.</w:t>
      </w:r>
    </w:p>
    <w:p>
      <w:pPr>
        <w:spacing w:before="60" w:after="40"/>
      </w:pPr>
      <w:r>
        <w:rPr>
          <w:b/>
          <w:color w:val="1F4D78"/>
        </w:rPr>
        <w:t xml:space="preserve">Expected result. </w:t>
      </w:r>
      <w:r>
        <w:t>Below-minimum cases are unavailable and not treated as reliable; at/above-minimum cases use the exact approved window and threshold. Explanations remain visible.</w:t>
      </w:r>
    </w:p>
    <w:p>
      <w:pPr>
        <w:spacing w:after="160"/>
      </w:pPr>
      <w:r>
        <w:rPr>
          <w:b/>
          <w:color w:val="1F4D78"/>
        </w:rPr>
        <w:t xml:space="preserve">Evidence required. </w:t>
      </w:r>
      <w:r>
        <w:t>OTIF policy; source history; calculations; contribution records; label screenshot or export.</w:t>
      </w:r>
    </w:p>
    <w:p>
      <w:pPr>
        <w:pStyle w:val="Heading2"/>
        <w:keepNext/>
        <w:spacing w:before="160" w:after="80"/>
      </w:pPr>
      <w:r>
        <w:rPr>
          <w:color w:val="1F4D78"/>
          <w:sz w:val="24"/>
        </w:rPr>
        <w:t>TS-012 - Severity band boundaries</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FR-009, RULE-010</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deterministic mapping at every BRS severity boundary.</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Approved rule version; scores 0, 29, 30, 49, 50, 69, 70, and 100.</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 automated unit/boundary test.</w:t>
            </w:r>
          </w:p>
        </w:tc>
      </w:tr>
    </w:tbl>
    <w:p>
      <w:pPr>
        <w:keepNext/>
        <w:spacing w:before="100" w:after="40"/>
      </w:pPr>
      <w:r>
        <w:rPr>
          <w:b/>
          <w:color w:val="1F4D78"/>
        </w:rPr>
        <w:t>Test steps</w:t>
      </w:r>
    </w:p>
    <w:p>
      <w:pPr>
        <w:spacing w:after="40"/>
        <w:ind w:left="720" w:hanging="360"/>
      </w:pPr>
      <w:r>
        <w:rPr>
          <w:sz w:val="19"/>
        </w:rPr>
        <w:t>1.  Submit each exact score to severity derivation.</w:t>
      </w:r>
    </w:p>
    <w:p>
      <w:pPr>
        <w:spacing w:after="40"/>
        <w:ind w:left="720" w:hanging="360"/>
      </w:pPr>
      <w:r>
        <w:rPr>
          <w:sz w:val="19"/>
        </w:rPr>
        <w:t>2.  Capture the returned and persisted band.</w:t>
      </w:r>
    </w:p>
    <w:p>
      <w:pPr>
        <w:spacing w:after="40"/>
        <w:ind w:left="720" w:hanging="360"/>
      </w:pPr>
      <w:r>
        <w:rPr>
          <w:sz w:val="19"/>
        </w:rPr>
        <w:t>3.  Verify queue and reporting labels use the same band.</w:t>
      </w:r>
    </w:p>
    <w:p>
      <w:pPr>
        <w:spacing w:after="40"/>
        <w:ind w:left="720" w:hanging="360"/>
      </w:pPr>
      <w:r>
        <w:rPr>
          <w:sz w:val="19"/>
        </w:rPr>
        <w:t>4.  Repeat after a rule-version change while preserving historical bands.</w:t>
      </w:r>
    </w:p>
    <w:p>
      <w:pPr>
        <w:spacing w:before="60" w:after="40"/>
      </w:pPr>
      <w:r>
        <w:rPr>
          <w:b/>
          <w:color w:val="1F4D78"/>
        </w:rPr>
        <w:t xml:space="preserve">Expected result. </w:t>
      </w:r>
      <w:r>
        <w:t>0-29 Monitor, 30-49 Medium, 50-69 High, and 70-100 Critical. Current and historical labels match their own rule versions.</w:t>
      </w:r>
    </w:p>
    <w:p>
      <w:pPr>
        <w:spacing w:after="160"/>
      </w:pPr>
      <w:r>
        <w:rPr>
          <w:b/>
          <w:color w:val="1F4D78"/>
        </w:rPr>
        <w:t xml:space="preserve">Evidence required. </w:t>
      </w:r>
      <w:r>
        <w:t>Boundary result table; persisted values; queue/report reconciliation; version history.</w:t>
      </w:r>
    </w:p>
    <w:p>
      <w:pPr>
        <w:pStyle w:val="Heading2"/>
        <w:keepNext/>
        <w:spacing w:before="160" w:after="80"/>
      </w:pPr>
      <w:r>
        <w:rPr>
          <w:color w:val="1F4D78"/>
          <w:sz w:val="24"/>
        </w:rPr>
        <w:t>TS-013 - Repeated evaluations create one active exception</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FR-011, FR-012, LIF-002, RULE-013</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daily or concurrent evaluations do not fragment one continuous risk episode.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Frozen episode/deduplication key and cooldown policy; one qualifying line processed in multiple runs; concurrency scope defined.</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after DL-002/DL-008/DL-012 freeze - automated integration/concurrency test.</w:t>
            </w:r>
          </w:p>
        </w:tc>
      </w:tr>
    </w:tbl>
    <w:p>
      <w:pPr>
        <w:keepNext/>
        <w:spacing w:before="100" w:after="40"/>
      </w:pPr>
      <w:r>
        <w:rPr>
          <w:b/>
          <w:color w:val="1F4D78"/>
        </w:rPr>
        <w:t>Test steps</w:t>
      </w:r>
    </w:p>
    <w:p>
      <w:pPr>
        <w:spacing w:after="40"/>
        <w:ind w:left="720" w:hanging="360"/>
      </w:pPr>
      <w:r>
        <w:rPr>
          <w:sz w:val="19"/>
        </w:rPr>
        <w:t>1.  Process the qualifying line and capture the exception ID.</w:t>
      </w:r>
    </w:p>
    <w:p>
      <w:pPr>
        <w:spacing w:after="40"/>
        <w:ind w:left="720" w:hanging="360"/>
      </w:pPr>
      <w:r>
        <w:rPr>
          <w:sz w:val="19"/>
        </w:rPr>
        <w:t>2.  Process identical and updated qualifying evaluations in subsequent runs; include simultaneous attempts if concurrency is in scope.</w:t>
      </w:r>
    </w:p>
    <w:p>
      <w:pPr>
        <w:spacing w:after="40"/>
        <w:ind w:left="720" w:hanging="360"/>
      </w:pPr>
      <w:r>
        <w:rPr>
          <w:sz w:val="19"/>
        </w:rPr>
        <w:t>3.  Count active exceptions and linked candidate/score records.</w:t>
      </w:r>
    </w:p>
    <w:p>
      <w:pPr>
        <w:spacing w:after="40"/>
        <w:ind w:left="720" w:hanging="360"/>
      </w:pPr>
      <w:r>
        <w:rPr>
          <w:sz w:val="19"/>
        </w:rPr>
        <w:t>4.  Inspect event history and duplicate dispositions.</w:t>
      </w:r>
    </w:p>
    <w:p>
      <w:pPr>
        <w:spacing w:before="60" w:after="40"/>
      </w:pPr>
      <w:r>
        <w:rPr>
          <w:b/>
          <w:color w:val="1F4D78"/>
        </w:rPr>
        <w:t xml:space="preserve">Expected result. </w:t>
      </w:r>
      <w:r>
        <w:t>Exactly one active exception exists for the episode key. Each eligible run retains its candidate and score, all link to the stable episode, and duplicate count is zero.</w:t>
      </w:r>
    </w:p>
    <w:p>
      <w:pPr>
        <w:spacing w:after="160"/>
      </w:pPr>
      <w:r>
        <w:rPr>
          <w:b/>
          <w:color w:val="1F4D78"/>
        </w:rPr>
        <w:t xml:space="preserve">Evidence required. </w:t>
      </w:r>
      <w:r>
        <w:t>Episode-key decision; run outputs; database/control totals; exception/candidate links; concurrency or rerun logs.</w:t>
      </w:r>
    </w:p>
    <w:p>
      <w:pPr>
        <w:pStyle w:val="Heading2"/>
        <w:keepNext/>
        <w:spacing w:before="160" w:after="80"/>
      </w:pPr>
      <w:r>
        <w:rPr>
          <w:color w:val="1F4D78"/>
          <w:sz w:val="24"/>
        </w:rPr>
        <w:t>TS-014 - Rerunning the same pipeline is repeatable without reusing run identity</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FR-002, NFR-003, FR-010, DQ-011</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identical approved inputs yield identical business outputs while every attempt remains uniquely traceable.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Frozen input snapshot, seed, configuration, rule version, and canonical comparison fields.</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 automated pipeline repeatability test.</w:t>
            </w:r>
          </w:p>
        </w:tc>
      </w:tr>
    </w:tbl>
    <w:p>
      <w:pPr>
        <w:keepNext/>
        <w:spacing w:before="100" w:after="40"/>
      </w:pPr>
      <w:r>
        <w:rPr>
          <w:b/>
          <w:color w:val="1F4D78"/>
        </w:rPr>
        <w:t>Test steps</w:t>
      </w:r>
    </w:p>
    <w:p>
      <w:pPr>
        <w:spacing w:after="40"/>
        <w:ind w:left="720" w:hanging="360"/>
      </w:pPr>
      <w:r>
        <w:rPr>
          <w:sz w:val="19"/>
        </w:rPr>
        <w:t>1.  Execute three clean runs from the same frozen baseline.</w:t>
      </w:r>
    </w:p>
    <w:p>
      <w:pPr>
        <w:spacing w:after="40"/>
        <w:ind w:left="720" w:hanging="360"/>
      </w:pPr>
      <w:r>
        <w:rPr>
          <w:sz w:val="19"/>
        </w:rPr>
        <w:t>2.  Verify each attempt has a unique immutable run ID and timestamps.</w:t>
      </w:r>
    </w:p>
    <w:p>
      <w:pPr>
        <w:spacing w:after="40"/>
        <w:ind w:left="720" w:hanging="360"/>
      </w:pPr>
      <w:r>
        <w:rPr>
          <w:sz w:val="19"/>
        </w:rPr>
        <w:t>3.  Compare canonical business outputs excluding legitimate run metadata.</w:t>
      </w:r>
    </w:p>
    <w:p>
      <w:pPr>
        <w:spacing w:after="40"/>
        <w:ind w:left="720" w:hanging="360"/>
      </w:pPr>
      <w:r>
        <w:rPr>
          <w:sz w:val="19"/>
        </w:rPr>
        <w:t>4.  Compare control totals and output hashes under the documented normalization.</w:t>
      </w:r>
    </w:p>
    <w:p>
      <w:pPr>
        <w:spacing w:before="60" w:after="40"/>
      </w:pPr>
      <w:r>
        <w:rPr>
          <w:b/>
          <w:color w:val="1F4D78"/>
        </w:rPr>
        <w:t xml:space="preserve">Expected result. </w:t>
      </w:r>
      <w:r>
        <w:t>Three unique run IDs exist. Eligible/scored dispositions, scores, contributions, and business-level control totals are identical. Rerun does not create duplicate active exceptions.</w:t>
      </w:r>
    </w:p>
    <w:p>
      <w:pPr>
        <w:spacing w:after="160"/>
      </w:pPr>
      <w:r>
        <w:rPr>
          <w:b/>
          <w:color w:val="1F4D78"/>
        </w:rPr>
        <w:t xml:space="preserve">Evidence required. </w:t>
      </w:r>
      <w:r>
        <w:t>Run headers; normalization rule; hashes/control totals; exception counts; comparison report.</w:t>
      </w:r>
    </w:p>
    <w:p>
      <w:pPr>
        <w:pStyle w:val="Heading2"/>
        <w:keepNext/>
        <w:spacing w:before="160" w:after="80"/>
      </w:pPr>
      <w:r>
        <w:rPr>
          <w:color w:val="1F4D78"/>
          <w:sz w:val="24"/>
        </w:rPr>
        <w:t>TS-015 - Critical validation failure preserves last successful dataset</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FR-003, FR-025, NFR-004, US-005</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invalid critical data cannot be published as current.</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Known current successful run; next input contains one critical validation defect.</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 automated pipeline failure-injection test.</w:t>
            </w:r>
          </w:p>
        </w:tc>
      </w:tr>
    </w:tbl>
    <w:p>
      <w:pPr>
        <w:keepNext/>
        <w:spacing w:before="100" w:after="40"/>
      </w:pPr>
      <w:r>
        <w:rPr>
          <w:b/>
          <w:color w:val="1F4D78"/>
        </w:rPr>
        <w:t>Test steps</w:t>
      </w:r>
    </w:p>
    <w:p>
      <w:pPr>
        <w:spacing w:after="40"/>
        <w:ind w:left="720" w:hanging="360"/>
      </w:pPr>
      <w:r>
        <w:rPr>
          <w:sz w:val="19"/>
        </w:rPr>
        <w:t>1.  Record the current run ID and published control totals.</w:t>
      </w:r>
    </w:p>
    <w:p>
      <w:pPr>
        <w:spacing w:after="40"/>
        <w:ind w:left="720" w:hanging="360"/>
      </w:pPr>
      <w:r>
        <w:rPr>
          <w:sz w:val="19"/>
        </w:rPr>
        <w:t>2.  Execute the defective run.</w:t>
      </w:r>
    </w:p>
    <w:p>
      <w:pPr>
        <w:spacing w:after="40"/>
        <w:ind w:left="720" w:hanging="360"/>
      </w:pPr>
      <w:r>
        <w:rPr>
          <w:sz w:val="19"/>
        </w:rPr>
        <w:t>3.  Inspect failure status, validation evidence, and downstream-stage activity.</w:t>
      </w:r>
    </w:p>
    <w:p>
      <w:pPr>
        <w:spacing w:after="40"/>
        <w:ind w:left="720" w:hanging="360"/>
      </w:pPr>
      <w:r>
        <w:rPr>
          <w:sz w:val="19"/>
        </w:rPr>
        <w:t>4.  Re-read the current published dataset and compare with the prior snapshot.</w:t>
      </w:r>
    </w:p>
    <w:p>
      <w:pPr>
        <w:spacing w:before="60" w:after="40"/>
      </w:pPr>
      <w:r>
        <w:rPr>
          <w:b/>
          <w:color w:val="1F4D78"/>
        </w:rPr>
        <w:t xml:space="preserve">Expected result. </w:t>
      </w:r>
      <w:r>
        <w:t>The attempt is Failed and remains visible; scoring/publication is blocked; the current run ID and published data remain exactly the prior successful version.</w:t>
      </w:r>
    </w:p>
    <w:p>
      <w:pPr>
        <w:spacing w:after="160"/>
      </w:pPr>
      <w:r>
        <w:rPr>
          <w:b/>
          <w:color w:val="1F4D78"/>
        </w:rPr>
        <w:t xml:space="preserve">Evidence required. </w:t>
      </w:r>
      <w:r>
        <w:t>Before/after current pointer; failure log; stage status; data hashes/control totals.</w:t>
      </w:r>
    </w:p>
    <w:p>
      <w:pPr>
        <w:pStyle w:val="Heading2"/>
        <w:keepNext/>
        <w:spacing w:before="160" w:after="80"/>
      </w:pPr>
      <w:r>
        <w:rPr>
          <w:color w:val="1F4D78"/>
          <w:sz w:val="24"/>
        </w:rPr>
        <w:t>TS-016 - Mid-pipeline failure cannot expose partial outputs</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NFR-004, FR-025</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atomic publication when transformation, scoring, exception update, or export fails.</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Known last-success dataset; controlled failure can be injected at each publish-relevant stage.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 automated stage-by-stage failure injection.</w:t>
            </w:r>
          </w:p>
        </w:tc>
      </w:tr>
    </w:tbl>
    <w:p>
      <w:pPr>
        <w:keepNext/>
        <w:spacing w:before="100" w:after="40"/>
      </w:pPr>
      <w:r>
        <w:rPr>
          <w:b/>
          <w:color w:val="1F4D78"/>
        </w:rPr>
        <w:t>Test steps</w:t>
      </w:r>
    </w:p>
    <w:p>
      <w:pPr>
        <w:spacing w:after="40"/>
        <w:ind w:left="720" w:hanging="360"/>
      </w:pPr>
      <w:r>
        <w:rPr>
          <w:sz w:val="19"/>
        </w:rPr>
        <w:t>1.  Record the last-success snapshot.</w:t>
      </w:r>
    </w:p>
    <w:p>
      <w:pPr>
        <w:spacing w:after="40"/>
        <w:ind w:left="720" w:hanging="360"/>
      </w:pPr>
      <w:r>
        <w:rPr>
          <w:sz w:val="19"/>
        </w:rPr>
        <w:t>2.  For each controlled stage, start a run and inject a failure before completion.</w:t>
      </w:r>
    </w:p>
    <w:p>
      <w:pPr>
        <w:spacing w:after="40"/>
        <w:ind w:left="720" w:hanging="360"/>
      </w:pPr>
      <w:r>
        <w:rPr>
          <w:sz w:val="19"/>
        </w:rPr>
        <w:t>3.  Inspect operational current data and reporting extract after each failure.</w:t>
      </w:r>
    </w:p>
    <w:p>
      <w:pPr>
        <w:spacing w:after="40"/>
        <w:ind w:left="720" w:hanging="360"/>
      </w:pPr>
      <w:r>
        <w:rPr>
          <w:sz w:val="19"/>
        </w:rPr>
        <w:t>4.  Complete a later valid run to confirm recovery.</w:t>
      </w:r>
    </w:p>
    <w:p>
      <w:pPr>
        <w:spacing w:before="60" w:after="40"/>
      </w:pPr>
      <w:r>
        <w:rPr>
          <w:b/>
          <w:color w:val="1F4D78"/>
        </w:rPr>
        <w:t xml:space="preserve">Expected result. </w:t>
      </w:r>
      <w:r>
        <w:t>No user or report sees a mixed or partial current run. Each failed attempt is visible, last-success remains unchanged, and a subsequent valid run can publish atomically.</w:t>
      </w:r>
    </w:p>
    <w:p>
      <w:pPr>
        <w:spacing w:after="160"/>
      </w:pPr>
      <w:r>
        <w:rPr>
          <w:b/>
          <w:color w:val="1F4D78"/>
        </w:rPr>
        <w:t xml:space="preserve">Evidence required. </w:t>
      </w:r>
      <w:r>
        <w:t>Failure matrix; run/stage logs; snapshots and hashes; recovery-run evidence.</w:t>
      </w:r>
    </w:p>
    <w:p>
      <w:pPr>
        <w:pStyle w:val="Heading2"/>
        <w:keepNext/>
        <w:spacing w:before="160" w:after="80"/>
      </w:pPr>
      <w:r>
        <w:rPr>
          <w:color w:val="1F4D78"/>
          <w:sz w:val="24"/>
        </w:rPr>
        <w:t>TS-017 - Failed run is visible while latest success remains usable</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REP-007, US-007, FR-025</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management reporting exposes both the last trusted dataset and later pipeline failure.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One successful published run followed by one failed run; report refreshed against controlled publication metadata.</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Medium - automated reconciliation plus manual Power BI evidence.</w:t>
            </w:r>
          </w:p>
        </w:tc>
      </w:tr>
    </w:tbl>
    <w:p>
      <w:pPr>
        <w:keepNext/>
        <w:spacing w:before="100" w:after="40"/>
      </w:pPr>
      <w:r>
        <w:rPr>
          <w:b/>
          <w:color w:val="1F4D78"/>
        </w:rPr>
        <w:t>Test steps</w:t>
      </w:r>
    </w:p>
    <w:p>
      <w:pPr>
        <w:spacing w:after="40"/>
        <w:ind w:left="720" w:hanging="360"/>
      </w:pPr>
      <w:r>
        <w:rPr>
          <w:sz w:val="19"/>
        </w:rPr>
        <w:t>1.  Publish the successful run and record its timestamp/counts.</w:t>
      </w:r>
    </w:p>
    <w:p>
      <w:pPr>
        <w:spacing w:after="40"/>
        <w:ind w:left="720" w:hanging="360"/>
      </w:pPr>
      <w:r>
        <w:rPr>
          <w:sz w:val="19"/>
        </w:rPr>
        <w:t>2.  Execute and retain the failed run.</w:t>
      </w:r>
    </w:p>
    <w:p>
      <w:pPr>
        <w:spacing w:after="40"/>
        <w:ind w:left="720" w:hanging="360"/>
      </w:pPr>
      <w:r>
        <w:rPr>
          <w:sz w:val="19"/>
        </w:rPr>
        <w:t>3.  Open/refesh the management report.</w:t>
      </w:r>
    </w:p>
    <w:p>
      <w:pPr>
        <w:spacing w:after="40"/>
        <w:ind w:left="720" w:hanging="360"/>
      </w:pPr>
      <w:r>
        <w:rPr>
          <w:sz w:val="19"/>
        </w:rPr>
        <w:t>4.  Inspect latest-success ID/age, failed-run indicator, and displayed totals.</w:t>
      </w:r>
    </w:p>
    <w:p>
      <w:pPr>
        <w:spacing w:before="60" w:after="40"/>
      </w:pPr>
      <w:r>
        <w:rPr>
          <w:b/>
          <w:color w:val="1F4D78"/>
        </w:rPr>
        <w:t xml:space="preserve">Expected result. </w:t>
      </w:r>
      <w:r>
        <w:t>Report values remain tied to the successful run, show its age, and visibly disclose the later failed attempt. The failed run is never labelled current.</w:t>
      </w:r>
    </w:p>
    <w:p>
      <w:pPr>
        <w:spacing w:after="160"/>
      </w:pPr>
      <w:r>
        <w:rPr>
          <w:b/>
          <w:color w:val="1F4D78"/>
        </w:rPr>
        <w:t xml:space="preserve">Evidence required. </w:t>
      </w:r>
      <w:r>
        <w:t>Run register; report screenshots/export; reconciliation to latest success; refresh timestamp.</w:t>
      </w:r>
    </w:p>
    <w:p>
      <w:pPr>
        <w:pStyle w:val="Heading2"/>
        <w:keepNext/>
        <w:spacing w:before="160" w:after="80"/>
      </w:pPr>
      <w:r>
        <w:rPr>
          <w:color w:val="1F4D78"/>
          <w:sz w:val="24"/>
        </w:rPr>
        <w:t>TS-018 - Valid ownership mapping assigns the expected owner</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FR-017, LIF-003, SLA-001</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buyer-group mapping with site/supplier precedence assigns the correct accountable owner.</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Frozen mapping precedence; cases covering default, site exception, supplier exception, and tie resolution.</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after DL-011 freeze - automated workflow test.</w:t>
            </w:r>
          </w:p>
        </w:tc>
      </w:tr>
    </w:tbl>
    <w:p>
      <w:pPr>
        <w:keepNext/>
        <w:spacing w:before="100" w:after="40"/>
      </w:pPr>
      <w:r>
        <w:rPr>
          <w:b/>
          <w:color w:val="1F4D78"/>
        </w:rPr>
        <w:t>Test steps</w:t>
      </w:r>
    </w:p>
    <w:p>
      <w:pPr>
        <w:spacing w:after="40"/>
        <w:ind w:left="720" w:hanging="360"/>
      </w:pPr>
      <w:r>
        <w:rPr>
          <w:sz w:val="19"/>
        </w:rPr>
        <w:t>1.  Open qualifying exceptions for each mapping case.</w:t>
      </w:r>
    </w:p>
    <w:p>
      <w:pPr>
        <w:spacing w:after="40"/>
        <w:ind w:left="720" w:hanging="360"/>
      </w:pPr>
      <w:r>
        <w:rPr>
          <w:sz w:val="19"/>
        </w:rPr>
        <w:t>2.  Apply automatic assignment.</w:t>
      </w:r>
    </w:p>
    <w:p>
      <w:pPr>
        <w:spacing w:after="40"/>
        <w:ind w:left="720" w:hanging="360"/>
      </w:pPr>
      <w:r>
        <w:rPr>
          <w:sz w:val="19"/>
        </w:rPr>
        <w:t>3.  Compare owner and assignment time with the oracle.</w:t>
      </w:r>
    </w:p>
    <w:p>
      <w:pPr>
        <w:spacing w:after="40"/>
        <w:ind w:left="720" w:hanging="360"/>
      </w:pPr>
      <w:r>
        <w:rPr>
          <w:sz w:val="19"/>
        </w:rPr>
        <w:t>4.  Inspect assignment events and queue visibility.</w:t>
      </w:r>
    </w:p>
    <w:p>
      <w:pPr>
        <w:spacing w:before="60" w:after="40"/>
      </w:pPr>
      <w:r>
        <w:rPr>
          <w:b/>
          <w:color w:val="1F4D78"/>
        </w:rPr>
        <w:t xml:space="preserve">Expected result. </w:t>
      </w:r>
      <w:r>
        <w:t>Every mapped case receives the exact expected owner; assignment is attributed and timed; no lower-precedence rule overrides the approved mapping.</w:t>
      </w:r>
    </w:p>
    <w:p>
      <w:pPr>
        <w:spacing w:after="160"/>
      </w:pPr>
      <w:r>
        <w:rPr>
          <w:b/>
          <w:color w:val="1F4D78"/>
        </w:rPr>
        <w:t xml:space="preserve">Evidence required. </w:t>
      </w:r>
      <w:r>
        <w:t>Mapping version; fixture/oracle; owner fields; assignment event ledger; queue extract.</w:t>
      </w:r>
    </w:p>
    <w:p>
      <w:pPr>
        <w:pStyle w:val="Heading2"/>
        <w:keepNext/>
        <w:spacing w:before="160" w:after="80"/>
      </w:pPr>
      <w:r>
        <w:rPr>
          <w:color w:val="1F4D78"/>
          <w:sz w:val="24"/>
        </w:rPr>
        <w:t>TS-019 - Assignment failure remains visible and unassigned</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FR-017, LIF-003, SLA-001, SLA-006</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missing/invalid mappings do not silently assign a default or hide the exception.</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Qualifying High/Critical exception with no valid mapping or simulated mapping failure.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after mapping and escalation policy freeze - automated workflow test.</w:t>
            </w:r>
          </w:p>
        </w:tc>
      </w:tr>
    </w:tbl>
    <w:p>
      <w:pPr>
        <w:keepNext/>
        <w:spacing w:before="100" w:after="40"/>
      </w:pPr>
      <w:r>
        <w:rPr>
          <w:b/>
          <w:color w:val="1F4D78"/>
        </w:rPr>
        <w:t>Test steps</w:t>
      </w:r>
    </w:p>
    <w:p>
      <w:pPr>
        <w:spacing w:after="40"/>
        <w:ind w:left="720" w:hanging="360"/>
      </w:pPr>
      <w:r>
        <w:rPr>
          <w:sz w:val="19"/>
        </w:rPr>
        <w:t>1.  Open the exception with assignment unavailable.</w:t>
      </w:r>
    </w:p>
    <w:p>
      <w:pPr>
        <w:spacing w:after="40"/>
        <w:ind w:left="720" w:hanging="360"/>
      </w:pPr>
      <w:r>
        <w:rPr>
          <w:sz w:val="19"/>
        </w:rPr>
        <w:t>2.  Execute automatic assignment.</w:t>
      </w:r>
    </w:p>
    <w:p>
      <w:pPr>
        <w:spacing w:after="40"/>
        <w:ind w:left="720" w:hanging="360"/>
      </w:pPr>
      <w:r>
        <w:rPr>
          <w:sz w:val="19"/>
        </w:rPr>
        <w:t>3.  Inspect status, owner, unassigned queue, SLA clock, and error/event metadata.</w:t>
      </w:r>
    </w:p>
    <w:p>
      <w:pPr>
        <w:spacing w:after="40"/>
        <w:ind w:left="720" w:hanging="360"/>
      </w:pPr>
      <w:r>
        <w:rPr>
          <w:sz w:val="19"/>
        </w:rPr>
        <w:t>4.  Advance to the escalation boundary if applicable.</w:t>
      </w:r>
    </w:p>
    <w:p>
      <w:pPr>
        <w:spacing w:before="60" w:after="40"/>
      </w:pPr>
      <w:r>
        <w:rPr>
          <w:b/>
          <w:color w:val="1F4D78"/>
        </w:rPr>
        <w:t xml:space="preserve">Expected result. </w:t>
      </w:r>
      <w:r>
        <w:t>The exception remains Open and explicitly unassigned, is visible in the unassigned/manager view, keeps its SLA clock, and records the assignment failure without fabricated ownership.</w:t>
      </w:r>
    </w:p>
    <w:p>
      <w:pPr>
        <w:spacing w:after="160"/>
      </w:pPr>
      <w:r>
        <w:rPr>
          <w:b/>
          <w:color w:val="1F4D78"/>
        </w:rPr>
        <w:t xml:space="preserve">Evidence required. </w:t>
      </w:r>
      <w:r>
        <w:t>Mapping failure fixture; queue/store values; SLA timestamps; event/error log; manager-view evidence.</w:t>
      </w:r>
    </w:p>
    <w:p>
      <w:pPr>
        <w:pStyle w:val="Heading2"/>
        <w:keepNext/>
        <w:spacing w:before="160" w:after="80"/>
      </w:pPr>
      <w:r>
        <w:rPr>
          <w:color w:val="1F4D78"/>
          <w:sz w:val="24"/>
        </w:rPr>
        <w:t>TS-020 - High/Critical assignment SLA boundary</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SLA-002, SLA-005, NFR-006</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the four-business-hour assignment target is calculated correctly across normal, weekend, holiday, and DST cases.</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Frozen Melbourne calendar, operating hours, holiday table, after-hours and pause rules; expected-minute oracle.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after DL-013 freeze - automated calendar boundary test.</w:t>
            </w:r>
          </w:p>
        </w:tc>
      </w:tr>
    </w:tbl>
    <w:p>
      <w:pPr>
        <w:keepNext/>
        <w:spacing w:before="100" w:after="40"/>
      </w:pPr>
      <w:r>
        <w:rPr>
          <w:b/>
          <w:color w:val="1F4D78"/>
        </w:rPr>
        <w:t>Test steps</w:t>
      </w:r>
    </w:p>
    <w:p>
      <w:pPr>
        <w:spacing w:after="40"/>
        <w:ind w:left="720" w:hanging="360"/>
      </w:pPr>
      <w:r>
        <w:rPr>
          <w:sz w:val="19"/>
        </w:rPr>
        <w:t>1.  Open cases at representative times including just before close, after hours, DST transition, and holiday eve.</w:t>
      </w:r>
    </w:p>
    <w:p>
      <w:pPr>
        <w:spacing w:after="40"/>
        <w:ind w:left="720" w:hanging="360"/>
      </w:pPr>
      <w:r>
        <w:rPr>
          <w:sz w:val="19"/>
        </w:rPr>
        <w:t>2.  Calculate assignment due time independently.</w:t>
      </w:r>
    </w:p>
    <w:p>
      <w:pPr>
        <w:spacing w:after="40"/>
        <w:ind w:left="720" w:hanging="360"/>
      </w:pPr>
      <w:r>
        <w:rPr>
          <w:sz w:val="19"/>
        </w:rPr>
        <w:t>3.  Assign immediately before, exactly at, and after the boundary.</w:t>
      </w:r>
    </w:p>
    <w:p>
      <w:pPr>
        <w:spacing w:after="40"/>
        <w:ind w:left="720" w:hanging="360"/>
      </w:pPr>
      <w:r>
        <w:rPr>
          <w:sz w:val="19"/>
        </w:rPr>
        <w:t>4.  Inspect SLA state and assignment metric classification.</w:t>
      </w:r>
    </w:p>
    <w:p>
      <w:pPr>
        <w:spacing w:before="60" w:after="40"/>
      </w:pPr>
      <w:r>
        <w:rPr>
          <w:b/>
          <w:color w:val="1F4D78"/>
        </w:rPr>
        <w:t xml:space="preserve">Expected result. </w:t>
      </w:r>
      <w:r>
        <w:t>Due times match expected Melbourne business minutes exactly. Breach classification follows the frozen inclusive/exclusive boundary and percentages use the approved denominator.</w:t>
      </w:r>
    </w:p>
    <w:p>
      <w:pPr>
        <w:spacing w:after="160"/>
      </w:pPr>
      <w:r>
        <w:rPr>
          <w:b/>
          <w:color w:val="1F4D78"/>
        </w:rPr>
        <w:t xml:space="preserve">Evidence required. </w:t>
      </w:r>
      <w:r>
        <w:t>Calendar version; fixture/oracle; due timestamps; SLA states; metric extract.</w:t>
      </w:r>
    </w:p>
    <w:p>
      <w:pPr>
        <w:pStyle w:val="Heading2"/>
        <w:keepNext/>
        <w:spacing w:before="160" w:after="80"/>
      </w:pPr>
      <w:r>
        <w:rPr>
          <w:color w:val="1F4D78"/>
          <w:sz w:val="24"/>
        </w:rPr>
        <w:t>TS-021 - SLA breach creates escalation without silent status or owner change</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SLA-004, SLA-006, FR-013</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overdue High/Critical work becomes visible to management while original accountability remains clear.</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Frozen action SLA and escalation policy; assigned Critical/High case with no action plan by due time.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after SLA policy freeze - automated workflow/time test.</w:t>
            </w:r>
          </w:p>
        </w:tc>
      </w:tr>
    </w:tbl>
    <w:p>
      <w:pPr>
        <w:keepNext/>
        <w:spacing w:before="100" w:after="40"/>
      </w:pPr>
      <w:r>
        <w:rPr>
          <w:b/>
          <w:color w:val="1F4D78"/>
        </w:rPr>
        <w:t>Test steps</w:t>
      </w:r>
    </w:p>
    <w:p>
      <w:pPr>
        <w:spacing w:after="40"/>
        <w:ind w:left="720" w:hanging="360"/>
      </w:pPr>
      <w:r>
        <w:rPr>
          <w:sz w:val="19"/>
        </w:rPr>
        <w:t>1.  Create and assign the exception.</w:t>
      </w:r>
    </w:p>
    <w:p>
      <w:pPr>
        <w:spacing w:after="40"/>
        <w:ind w:left="720" w:hanging="360"/>
      </w:pPr>
      <w:r>
        <w:rPr>
          <w:sz w:val="19"/>
        </w:rPr>
        <w:t>2.  Advance business time to immediately before the due time and inspect state.</w:t>
      </w:r>
    </w:p>
    <w:p>
      <w:pPr>
        <w:spacing w:after="40"/>
        <w:ind w:left="720" w:hanging="360"/>
      </w:pPr>
      <w:r>
        <w:rPr>
          <w:sz w:val="19"/>
        </w:rPr>
        <w:t>3.  Advance to/after the breach boundary.</w:t>
      </w:r>
    </w:p>
    <w:p>
      <w:pPr>
        <w:spacing w:after="40"/>
        <w:ind w:left="720" w:hanging="360"/>
      </w:pPr>
      <w:r>
        <w:rPr>
          <w:sz w:val="19"/>
        </w:rPr>
        <w:t>4.  Inspect manager queue, escalation event, owner, lifecycle status, and reporting flags.</w:t>
      </w:r>
    </w:p>
    <w:p>
      <w:pPr>
        <w:spacing w:before="60" w:after="40"/>
      </w:pPr>
      <w:r>
        <w:rPr>
          <w:b/>
          <w:color w:val="1F4D78"/>
        </w:rPr>
        <w:t xml:space="preserve">Expected result. </w:t>
      </w:r>
      <w:r>
        <w:t>At the approved boundary the breach and escalation are visible and one escalation event is appended. Owner and lifecycle status do not change silently; repeated checks do not create duplicate escalation events unless policy allows.</w:t>
      </w:r>
    </w:p>
    <w:p>
      <w:pPr>
        <w:spacing w:after="160"/>
      </w:pPr>
      <w:r>
        <w:rPr>
          <w:b/>
          <w:color w:val="1F4D78"/>
        </w:rPr>
        <w:t xml:space="preserve">Evidence required. </w:t>
      </w:r>
      <w:r>
        <w:t>Time oracle; before/after queue extracts; escalation event; owner/status history; BI flag.</w:t>
      </w:r>
    </w:p>
    <w:p>
      <w:pPr>
        <w:pStyle w:val="Heading2"/>
        <w:keepNext/>
        <w:spacing w:before="160" w:after="80"/>
      </w:pPr>
      <w:r>
        <w:rPr>
          <w:color w:val="1F4D78"/>
          <w:sz w:val="24"/>
        </w:rPr>
        <w:t>TS-022 - Every prohibited lifecycle transition is rejected</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FR-019, LIF-011, SEC-002</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state integrity across all from/to pairs not present in the approved matrix.</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Frozen lifecycle matrix including Reopened outgoing path; permission matrix; required-field catalogue.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after DL-012 freeze - parameterised state-machine test; selected manual witness.</w:t>
            </w:r>
          </w:p>
        </w:tc>
      </w:tr>
    </w:tbl>
    <w:p>
      <w:pPr>
        <w:keepNext/>
        <w:spacing w:before="100" w:after="40"/>
      </w:pPr>
      <w:r>
        <w:rPr>
          <w:b/>
          <w:color w:val="1F4D78"/>
        </w:rPr>
        <w:t>Test steps</w:t>
      </w:r>
    </w:p>
    <w:p>
      <w:pPr>
        <w:spacing w:after="40"/>
        <w:ind w:left="720" w:hanging="360"/>
      </w:pPr>
      <w:r>
        <w:rPr>
          <w:sz w:val="19"/>
        </w:rPr>
        <w:t>1.  Generate every state-to-state pair and identify allowed versus prohibited pairs from the approved matrix.</w:t>
      </w:r>
    </w:p>
    <w:p>
      <w:pPr>
        <w:spacing w:after="40"/>
        <w:ind w:left="720" w:hanging="360"/>
      </w:pPr>
      <w:r>
        <w:rPr>
          <w:sz w:val="19"/>
        </w:rPr>
        <w:t>2.  Attempt prohibited pairs using authorised and unauthorised roles.</w:t>
      </w:r>
    </w:p>
    <w:p>
      <w:pPr>
        <w:spacing w:after="40"/>
        <w:ind w:left="720" w:hanging="360"/>
      </w:pPr>
      <w:r>
        <w:rPr>
          <w:sz w:val="19"/>
        </w:rPr>
        <w:t>3.  Compare state, event count, and before/after values before and after each attempt.</w:t>
      </w:r>
    </w:p>
    <w:p>
      <w:pPr>
        <w:spacing w:after="40"/>
        <w:ind w:left="720" w:hanging="360"/>
      </w:pPr>
      <w:r>
        <w:rPr>
          <w:sz w:val="19"/>
        </w:rPr>
        <w:t>4.  Inspect configured rejected-attempt logging.</w:t>
      </w:r>
    </w:p>
    <w:p>
      <w:pPr>
        <w:spacing w:before="60" w:after="40"/>
      </w:pPr>
      <w:r>
        <w:rPr>
          <w:b/>
          <w:color w:val="1F4D78"/>
        </w:rPr>
        <w:t xml:space="preserve">Expected result. </w:t>
      </w:r>
      <w:r>
        <w:t>Every prohibited pair fails with zero state mutation and no destructive history change. Allowed pairs are tested separately with required fields and authority.</w:t>
      </w:r>
    </w:p>
    <w:p>
      <w:pPr>
        <w:spacing w:after="160"/>
      </w:pPr>
      <w:r>
        <w:rPr>
          <w:b/>
          <w:color w:val="1F4D78"/>
        </w:rPr>
        <w:t xml:space="preserve">Evidence required. </w:t>
      </w:r>
      <w:r>
        <w:t>Matrix/version; generated pair inventory; result register; before/after hashes; rejection logs.</w:t>
      </w:r>
    </w:p>
    <w:p>
      <w:pPr>
        <w:pStyle w:val="Heading2"/>
        <w:keepNext/>
        <w:spacing w:before="160" w:after="80"/>
      </w:pPr>
      <w:r>
        <w:rPr>
          <w:color w:val="1F4D78"/>
          <w:sz w:val="24"/>
        </w:rPr>
        <w:t>TS-023 - Action Agreed transition blocks missing plan fields</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LIF-005, FR-018, FR-019</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investigation cannot progress without a controlled action plan.</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Assigned exception in Investigating; action-type field rules and evidence requirements frozen.</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High</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Medium/High - automated workflow validation plus manual UI evidence.</w:t>
            </w:r>
          </w:p>
        </w:tc>
      </w:tr>
    </w:tbl>
    <w:p>
      <w:pPr>
        <w:keepNext/>
        <w:spacing w:before="100" w:after="40"/>
      </w:pPr>
      <w:r>
        <w:rPr>
          <w:b/>
          <w:color w:val="1F4D78"/>
        </w:rPr>
        <w:t>Test steps</w:t>
      </w:r>
    </w:p>
    <w:p>
      <w:pPr>
        <w:spacing w:after="40"/>
        <w:ind w:left="720" w:hanging="360"/>
      </w:pPr>
      <w:r>
        <w:rPr>
          <w:sz w:val="19"/>
        </w:rPr>
        <w:t>1.  Attempt transition with each mandatory field omitted in turn: plan, owner, next-action date, commitment/evidence where applicable.</w:t>
      </w:r>
    </w:p>
    <w:p>
      <w:pPr>
        <w:spacing w:after="40"/>
        <w:ind w:left="720" w:hanging="360"/>
      </w:pPr>
      <w:r>
        <w:rPr>
          <w:sz w:val="19"/>
        </w:rPr>
        <w:t>2.  Confirm state and event count after each attempt.</w:t>
      </w:r>
    </w:p>
    <w:p>
      <w:pPr>
        <w:spacing w:after="40"/>
        <w:ind w:left="720" w:hanging="360"/>
      </w:pPr>
      <w:r>
        <w:rPr>
          <w:sz w:val="19"/>
        </w:rPr>
        <w:t>3.  Submit a complete valid plan.</w:t>
      </w:r>
    </w:p>
    <w:p>
      <w:pPr>
        <w:spacing w:after="40"/>
        <w:ind w:left="720" w:hanging="360"/>
      </w:pPr>
      <w:r>
        <w:rPr>
          <w:sz w:val="19"/>
        </w:rPr>
        <w:t>4.  Inspect the appended action and status events.</w:t>
      </w:r>
    </w:p>
    <w:p>
      <w:pPr>
        <w:spacing w:before="60" w:after="40"/>
      </w:pPr>
      <w:r>
        <w:rPr>
          <w:b/>
          <w:color w:val="1F4D78"/>
        </w:rPr>
        <w:t xml:space="preserve">Expected result. </w:t>
      </w:r>
      <w:r>
        <w:t>Every incomplete attempt is rejected without state change. The complete authorised entry succeeds, is append-only, and displays chronologically.</w:t>
      </w:r>
    </w:p>
    <w:p>
      <w:pPr>
        <w:spacing w:after="160"/>
      </w:pPr>
      <w:r>
        <w:rPr>
          <w:b/>
          <w:color w:val="1F4D78"/>
        </w:rPr>
        <w:t xml:space="preserve">Evidence required. </w:t>
      </w:r>
      <w:r>
        <w:t>Field catalogue; negative result set; before/after state; valid event ledger; UI screenshot.</w:t>
      </w:r>
    </w:p>
    <w:p>
      <w:pPr>
        <w:pStyle w:val="Heading2"/>
        <w:keepNext/>
        <w:spacing w:before="160" w:after="80"/>
      </w:pPr>
      <w:r>
        <w:rPr>
          <w:color w:val="1F4D78"/>
          <w:sz w:val="24"/>
        </w:rPr>
        <w:t>TS-024 - Resolution without mandatory evidence is blocked</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FR-021, LIF-007, GOV-007, SLA-008</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a risk cannot become Resolved through a judgement route without the required structured support and approval.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Monitoring exception; frozen resolution codes/evidence catalogue; case requiring human judgement or accepted residual risk.</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Medium/High after DL-015 freeze - workflow validation plus manual evidence review.</w:t>
            </w:r>
          </w:p>
        </w:tc>
      </w:tr>
    </w:tbl>
    <w:p>
      <w:pPr>
        <w:keepNext/>
        <w:spacing w:before="100" w:after="40"/>
      </w:pPr>
      <w:r>
        <w:rPr>
          <w:b/>
          <w:color w:val="1F4D78"/>
        </w:rPr>
        <w:t>Test steps</w:t>
      </w:r>
    </w:p>
    <w:p>
      <w:pPr>
        <w:spacing w:after="40"/>
        <w:ind w:left="720" w:hanging="360"/>
      </w:pPr>
      <w:r>
        <w:rPr>
          <w:sz w:val="19"/>
        </w:rPr>
        <w:t>1.  Attempt resolution without evidence.</w:t>
      </w:r>
    </w:p>
    <w:p>
      <w:pPr>
        <w:spacing w:after="40"/>
        <w:ind w:left="720" w:hanging="360"/>
      </w:pPr>
      <w:r>
        <w:rPr>
          <w:sz w:val="19"/>
        </w:rPr>
        <w:t>2.  Attempt with evidence metadata but missing mandatory resolution/cause/residual-risk fields.</w:t>
      </w:r>
    </w:p>
    <w:p>
      <w:pPr>
        <w:spacing w:after="40"/>
        <w:ind w:left="720" w:hanging="360"/>
      </w:pPr>
      <w:r>
        <w:rPr>
          <w:sz w:val="19"/>
        </w:rPr>
        <w:t>3.  Attempt accepted-residual-risk resolution without manager approval.</w:t>
      </w:r>
    </w:p>
    <w:p>
      <w:pPr>
        <w:spacing w:after="40"/>
        <w:ind w:left="720" w:hanging="360"/>
      </w:pPr>
      <w:r>
        <w:rPr>
          <w:sz w:val="19"/>
        </w:rPr>
        <w:t>4.  Submit the complete authorised package.</w:t>
      </w:r>
    </w:p>
    <w:p>
      <w:pPr>
        <w:spacing w:before="60" w:after="40"/>
      </w:pPr>
      <w:r>
        <w:rPr>
          <w:b/>
          <w:color w:val="1F4D78"/>
        </w:rPr>
        <w:t xml:space="preserve">Expected result. </w:t>
      </w:r>
      <w:r>
        <w:t>Incomplete or unapproved attempts fail with zero status mutation. The valid route records resolution code, cause, residual risk, resolver, time, evidence reference, and approval where required.</w:t>
      </w:r>
    </w:p>
    <w:p>
      <w:pPr>
        <w:spacing w:after="160"/>
      </w:pPr>
      <w:r>
        <w:rPr>
          <w:b/>
          <w:color w:val="1F4D78"/>
        </w:rPr>
        <w:t xml:space="preserve">Evidence required. </w:t>
      </w:r>
      <w:r>
        <w:t>Resolution/evidence catalogue; attempts; state hashes; approval record; final event/export.</w:t>
      </w:r>
    </w:p>
    <w:p>
      <w:pPr>
        <w:pStyle w:val="Heading2"/>
        <w:keepNext/>
        <w:spacing w:before="160" w:after="80"/>
      </w:pPr>
      <w:r>
        <w:rPr>
          <w:color w:val="1F4D78"/>
          <w:sz w:val="24"/>
        </w:rPr>
        <w:t>TS-025 - Closed requires verified Resolved state and authorised human</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FR-022, LIF-008, SLA-008</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no active exception or automated process can bypass resolution verification.</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One active case, one Resolved case with evidence, one unauthorised role, and one authorised verifier.</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Medium/High - workflow/role test with manual witness.</w:t>
            </w:r>
          </w:p>
        </w:tc>
      </w:tr>
    </w:tbl>
    <w:p>
      <w:pPr>
        <w:keepNext/>
        <w:spacing w:before="100" w:after="40"/>
      </w:pPr>
      <w:r>
        <w:rPr>
          <w:b/>
          <w:color w:val="1F4D78"/>
        </w:rPr>
        <w:t>Test steps</w:t>
      </w:r>
    </w:p>
    <w:p>
      <w:pPr>
        <w:spacing w:after="40"/>
        <w:ind w:left="720" w:hanging="360"/>
      </w:pPr>
      <w:r>
        <w:rPr>
          <w:sz w:val="19"/>
        </w:rPr>
        <w:t>1.  Attempt direct active-to-Closed.</w:t>
      </w:r>
    </w:p>
    <w:p>
      <w:pPr>
        <w:spacing w:after="40"/>
        <w:ind w:left="720" w:hanging="360"/>
      </w:pPr>
      <w:r>
        <w:rPr>
          <w:sz w:val="19"/>
        </w:rPr>
        <w:t>2.  Attempt Resolved-to-Closed using an automated identity.</w:t>
      </w:r>
    </w:p>
    <w:p>
      <w:pPr>
        <w:spacing w:after="40"/>
        <w:ind w:left="720" w:hanging="360"/>
      </w:pPr>
      <w:r>
        <w:rPr>
          <w:sz w:val="19"/>
        </w:rPr>
        <w:t>3.  Attempt with an unauthorised human role.</w:t>
      </w:r>
    </w:p>
    <w:p>
      <w:pPr>
        <w:spacing w:after="40"/>
        <w:ind w:left="720" w:hanging="360"/>
      </w:pPr>
      <w:r>
        <w:rPr>
          <w:sz w:val="19"/>
        </w:rPr>
        <w:t>4.  Attempt with the authorised human and required evidence/approval.</w:t>
      </w:r>
    </w:p>
    <w:p>
      <w:pPr>
        <w:spacing w:before="60" w:after="40"/>
      </w:pPr>
      <w:r>
        <w:rPr>
          <w:b/>
          <w:color w:val="1F4D78"/>
        </w:rPr>
        <w:t xml:space="preserve">Expected result. </w:t>
      </w:r>
      <w:r>
        <w:t>The first three attempts fail without mutation. Only the authorised human route from Resolved succeeds; verifier, evidence, approval if applicable, and time are appended, never replacing resolution history.</w:t>
      </w:r>
    </w:p>
    <w:p>
      <w:pPr>
        <w:spacing w:after="160"/>
      </w:pPr>
      <w:r>
        <w:rPr>
          <w:b/>
          <w:color w:val="1F4D78"/>
        </w:rPr>
        <w:t xml:space="preserve">Evidence required. </w:t>
      </w:r>
      <w:r>
        <w:t>Permission and lifecycle versions; negative attempts; valid closure event; audit export; selected UI capture.</w:t>
      </w:r>
    </w:p>
    <w:p>
      <w:pPr>
        <w:pStyle w:val="Heading2"/>
        <w:keepNext/>
        <w:spacing w:before="160" w:after="80"/>
      </w:pPr>
      <w:r>
        <w:rPr>
          <w:color w:val="1F4D78"/>
          <w:sz w:val="24"/>
        </w:rPr>
        <w:t>TS-026 - Material suppression without approval is blocked</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LIF-009, SLA-008, FR-020, GOV-005</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suppression cannot hide material exposure without manager approval, reason, and expiry.</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Active High/Critical exception; manual material-suppression policy and approval matrix frozen.</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Medium/High after DL-012/DL-014 freeze - workflow/approval test.</w:t>
            </w:r>
          </w:p>
        </w:tc>
      </w:tr>
    </w:tbl>
    <w:p>
      <w:pPr>
        <w:keepNext/>
        <w:spacing w:before="100" w:after="40"/>
      </w:pPr>
      <w:r>
        <w:rPr>
          <w:b/>
          <w:color w:val="1F4D78"/>
        </w:rPr>
        <w:t>Test steps</w:t>
      </w:r>
    </w:p>
    <w:p>
      <w:pPr>
        <w:spacing w:after="40"/>
        <w:ind w:left="720" w:hanging="360"/>
      </w:pPr>
      <w:r>
        <w:rPr>
          <w:sz w:val="19"/>
        </w:rPr>
        <w:t>1.  Request suppression without a reason, then without expiry, then without evidence.</w:t>
      </w:r>
    </w:p>
    <w:p>
      <w:pPr>
        <w:spacing w:after="40"/>
        <w:ind w:left="720" w:hanging="360"/>
      </w:pPr>
      <w:r>
        <w:rPr>
          <w:sz w:val="19"/>
        </w:rPr>
        <w:t>2.  Attempt to apply the request without manager decision.</w:t>
      </w:r>
    </w:p>
    <w:p>
      <w:pPr>
        <w:spacing w:after="40"/>
        <w:ind w:left="720" w:hanging="360"/>
      </w:pPr>
      <w:r>
        <w:rPr>
          <w:sz w:val="19"/>
        </w:rPr>
        <w:t>3.  Submit a complete request and obtain distinct manager approval.</w:t>
      </w:r>
    </w:p>
    <w:p>
      <w:pPr>
        <w:spacing w:after="40"/>
        <w:ind w:left="720" w:hanging="360"/>
      </w:pPr>
      <w:r>
        <w:rPr>
          <w:sz w:val="19"/>
        </w:rPr>
        <w:t>4.  Inspect queue, reporting, and history.</w:t>
      </w:r>
    </w:p>
    <w:p>
      <w:pPr>
        <w:spacing w:before="60" w:after="40"/>
      </w:pPr>
      <w:r>
        <w:rPr>
          <w:b/>
          <w:color w:val="1F4D78"/>
        </w:rPr>
        <w:t xml:space="preserve">Expected result. </w:t>
      </w:r>
      <w:r>
        <w:t>Incomplete or unapproved requests do not suppress or remove the record. Approved suppression retains score/history, reason, authority, start/expiry, original risk, and report visibility.</w:t>
      </w:r>
    </w:p>
    <w:p>
      <w:pPr>
        <w:spacing w:after="160"/>
      </w:pPr>
      <w:r>
        <w:rPr>
          <w:b/>
          <w:color w:val="1F4D78"/>
        </w:rPr>
        <w:t xml:space="preserve">Evidence required. </w:t>
      </w:r>
      <w:r>
        <w:t>Policy/approval matrix; rejected attempts; approval; suppression event; queue/report extracts.</w:t>
      </w:r>
    </w:p>
    <w:p>
      <w:pPr>
        <w:pStyle w:val="Heading2"/>
        <w:keepNext/>
        <w:spacing w:before="160" w:after="80"/>
      </w:pPr>
      <w:r>
        <w:rPr>
          <w:color w:val="1F4D78"/>
          <w:sz w:val="24"/>
        </w:rPr>
        <w:t>TS-027 - Requester cannot self-approve a material override</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GOV-004, SLA-008, SLA-009</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simulated segregation of duties for severity reduction or accepted residual risk.</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Material override request created by one simulated user; distinct manager identity available.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Medium/High - role/permission test with manual identity evidence.</w:t>
            </w:r>
          </w:p>
        </w:tc>
      </w:tr>
    </w:tbl>
    <w:p>
      <w:pPr>
        <w:keepNext/>
        <w:spacing w:before="100" w:after="40"/>
      </w:pPr>
      <w:r>
        <w:rPr>
          <w:b/>
          <w:color w:val="1F4D78"/>
        </w:rPr>
        <w:t>Test steps</w:t>
      </w:r>
    </w:p>
    <w:p>
      <w:pPr>
        <w:spacing w:after="40"/>
        <w:ind w:left="720" w:hanging="360"/>
      </w:pPr>
      <w:r>
        <w:rPr>
          <w:sz w:val="19"/>
        </w:rPr>
        <w:t>1.  Submit the request as the requester.</w:t>
      </w:r>
    </w:p>
    <w:p>
      <w:pPr>
        <w:spacing w:after="40"/>
        <w:ind w:left="720" w:hanging="360"/>
      </w:pPr>
      <w:r>
        <w:rPr>
          <w:sz w:val="19"/>
        </w:rPr>
        <w:t>2.  Attempt approval while still acting as the requester.</w:t>
      </w:r>
    </w:p>
    <w:p>
      <w:pPr>
        <w:spacing w:after="40"/>
        <w:ind w:left="720" w:hanging="360"/>
      </w:pPr>
      <w:r>
        <w:rPr>
          <w:sz w:val="19"/>
        </w:rPr>
        <w:t>3.  Inspect request status and operational value.</w:t>
      </w:r>
    </w:p>
    <w:p>
      <w:pPr>
        <w:spacing w:after="40"/>
        <w:ind w:left="720" w:hanging="360"/>
      </w:pPr>
      <w:r>
        <w:rPr>
          <w:sz w:val="19"/>
        </w:rPr>
        <w:t>4.  Approve or reject as the distinct authorised manager.</w:t>
      </w:r>
    </w:p>
    <w:p>
      <w:pPr>
        <w:spacing w:before="60" w:after="40"/>
      </w:pPr>
      <w:r>
        <w:rPr>
          <w:b/>
          <w:color w:val="1F4D78"/>
        </w:rPr>
        <w:t xml:space="preserve">Expected result. </w:t>
      </w:r>
      <w:r>
        <w:t>Self-approval is blocked and the requested value is not applied. The distinct manager decision succeeds only with rationale/conditions/expiry as required, and both identities are logged.</w:t>
      </w:r>
    </w:p>
    <w:p>
      <w:pPr>
        <w:spacing w:after="160"/>
      </w:pPr>
      <w:r>
        <w:rPr>
          <w:b/>
          <w:color w:val="1F4D78"/>
        </w:rPr>
        <w:t xml:space="preserve">Evidence required. </w:t>
      </w:r>
      <w:r>
        <w:t>Role matrix; request and decision records; blocked-attempt evidence; before/after value; audit export.</w:t>
      </w:r>
    </w:p>
    <w:p>
      <w:pPr>
        <w:pStyle w:val="Heading2"/>
        <w:keepNext/>
        <w:spacing w:before="160" w:after="80"/>
      </w:pPr>
      <w:r>
        <w:rPr>
          <w:color w:val="1F4D78"/>
          <w:sz w:val="24"/>
        </w:rPr>
        <w:t>TS-028 - Approved override expires without rewriting original risk</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FR-020, GOV-005, SLA-009</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approved severity/criticality changes are transparent, time-bound where required, and prospectively reversible.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Approved override with original and requested values, evidence, distinct approver, and known expiry instant.</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High</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after approval/expiry policy freeze - automated time and audit test.</w:t>
            </w:r>
          </w:p>
        </w:tc>
      </w:tr>
    </w:tbl>
    <w:p>
      <w:pPr>
        <w:keepNext/>
        <w:spacing w:before="100" w:after="40"/>
      </w:pPr>
      <w:r>
        <w:rPr>
          <w:b/>
          <w:color w:val="1F4D78"/>
        </w:rPr>
        <w:t>Test steps</w:t>
      </w:r>
    </w:p>
    <w:p>
      <w:pPr>
        <w:spacing w:after="40"/>
        <w:ind w:left="720" w:hanging="360"/>
      </w:pPr>
      <w:r>
        <w:rPr>
          <w:sz w:val="19"/>
        </w:rPr>
        <w:t>1.  Inspect original calculated score/severity before approval.</w:t>
      </w:r>
    </w:p>
    <w:p>
      <w:pPr>
        <w:spacing w:after="40"/>
        <w:ind w:left="720" w:hanging="360"/>
      </w:pPr>
      <w:r>
        <w:rPr>
          <w:sz w:val="19"/>
        </w:rPr>
        <w:t>2.  Approve and apply the override.</w:t>
      </w:r>
    </w:p>
    <w:p>
      <w:pPr>
        <w:spacing w:after="40"/>
        <w:ind w:left="720" w:hanging="360"/>
      </w:pPr>
      <w:r>
        <w:rPr>
          <w:sz w:val="19"/>
        </w:rPr>
        <w:t>3.  Inspect immediately before, exactly at, and after expiry.</w:t>
      </w:r>
    </w:p>
    <w:p>
      <w:pPr>
        <w:spacing w:after="40"/>
        <w:ind w:left="720" w:hanging="360"/>
      </w:pPr>
      <w:r>
        <w:rPr>
          <w:sz w:val="19"/>
        </w:rPr>
        <w:t>4.  Review operational and reporting representations plus history.</w:t>
      </w:r>
    </w:p>
    <w:p>
      <w:pPr>
        <w:spacing w:before="60" w:after="40"/>
      </w:pPr>
      <w:r>
        <w:rPr>
          <w:b/>
          <w:color w:val="1F4D78"/>
        </w:rPr>
        <w:t xml:space="preserve">Expected result. </w:t>
      </w:r>
      <w:r>
        <w:t>Original calculated value never changes. Override status and effective value follow the approved expiry boundary; expiry is appended as an event and appears once in reporting.</w:t>
      </w:r>
    </w:p>
    <w:p>
      <w:pPr>
        <w:spacing w:after="160"/>
      </w:pPr>
      <w:r>
        <w:rPr>
          <w:b/>
          <w:color w:val="1F4D78"/>
        </w:rPr>
        <w:t xml:space="preserve">Evidence required. </w:t>
      </w:r>
      <w:r>
        <w:t>Override policy; before/at/after snapshots; event ledger; report extract; original score proof.</w:t>
      </w:r>
    </w:p>
    <w:p>
      <w:pPr>
        <w:pStyle w:val="Heading2"/>
        <w:keepNext/>
        <w:spacing w:before="160" w:after="80"/>
      </w:pPr>
      <w:r>
        <w:rPr>
          <w:color w:val="1F4D78"/>
          <w:sz w:val="24"/>
        </w:rPr>
        <w:t>TS-029 - Audit history survives the complete episode</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GOV-001, GOV-002, GOV-003, FR-024, US-006</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chronological, non-destructive reconstruction of automated and human decisions.</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Frozen golden episode and exact expected event ledger covering scores, assignment, investigation, action, monitoring, resolution, closure, and relevant approval.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Medium - automated ledger comparison plus manual audit-view/export review.</w:t>
            </w:r>
          </w:p>
        </w:tc>
      </w:tr>
    </w:tbl>
    <w:p>
      <w:pPr>
        <w:keepNext/>
        <w:spacing w:before="100" w:after="40"/>
      </w:pPr>
      <w:r>
        <w:rPr>
          <w:b/>
          <w:color w:val="1F4D78"/>
        </w:rPr>
        <w:t>Test steps</w:t>
      </w:r>
    </w:p>
    <w:p>
      <w:pPr>
        <w:spacing w:after="40"/>
        <w:ind w:left="720" w:hanging="360"/>
      </w:pPr>
      <w:r>
        <w:rPr>
          <w:sz w:val="19"/>
        </w:rPr>
        <w:t>1.  Execute the golden episode across multiple runs and actors.</w:t>
      </w:r>
    </w:p>
    <w:p>
      <w:pPr>
        <w:spacing w:after="40"/>
        <w:ind w:left="720" w:hanging="360"/>
      </w:pPr>
      <w:r>
        <w:rPr>
          <w:sz w:val="19"/>
        </w:rPr>
        <w:t>2.  Export the audit history.</w:t>
      </w:r>
    </w:p>
    <w:p>
      <w:pPr>
        <w:spacing w:after="40"/>
        <w:ind w:left="720" w:hanging="360"/>
      </w:pPr>
      <w:r>
        <w:rPr>
          <w:sz w:val="19"/>
        </w:rPr>
        <w:t>3.  Compare event order and mandatory fields with the oracle.</w:t>
      </w:r>
    </w:p>
    <w:p>
      <w:pPr>
        <w:spacing w:after="40"/>
        <w:ind w:left="720" w:hanging="360"/>
      </w:pPr>
      <w:r>
        <w:rPr>
          <w:sz w:val="19"/>
        </w:rPr>
        <w:t>4.  Attempt normal UI edits/deletes of prior events and rerun scoring after rule-version change.</w:t>
      </w:r>
    </w:p>
    <w:p>
      <w:pPr>
        <w:spacing w:before="60" w:after="40"/>
      </w:pPr>
      <w:r>
        <w:rPr>
          <w:b/>
          <w:color w:val="1F4D78"/>
        </w:rPr>
        <w:t xml:space="preserve">Expected result. </w:t>
      </w:r>
      <w:r>
        <w:t>The export matches the oracle exactly; all score snapshots and events remain; normal roles cannot alter/delete history; current changes append new records and do not rewrite prior rationale.</w:t>
      </w:r>
    </w:p>
    <w:p>
      <w:pPr>
        <w:spacing w:after="160"/>
      </w:pPr>
      <w:r>
        <w:rPr>
          <w:b/>
          <w:color w:val="1F4D78"/>
        </w:rPr>
        <w:t xml:space="preserve">Evidence required. </w:t>
      </w:r>
      <w:r>
        <w:t>Golden oracle; audit export and checksum; permission attempts; score/version history; reviewer sign-off.</w:t>
      </w:r>
    </w:p>
    <w:p>
      <w:pPr>
        <w:pStyle w:val="Heading2"/>
        <w:keepNext/>
        <w:spacing w:before="160" w:after="80"/>
      </w:pPr>
      <w:r>
        <w:rPr>
          <w:color w:val="1F4D78"/>
          <w:sz w:val="24"/>
        </w:rPr>
        <w:t>TS-030 - Reopen occurs once and preserves prior closure</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FR-023, LIF-010, SLA-007, Q09, DL-012/DL-013</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material recurrence reactivates controlled work once, retains prior closure, and applies the approved SLA reset rule.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Frozen deterioration/cooldown/reopen thresholds and explicit Reopened outgoing transition; Closed/Suppressed reference episode; expected SLA behavior.</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after lifecycle/SLA freeze - automated multi-run workflow test with manual audit review.</w:t>
            </w:r>
          </w:p>
        </w:tc>
      </w:tr>
    </w:tbl>
    <w:p>
      <w:pPr>
        <w:keepNext/>
        <w:spacing w:before="100" w:after="40"/>
      </w:pPr>
      <w:r>
        <w:rPr>
          <w:b/>
          <w:color w:val="1F4D78"/>
        </w:rPr>
        <w:t>Test steps</w:t>
      </w:r>
    </w:p>
    <w:p>
      <w:pPr>
        <w:spacing w:after="40"/>
        <w:ind w:left="720" w:hanging="360"/>
      </w:pPr>
      <w:r>
        <w:rPr>
          <w:sz w:val="19"/>
        </w:rPr>
        <w:t>1.  Process the closed/suppressed episode with a non-material change.</w:t>
      </w:r>
    </w:p>
    <w:p>
      <w:pPr>
        <w:spacing w:after="40"/>
        <w:ind w:left="720" w:hanging="360"/>
      </w:pPr>
      <w:r>
        <w:rPr>
          <w:sz w:val="19"/>
        </w:rPr>
        <w:t>2.  Process a change exactly at and then beyond the material threshold.</w:t>
      </w:r>
    </w:p>
    <w:p>
      <w:pPr>
        <w:spacing w:after="40"/>
        <w:ind w:left="720" w:hanging="360"/>
      </w:pPr>
      <w:r>
        <w:rPr>
          <w:sz w:val="19"/>
        </w:rPr>
        <w:t>3.  Repeat the qualifying evaluation in another run.</w:t>
      </w:r>
    </w:p>
    <w:p>
      <w:pPr>
        <w:spacing w:after="40"/>
        <w:ind w:left="720" w:hanging="360"/>
      </w:pPr>
      <w:r>
        <w:rPr>
          <w:sz w:val="19"/>
        </w:rPr>
        <w:t>4.  Inspect episode identity/link, active status, owner, SLA, and full history.</w:t>
      </w:r>
    </w:p>
    <w:p>
      <w:pPr>
        <w:spacing w:before="60" w:after="40"/>
      </w:pPr>
      <w:r>
        <w:rPr>
          <w:b/>
          <w:color w:val="1F4D78"/>
        </w:rPr>
        <w:t xml:space="preserve">Expected result. </w:t>
      </w:r>
      <w:r>
        <w:t>Only the approved qualifying condition reopens work and creates exactly one reopen event. Prior closure/suppression remains visible; no duplicate active episode is created; the episode routes to a defined active state and SLA behavior matches policy.</w:t>
      </w:r>
    </w:p>
    <w:p>
      <w:pPr>
        <w:spacing w:after="160"/>
      </w:pPr>
      <w:r>
        <w:rPr>
          <w:b/>
          <w:color w:val="1F4D78"/>
        </w:rPr>
        <w:t xml:space="preserve">Evidence required. </w:t>
      </w:r>
      <w:r>
        <w:t>Reopen policy; threshold fixtures; episode/event history; duplicate count; SLA calculations; audit screenshot/export.</w:t>
      </w:r>
    </w:p>
    <w:p>
      <w:pPr>
        <w:pStyle w:val="Heading2"/>
        <w:keepNext/>
        <w:spacing w:before="160" w:after="80"/>
      </w:pPr>
      <w:r>
        <w:rPr>
          <w:color w:val="1F4D78"/>
          <w:sz w:val="24"/>
        </w:rPr>
        <w:t>TS-031 - Dashboard reconciles to database across mandatory dimensions</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REP-001, REP-002, REP-009, US-007</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management visuals use the same successful run and definitions as the operational store.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Successful acceptance run; frozen KPI definitions/denominators; report refreshed from controlled publication path.</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Medium - automated control-total comparison plus manual visual/filter evidence.</w:t>
            </w:r>
          </w:p>
        </w:tc>
      </w:tr>
    </w:tbl>
    <w:p>
      <w:pPr>
        <w:keepNext/>
        <w:spacing w:before="100" w:after="40"/>
      </w:pPr>
      <w:r>
        <w:rPr>
          <w:b/>
          <w:color w:val="1F4D78"/>
        </w:rPr>
        <w:t>Test steps</w:t>
      </w:r>
    </w:p>
    <w:p>
      <w:pPr>
        <w:spacing w:after="40"/>
        <w:ind w:left="720" w:hanging="360"/>
      </w:pPr>
      <w:r>
        <w:rPr>
          <w:sz w:val="19"/>
        </w:rPr>
        <w:t>1.  Record database control totals by run, date, severity, status, supplier, and site.</w:t>
      </w:r>
    </w:p>
    <w:p>
      <w:pPr>
        <w:spacing w:after="40"/>
        <w:ind w:left="720" w:hanging="360"/>
      </w:pPr>
      <w:r>
        <w:rPr>
          <w:sz w:val="19"/>
        </w:rPr>
        <w:t>2.  Refresh/open Power BI for the same run.</w:t>
      </w:r>
    </w:p>
    <w:p>
      <w:pPr>
        <w:spacing w:after="40"/>
        <w:ind w:left="720" w:hanging="360"/>
      </w:pPr>
      <w:r>
        <w:rPr>
          <w:sz w:val="19"/>
        </w:rPr>
        <w:t>3.  Compare unfiltered totals and each required dimension/filter combination.</w:t>
      </w:r>
    </w:p>
    <w:p>
      <w:pPr>
        <w:spacing w:after="40"/>
        <w:ind w:left="720" w:hanging="360"/>
      </w:pPr>
      <w:r>
        <w:rPr>
          <w:sz w:val="19"/>
        </w:rPr>
        <w:t>4.  Record every difference including zero.</w:t>
      </w:r>
    </w:p>
    <w:p>
      <w:pPr>
        <w:spacing w:before="60" w:after="40"/>
      </w:pPr>
      <w:r>
        <w:rPr>
          <w:b/>
          <w:color w:val="1F4D78"/>
        </w:rPr>
        <w:t xml:space="preserve">Expected result. </w:t>
      </w:r>
      <w:r>
        <w:t>Difference is zero for every mandatory dimension and three acceptance runs. KPI denominators match the definitions, not merely the displayed grand total.</w:t>
      </w:r>
    </w:p>
    <w:p>
      <w:pPr>
        <w:spacing w:after="160"/>
      </w:pPr>
      <w:r>
        <w:rPr>
          <w:b/>
          <w:color w:val="1F4D78"/>
        </w:rPr>
        <w:t xml:space="preserve">Evidence required. </w:t>
      </w:r>
      <w:r>
        <w:t>Database extracts; report export/screenshots; reconciliation file; run/refresh IDs; reviewer result.</w:t>
      </w:r>
    </w:p>
    <w:p>
      <w:pPr>
        <w:pStyle w:val="Heading2"/>
        <w:keepNext/>
        <w:spacing w:before="160" w:after="80"/>
      </w:pPr>
      <w:r>
        <w:rPr>
          <w:color w:val="1F4D78"/>
          <w:sz w:val="24"/>
        </w:rPr>
        <w:t>TS-032 - Dashboard never publishes a failed run</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FR-025, NFR-004, REP-007, REP-009</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report consumers cannot mistake partial/failed data for current data.</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Successful published run followed by failure during scoring or publication; report refresh available.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Medium/High - pipeline automation plus manual report evidence.</w:t>
            </w:r>
          </w:p>
        </w:tc>
      </w:tr>
    </w:tbl>
    <w:p>
      <w:pPr>
        <w:keepNext/>
        <w:spacing w:before="100" w:after="40"/>
      </w:pPr>
      <w:r>
        <w:rPr>
          <w:b/>
          <w:color w:val="1F4D78"/>
        </w:rPr>
        <w:t>Test steps</w:t>
      </w:r>
    </w:p>
    <w:p>
      <w:pPr>
        <w:spacing w:after="40"/>
        <w:ind w:left="720" w:hanging="360"/>
      </w:pPr>
      <w:r>
        <w:rPr>
          <w:sz w:val="19"/>
        </w:rPr>
        <w:t>1.  Capture report totals and current run ID after success.</w:t>
      </w:r>
    </w:p>
    <w:p>
      <w:pPr>
        <w:spacing w:after="40"/>
        <w:ind w:left="720" w:hanging="360"/>
      </w:pPr>
      <w:r>
        <w:rPr>
          <w:sz w:val="19"/>
        </w:rPr>
        <w:t>2.  Inject and execute the failed run.</w:t>
      </w:r>
    </w:p>
    <w:p>
      <w:pPr>
        <w:spacing w:after="40"/>
        <w:ind w:left="720" w:hanging="360"/>
      </w:pPr>
      <w:r>
        <w:rPr>
          <w:sz w:val="19"/>
        </w:rPr>
        <w:t>3.  Refresh the report.</w:t>
      </w:r>
    </w:p>
    <w:p>
      <w:pPr>
        <w:spacing w:after="40"/>
        <w:ind w:left="720" w:hanging="360"/>
      </w:pPr>
      <w:r>
        <w:rPr>
          <w:sz w:val="19"/>
        </w:rPr>
        <w:t>4.  Compare report values, latest-success age, and failure indicator with the run register.</w:t>
      </w:r>
    </w:p>
    <w:p>
      <w:pPr>
        <w:spacing w:before="60" w:after="40"/>
      </w:pPr>
      <w:r>
        <w:rPr>
          <w:b/>
          <w:color w:val="1F4D78"/>
        </w:rPr>
        <w:t xml:space="preserve">Expected result. </w:t>
      </w:r>
      <w:r>
        <w:t>Report stays on the last success, displays the later failure, and shows no records from the failed attempt. Reconciliation remains against the last successful run.</w:t>
      </w:r>
    </w:p>
    <w:p>
      <w:pPr>
        <w:spacing w:after="160"/>
      </w:pPr>
      <w:r>
        <w:rPr>
          <w:b/>
          <w:color w:val="1F4D78"/>
        </w:rPr>
        <w:t xml:space="preserve">Evidence required. </w:t>
      </w:r>
      <w:r>
        <w:t>Before/after report export; run register; failure log; current pointer; reconciliation.</w:t>
      </w:r>
    </w:p>
    <w:p>
      <w:pPr>
        <w:pStyle w:val="Heading2"/>
        <w:keepNext/>
        <w:spacing w:before="160" w:after="80"/>
      </w:pPr>
      <w:r>
        <w:rPr>
          <w:color w:val="1F4D78"/>
          <w:sz w:val="24"/>
        </w:rPr>
        <w:t>TS-033 - 50,000-line batch performance</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NFR-001, NFR-007</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the daily-scale validation and scoring process meets the proposed five-minute target under a documented protocol.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Frozen 50,000+ line dataset; documented hardware/software; cold/warm definition; no unrelated workload; timer method approved.</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High</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 automated performance harness and raw timing capture.</w:t>
            </w:r>
          </w:p>
        </w:tc>
      </w:tr>
    </w:tbl>
    <w:p>
      <w:pPr>
        <w:keepNext/>
        <w:spacing w:before="100" w:after="40"/>
      </w:pPr>
      <w:r>
        <w:rPr>
          <w:b/>
          <w:color w:val="1F4D78"/>
        </w:rPr>
        <w:t>Test steps</w:t>
      </w:r>
    </w:p>
    <w:p>
      <w:pPr>
        <w:spacing w:after="40"/>
        <w:ind w:left="720" w:hanging="360"/>
      </w:pPr>
      <w:r>
        <w:rPr>
          <w:sz w:val="19"/>
        </w:rPr>
        <w:t>1.  Verify volume and environment metadata.</w:t>
      </w:r>
    </w:p>
    <w:p>
      <w:pPr>
        <w:spacing w:after="40"/>
        <w:ind w:left="720" w:hanging="360"/>
      </w:pPr>
      <w:r>
        <w:rPr>
          <w:sz w:val="19"/>
        </w:rPr>
        <w:t>2.  Execute five repeated validation/scoring runs under the protocol.</w:t>
      </w:r>
    </w:p>
    <w:p>
      <w:pPr>
        <w:spacing w:after="40"/>
        <w:ind w:left="720" w:hanging="360"/>
      </w:pPr>
      <w:r>
        <w:rPr>
          <w:sz w:val="19"/>
        </w:rPr>
        <w:t>3.  Record duration, row counts, run status, and cold/warm condition.</w:t>
      </w:r>
    </w:p>
    <w:p>
      <w:pPr>
        <w:spacing w:after="40"/>
        <w:ind w:left="720" w:hanging="360"/>
      </w:pPr>
      <w:r>
        <w:rPr>
          <w:sz w:val="19"/>
        </w:rPr>
        <w:t>4.  Check outputs/control totals to ensure speed did not bypass controls.</w:t>
      </w:r>
    </w:p>
    <w:p>
      <w:pPr>
        <w:spacing w:before="60" w:after="40"/>
      </w:pPr>
      <w:r>
        <w:rPr>
          <w:b/>
          <w:color w:val="1F4D78"/>
        </w:rPr>
        <w:t xml:space="preserve">Expected result. </w:t>
      </w:r>
      <w:r>
        <w:t>Each of five valid runs completes within five minutes and produces correct reconciled outputs. Any miss is reported as a failed criterion with context, not averaged away.</w:t>
      </w:r>
    </w:p>
    <w:p>
      <w:pPr>
        <w:spacing w:after="160"/>
      </w:pPr>
      <w:r>
        <w:rPr>
          <w:b/>
          <w:color w:val="1F4D78"/>
        </w:rPr>
        <w:t xml:space="preserve">Evidence required. </w:t>
      </w:r>
      <w:r>
        <w:t>Dataset counts; environment specification; raw timing log; run outputs; summary table.</w:t>
      </w:r>
    </w:p>
    <w:p>
      <w:pPr>
        <w:pStyle w:val="Heading2"/>
        <w:keepNext/>
        <w:spacing w:before="160" w:after="80"/>
      </w:pPr>
      <w:r>
        <w:rPr>
          <w:color w:val="1F4D78"/>
          <w:sz w:val="24"/>
        </w:rPr>
        <w:t>TS-034 - Operational queue p95 response</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NFR-002, FR-013, FR-014</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routine queue and standard filters are responsive without sacrificing correctness.</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Frozen queue performance population and standard filter list; 1,500-record fixture definition clarified; local environment documented.</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High</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Medium/High - scripted request timing plus manual usability check.</w:t>
            </w:r>
          </w:p>
        </w:tc>
      </w:tr>
    </w:tbl>
    <w:p>
      <w:pPr>
        <w:keepNext/>
        <w:spacing w:before="100" w:after="40"/>
      </w:pPr>
      <w:r>
        <w:rPr>
          <w:b/>
          <w:color w:val="1F4D78"/>
        </w:rPr>
        <w:t>Test steps</w:t>
      </w:r>
    </w:p>
    <w:p>
      <w:pPr>
        <w:spacing w:after="40"/>
        <w:ind w:left="720" w:hanging="360"/>
      </w:pPr>
      <w:r>
        <w:rPr>
          <w:sz w:val="19"/>
        </w:rPr>
        <w:t>1.  Load the agreed queue fixture.</w:t>
      </w:r>
    </w:p>
    <w:p>
      <w:pPr>
        <w:spacing w:after="40"/>
        <w:ind w:left="720" w:hanging="360"/>
      </w:pPr>
      <w:r>
        <w:rPr>
          <w:sz w:val="19"/>
        </w:rPr>
        <w:t>2.  Execute 30 default-view and standard-filter requests under the protocol.</w:t>
      </w:r>
    </w:p>
    <w:p>
      <w:pPr>
        <w:spacing w:after="40"/>
        <w:ind w:left="720" w:hanging="360"/>
      </w:pPr>
      <w:r>
        <w:rPr>
          <w:sz w:val="19"/>
        </w:rPr>
        <w:t>3.  Record response times and returned record sets.</w:t>
      </w:r>
    </w:p>
    <w:p>
      <w:pPr>
        <w:spacing w:after="40"/>
        <w:ind w:left="720" w:hanging="360"/>
      </w:pPr>
      <w:r>
        <w:rPr>
          <w:sz w:val="19"/>
        </w:rPr>
        <w:t>4.  Calculate p95 and validate sampled results against the store.</w:t>
      </w:r>
    </w:p>
    <w:p>
      <w:pPr>
        <w:spacing w:before="60" w:after="40"/>
      </w:pPr>
      <w:r>
        <w:rPr>
          <w:b/>
          <w:color w:val="1F4D78"/>
        </w:rPr>
        <w:t xml:space="preserve">Expected result. </w:t>
      </w:r>
      <w:r>
        <w:t>p95 is &lt;=3 seconds and all returned sets are correct. If 1,500 refers to open PO lines rather than active exceptions, the chosen performance population is explicitly documented.</w:t>
      </w:r>
    </w:p>
    <w:p>
      <w:pPr>
        <w:spacing w:after="160"/>
      </w:pPr>
      <w:r>
        <w:rPr>
          <w:b/>
          <w:color w:val="1F4D78"/>
        </w:rPr>
        <w:t xml:space="preserve">Evidence required. </w:t>
      </w:r>
      <w:r>
        <w:t>Population definition; raw timings; p95 calculation; store reconciliation; environment metadata.</w:t>
      </w:r>
    </w:p>
    <w:p>
      <w:pPr>
        <w:pStyle w:val="Heading2"/>
        <w:keepNext/>
        <w:spacing w:before="160" w:after="80"/>
      </w:pPr>
      <w:r>
        <w:rPr>
          <w:color w:val="1F4D78"/>
          <w:sz w:val="24"/>
        </w:rPr>
        <w:t>TS-035 - Melbourne DST and business-calendar handling</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NFR-006, SLA-005</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SLA-relevant timestamps and business durations remain correct across daylight-saving changes, weekends, holidays, and after-hours openings.</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Frozen business calendar, timezone storage/display policy, DST fixtures, and expected-minute oracle.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Critical</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High after DL-013 freeze - automated time-boundary suite.</w:t>
            </w:r>
          </w:p>
        </w:tc>
      </w:tr>
    </w:tbl>
    <w:p>
      <w:pPr>
        <w:keepNext/>
        <w:spacing w:before="100" w:after="40"/>
      </w:pPr>
      <w:r>
        <w:rPr>
          <w:b/>
          <w:color w:val="1F4D78"/>
        </w:rPr>
        <w:t>Test steps</w:t>
      </w:r>
    </w:p>
    <w:p>
      <w:pPr>
        <w:spacing w:after="40"/>
        <w:ind w:left="720" w:hanging="360"/>
      </w:pPr>
      <w:r>
        <w:rPr>
          <w:sz w:val="19"/>
        </w:rPr>
        <w:t>1.  Create cases around autumn and spring DST transitions plus weekend/holiday/after-hours examples.</w:t>
      </w:r>
    </w:p>
    <w:p>
      <w:pPr>
        <w:spacing w:after="40"/>
        <w:ind w:left="720" w:hanging="360"/>
      </w:pPr>
      <w:r>
        <w:rPr>
          <w:sz w:val="19"/>
        </w:rPr>
        <w:t>2.  Calculate expected local timestamps and business durations independently.</w:t>
      </w:r>
    </w:p>
    <w:p>
      <w:pPr>
        <w:spacing w:after="40"/>
        <w:ind w:left="720" w:hanging="360"/>
      </w:pPr>
      <w:r>
        <w:rPr>
          <w:sz w:val="19"/>
        </w:rPr>
        <w:t>3.  Execute due-time and breach calculations.</w:t>
      </w:r>
    </w:p>
    <w:p>
      <w:pPr>
        <w:spacing w:after="40"/>
        <w:ind w:left="720" w:hanging="360"/>
      </w:pPr>
      <w:r>
        <w:rPr>
          <w:sz w:val="19"/>
        </w:rPr>
        <w:t>4.  Inspect stored/displayed times and audit sequence.</w:t>
      </w:r>
    </w:p>
    <w:p>
      <w:pPr>
        <w:spacing w:before="60" w:after="40"/>
      </w:pPr>
      <w:r>
        <w:rPr>
          <w:b/>
          <w:color w:val="1F4D78"/>
        </w:rPr>
        <w:t xml:space="preserve">Expected result. </w:t>
      </w:r>
      <w:r>
        <w:t>Displayed Melbourne times and business-minute calculations match the oracle exactly; no duplicated/missing local hour corrupts ordering or SLA state.</w:t>
      </w:r>
    </w:p>
    <w:p>
      <w:pPr>
        <w:spacing w:after="160"/>
      </w:pPr>
      <w:r>
        <w:rPr>
          <w:b/>
          <w:color w:val="1F4D78"/>
        </w:rPr>
        <w:t xml:space="preserve">Evidence required. </w:t>
      </w:r>
      <w:r>
        <w:t>Calendar/timezone policy; fixtures; calculated oracle; stored/displayed timestamps; SLA results.</w:t>
      </w:r>
    </w:p>
    <w:p>
      <w:pPr>
        <w:pStyle w:val="Heading2"/>
        <w:keepNext/>
        <w:spacing w:before="160" w:after="80"/>
      </w:pPr>
      <w:r>
        <w:rPr>
          <w:color w:val="1F4D78"/>
          <w:sz w:val="24"/>
        </w:rPr>
        <w:t>TS-036 - Broken evidence reference is flagged</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cantSplit/>
        </w:trPr>
        <w:tc>
          <w:tcPr>
            <w:tcW w:type="dxa" w:w="2088"/>
            <w:vAlign w:val="center"/>
            <w:shd w:fill="E8EEF5"/>
            <w:tcMar>
              <w:top w:w="65" w:type="dxa"/>
              <w:start w:w="120" w:type="dxa"/>
              <w:bottom w:w="65" w:type="dxa"/>
              <w:end w:w="120" w:type="dxa"/>
            </w:tcMar>
          </w:tcPr>
          <w:p>
            <w:pPr>
              <w:spacing w:after="0"/>
            </w:pPr>
            <w:r>
              <w:rPr>
                <w:b/>
                <w:color w:val="0B2545"/>
                <w:sz w:val="17"/>
              </w:rPr>
              <w:t>Requirement reference</w:t>
            </w:r>
          </w:p>
        </w:tc>
        <w:tc>
          <w:tcPr>
            <w:tcW w:type="dxa" w:w="7272"/>
            <w:vAlign w:val="center"/>
            <w:tcMar>
              <w:top w:w="65" w:type="dxa"/>
              <w:start w:w="120" w:type="dxa"/>
              <w:bottom w:w="65" w:type="dxa"/>
              <w:end w:w="120" w:type="dxa"/>
            </w:tcMar>
          </w:tcPr>
          <w:p>
            <w:pPr>
              <w:spacing w:after="0"/>
            </w:pPr>
            <w:r>
              <w:rPr>
                <w:sz w:val="17"/>
              </w:rPr>
              <w:t>GOV-007, FR-018, FR-021</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Objective</w:t>
            </w:r>
          </w:p>
        </w:tc>
        <w:tc>
          <w:tcPr>
            <w:tcW w:type="dxa" w:w="7272"/>
            <w:vAlign w:val="center"/>
            <w:tcMar>
              <w:top w:w="65" w:type="dxa"/>
              <w:start w:w="120" w:type="dxa"/>
              <w:bottom w:w="65" w:type="dxa"/>
              <w:end w:w="120" w:type="dxa"/>
            </w:tcMar>
          </w:tcPr>
          <w:p>
            <w:pPr>
              <w:spacing w:after="0"/>
            </w:pPr>
            <w:r>
              <w:rPr>
                <w:sz w:val="17"/>
              </w:rPr>
              <w:t>Prove evidence-required actions cannot rely on an unresolvable or incomplete synthetic reference.</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Preconditions</w:t>
            </w:r>
          </w:p>
        </w:tc>
        <w:tc>
          <w:tcPr>
            <w:tcW w:type="dxa" w:w="7272"/>
            <w:vAlign w:val="center"/>
            <w:tcMar>
              <w:top w:w="65" w:type="dxa"/>
              <w:start w:w="120" w:type="dxa"/>
              <w:bottom w:w="65" w:type="dxa"/>
              <w:end w:w="120" w:type="dxa"/>
            </w:tcMar>
          </w:tcPr>
          <w:p>
            <w:pPr>
              <w:spacing w:after="0"/>
            </w:pPr>
            <w:r>
              <w:rPr>
                <w:sz w:val="17"/>
              </w:rPr>
              <w:t>Frozen evidence metadata catalogue and resolver/check rule; valid and broken synthetic references.</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Priority</w:t>
            </w:r>
          </w:p>
        </w:tc>
        <w:tc>
          <w:tcPr>
            <w:tcW w:type="dxa" w:w="7272"/>
            <w:vAlign w:val="center"/>
            <w:tcMar>
              <w:top w:w="65" w:type="dxa"/>
              <w:start w:w="120" w:type="dxa"/>
              <w:bottom w:w="65" w:type="dxa"/>
              <w:end w:w="120" w:type="dxa"/>
            </w:tcMar>
          </w:tcPr>
          <w:p>
            <w:pPr>
              <w:spacing w:after="0"/>
            </w:pPr>
            <w:r>
              <w:rPr>
                <w:sz w:val="17"/>
              </w:rPr>
              <w:t>High</w:t>
            </w:r>
          </w:p>
        </w:tc>
      </w:tr>
      <w:tr>
        <w:trPr>
          <w:cantSplit/>
        </w:trPr>
        <w:tc>
          <w:tcPr>
            <w:tcW w:type="dxa" w:w="2088"/>
            <w:vAlign w:val="center"/>
            <w:shd w:fill="E8EEF5"/>
            <w:tcMar>
              <w:top w:w="65" w:type="dxa"/>
              <w:start w:w="120" w:type="dxa"/>
              <w:bottom w:w="65" w:type="dxa"/>
              <w:end w:w="120" w:type="dxa"/>
            </w:tcMar>
          </w:tcPr>
          <w:p>
            <w:pPr>
              <w:spacing w:after="0"/>
            </w:pPr>
            <w:r>
              <w:rPr>
                <w:b/>
                <w:color w:val="0B2545"/>
                <w:sz w:val="17"/>
              </w:rPr>
              <w:t>Automation suitability</w:t>
            </w:r>
          </w:p>
        </w:tc>
        <w:tc>
          <w:tcPr>
            <w:tcW w:type="dxa" w:w="7272"/>
            <w:vAlign w:val="center"/>
            <w:tcMar>
              <w:top w:w="65" w:type="dxa"/>
              <w:start w:w="120" w:type="dxa"/>
              <w:bottom w:w="65" w:type="dxa"/>
              <w:end w:w="120" w:type="dxa"/>
            </w:tcMar>
          </w:tcPr>
          <w:p>
            <w:pPr>
              <w:spacing w:after="0"/>
            </w:pPr>
            <w:r>
              <w:rPr>
                <w:sz w:val="17"/>
              </w:rPr>
              <w:t>Medium - automated metadata validation plus manual resolution check.</w:t>
            </w:r>
          </w:p>
        </w:tc>
      </w:tr>
    </w:tbl>
    <w:p>
      <w:pPr>
        <w:keepNext/>
        <w:spacing w:before="100" w:after="40"/>
      </w:pPr>
      <w:r>
        <w:rPr>
          <w:b/>
          <w:color w:val="1F4D78"/>
        </w:rPr>
        <w:t>Test steps</w:t>
      </w:r>
    </w:p>
    <w:p>
      <w:pPr>
        <w:spacing w:after="40"/>
        <w:ind w:left="720" w:hanging="360"/>
      </w:pPr>
      <w:r>
        <w:rPr>
          <w:sz w:val="19"/>
        </w:rPr>
        <w:t>1.  Submit an evidence-required action with missing metadata.</w:t>
      </w:r>
    </w:p>
    <w:p>
      <w:pPr>
        <w:spacing w:after="40"/>
        <w:ind w:left="720" w:hanging="360"/>
      </w:pPr>
      <w:r>
        <w:rPr>
          <w:sz w:val="19"/>
        </w:rPr>
        <w:t>2.  Submit one with a syntactically valid but broken reference.</w:t>
      </w:r>
    </w:p>
    <w:p>
      <w:pPr>
        <w:spacing w:after="40"/>
        <w:ind w:left="720" w:hanging="360"/>
      </w:pPr>
      <w:r>
        <w:rPr>
          <w:sz w:val="19"/>
        </w:rPr>
        <w:t>3.  Submit one valid synthetic reference.</w:t>
      </w:r>
    </w:p>
    <w:p>
      <w:pPr>
        <w:spacing w:after="40"/>
        <w:ind w:left="720" w:hanging="360"/>
      </w:pPr>
      <w:r>
        <w:rPr>
          <w:sz w:val="19"/>
        </w:rPr>
        <w:t>4.  Inspect action acceptance, warning/block behavior, and audit record.</w:t>
      </w:r>
    </w:p>
    <w:p>
      <w:pPr>
        <w:spacing w:before="60" w:after="40"/>
      </w:pPr>
      <w:r>
        <w:rPr>
          <w:b/>
          <w:color w:val="1F4D78"/>
        </w:rPr>
        <w:t xml:space="preserve">Expected result. </w:t>
      </w:r>
      <w:r>
        <w:t>Missing or broken references are flagged and block the action where policy requires. Valid evidence records type, reference, source/actor, and recorded time without storing confidential content.</w:t>
      </w:r>
    </w:p>
    <w:p>
      <w:pPr>
        <w:spacing w:after="160"/>
      </w:pPr>
      <w:r>
        <w:rPr>
          <w:b/>
          <w:color w:val="1F4D78"/>
        </w:rPr>
        <w:t xml:space="preserve">Evidence required. </w:t>
      </w:r>
      <w:r>
        <w:t>Evidence catalogue; negative/positive attempts; resolution output; action/audit records; selected screenshot.</w:t>
      </w:r>
    </w:p>
    <w:p>
      <w:pPr>
        <w:pStyle w:val="Heading1"/>
      </w:pPr>
      <w:r>
        <w:t>12. Final implementation classifications</w:t>
      </w:r>
    </w:p>
    <w:p>
      <w:pPr>
        <w:pStyle w:val="Heading2"/>
      </w:pPr>
      <w:r>
        <w:t>A. Prioritised MVP test pack</w:t>
      </w:r>
    </w:p>
    <w:tbl>
      <w:tblPr>
        <w:tblStyle w:val="TableGrid"/>
        <w:tblW w:type="dxa" w:w="9360"/>
        <w:jc w:val="center"/>
        <w:tblLayout w:type="fixed"/>
        <w:tblLook w:firstColumn="1" w:firstRow="1" w:lastColumn="0" w:lastRow="0" w:noHBand="0" w:noVBand="1" w:val="04A0"/>
        <w:tblInd w:w="120" w:type="dxa"/>
      </w:tblPr>
      <w:tblGrid>
        <w:gridCol w:w="1728"/>
        <w:gridCol w:w="3096"/>
        <w:gridCol w:w="4536"/>
      </w:tblGrid>
      <w:tr>
        <w:trPr>
          <w:tblHeader w:val="true"/>
          <w:cantSplit/>
        </w:trPr>
        <w:tc>
          <w:tcPr>
            <w:tcW w:type="dxa" w:w="1728"/>
            <w:shd w:fill="F2F4F7"/>
            <w:tcMar>
              <w:top w:w="80" w:type="dxa"/>
              <w:start w:w="120" w:type="dxa"/>
              <w:bottom w:w="80" w:type="dxa"/>
              <w:end w:w="120" w:type="dxa"/>
            </w:tcMar>
            <w:vAlign w:val="center"/>
          </w:tcPr>
          <w:p>
            <w:pPr>
              <w:spacing w:after="0"/>
              <w:jc w:val="center"/>
            </w:pPr>
            <w:r>
              <w:rPr>
                <w:b/>
                <w:color w:val="0B2545"/>
                <w:sz w:val="17"/>
              </w:rPr>
              <w:t>Pack order</w:t>
            </w:r>
          </w:p>
        </w:tc>
        <w:tc>
          <w:tcPr>
            <w:tcW w:type="dxa" w:w="3096"/>
            <w:shd w:fill="F2F4F7"/>
            <w:tcMar>
              <w:top w:w="80" w:type="dxa"/>
              <w:start w:w="120" w:type="dxa"/>
              <w:bottom w:w="80" w:type="dxa"/>
              <w:end w:w="120" w:type="dxa"/>
            </w:tcMar>
            <w:vAlign w:val="center"/>
          </w:tcPr>
          <w:p>
            <w:pPr>
              <w:spacing w:after="0"/>
              <w:jc w:val="center"/>
            </w:pPr>
            <w:r>
              <w:rPr>
                <w:b/>
                <w:color w:val="0B2545"/>
                <w:sz w:val="17"/>
              </w:rPr>
              <w:t>Tests</w:t>
            </w:r>
          </w:p>
        </w:tc>
        <w:tc>
          <w:tcPr>
            <w:tcW w:type="dxa" w:w="4536"/>
            <w:shd w:fill="F2F4F7"/>
            <w:tcMar>
              <w:top w:w="80" w:type="dxa"/>
              <w:start w:w="120" w:type="dxa"/>
              <w:bottom w:w="80" w:type="dxa"/>
              <w:end w:w="120" w:type="dxa"/>
            </w:tcMar>
            <w:vAlign w:val="center"/>
          </w:tcPr>
          <w:p>
            <w:pPr>
              <w:spacing w:after="0"/>
              <w:jc w:val="center"/>
            </w:pPr>
            <w:r>
              <w:rPr>
                <w:b/>
                <w:color w:val="0B2545"/>
                <w:sz w:val="17"/>
              </w:rPr>
              <w:t>Gate purpose</w:t>
            </w:r>
          </w:p>
        </w:tc>
      </w:tr>
      <w:tr>
        <w:trPr>
          <w:cantSplit/>
        </w:trPr>
        <w:tc>
          <w:tcPr>
            <w:tcW w:type="dxa" w:w="1728"/>
            <w:tcMar>
              <w:top w:w="80" w:type="dxa"/>
              <w:start w:w="120" w:type="dxa"/>
              <w:bottom w:w="80" w:type="dxa"/>
              <w:end w:w="120" w:type="dxa"/>
            </w:tcMar>
            <w:vAlign w:val="center"/>
          </w:tcPr>
          <w:p>
            <w:pPr>
              <w:spacing w:after="0"/>
              <w:jc w:val="center"/>
            </w:pPr>
            <w:r>
              <w:rPr>
                <w:sz w:val="17"/>
              </w:rPr>
              <w:t>1 - Release blockers</w:t>
            </w:r>
          </w:p>
        </w:tc>
        <w:tc>
          <w:tcPr>
            <w:tcW w:type="dxa" w:w="3096"/>
            <w:tcMar>
              <w:top w:w="80" w:type="dxa"/>
              <w:start w:w="120" w:type="dxa"/>
              <w:bottom w:w="80" w:type="dxa"/>
              <w:end w:w="120" w:type="dxa"/>
            </w:tcMar>
            <w:vAlign w:val="center"/>
          </w:tcPr>
          <w:p>
            <w:pPr>
              <w:spacing w:after="0"/>
              <w:jc w:val="left"/>
            </w:pPr>
            <w:r>
              <w:rPr>
                <w:sz w:val="17"/>
              </w:rPr>
              <w:t>TS-001 to TS-005, TS-014 to TS-016</w:t>
            </w:r>
          </w:p>
        </w:tc>
        <w:tc>
          <w:tcPr>
            <w:tcW w:type="dxa" w:w="4536"/>
            <w:tcMar>
              <w:top w:w="80" w:type="dxa"/>
              <w:start w:w="120" w:type="dxa"/>
              <w:bottom w:w="80" w:type="dxa"/>
              <w:end w:w="120" w:type="dxa"/>
            </w:tcMar>
            <w:vAlign w:val="center"/>
          </w:tcPr>
          <w:p>
            <w:pPr>
              <w:spacing w:after="0"/>
              <w:jc w:val="left"/>
            </w:pPr>
            <w:r>
              <w:rPr>
                <w:sz w:val="17"/>
              </w:rPr>
              <w:t>Protect keys, references, dates, quantities, repeatability, validation gate, and atomic publication.</w:t>
            </w:r>
          </w:p>
        </w:tc>
      </w:tr>
      <w:tr>
        <w:trPr>
          <w:cantSplit/>
        </w:trPr>
        <w:tc>
          <w:tcPr>
            <w:tcW w:type="dxa" w:w="1728"/>
            <w:tcMar>
              <w:top w:w="80" w:type="dxa"/>
              <w:start w:w="120" w:type="dxa"/>
              <w:bottom w:w="80" w:type="dxa"/>
              <w:end w:w="120" w:type="dxa"/>
            </w:tcMar>
            <w:vAlign w:val="center"/>
          </w:tcPr>
          <w:p>
            <w:pPr>
              <w:spacing w:after="0"/>
              <w:jc w:val="center"/>
            </w:pPr>
            <w:r>
              <w:rPr>
                <w:sz w:val="17"/>
              </w:rPr>
              <w:t>2 - Risk correctness</w:t>
            </w:r>
          </w:p>
        </w:tc>
        <w:tc>
          <w:tcPr>
            <w:tcW w:type="dxa" w:w="3096"/>
            <w:tcMar>
              <w:top w:w="80" w:type="dxa"/>
              <w:start w:w="120" w:type="dxa"/>
              <w:bottom w:w="80" w:type="dxa"/>
              <w:end w:w="120" w:type="dxa"/>
            </w:tcMar>
            <w:vAlign w:val="center"/>
          </w:tcPr>
          <w:p>
            <w:pPr>
              <w:spacing w:after="0"/>
              <w:jc w:val="left"/>
            </w:pPr>
            <w:r>
              <w:rPr>
                <w:sz w:val="17"/>
              </w:rPr>
              <w:t>TS-006 to TS-012</w:t>
            </w:r>
          </w:p>
        </w:tc>
        <w:tc>
          <w:tcPr>
            <w:tcW w:type="dxa" w:w="4536"/>
            <w:tcMar>
              <w:top w:w="80" w:type="dxa"/>
              <w:start w:w="120" w:type="dxa"/>
              <w:bottom w:w="80" w:type="dxa"/>
              <w:end w:w="120" w:type="dxa"/>
            </w:tcMar>
            <w:vAlign w:val="center"/>
          </w:tcPr>
          <w:p>
            <w:pPr>
              <w:spacing w:after="0"/>
              <w:jc w:val="left"/>
            </w:pPr>
            <w:r>
              <w:rPr>
                <w:sz w:val="17"/>
              </w:rPr>
              <w:t>Prove eligibility, partial/full receipt, delay, stockout, missing-signal, and severity behavior.</w:t>
            </w:r>
          </w:p>
        </w:tc>
      </w:tr>
      <w:tr>
        <w:trPr>
          <w:cantSplit/>
        </w:trPr>
        <w:tc>
          <w:tcPr>
            <w:tcW w:type="dxa" w:w="1728"/>
            <w:tcMar>
              <w:top w:w="80" w:type="dxa"/>
              <w:start w:w="120" w:type="dxa"/>
              <w:bottom w:w="80" w:type="dxa"/>
              <w:end w:w="120" w:type="dxa"/>
            </w:tcMar>
            <w:vAlign w:val="center"/>
          </w:tcPr>
          <w:p>
            <w:pPr>
              <w:spacing w:after="0"/>
              <w:jc w:val="center"/>
            </w:pPr>
            <w:r>
              <w:rPr>
                <w:sz w:val="17"/>
              </w:rPr>
              <w:t>3 - Operational control</w:t>
            </w:r>
          </w:p>
        </w:tc>
        <w:tc>
          <w:tcPr>
            <w:tcW w:type="dxa" w:w="3096"/>
            <w:tcMar>
              <w:top w:w="80" w:type="dxa"/>
              <w:start w:w="120" w:type="dxa"/>
              <w:bottom w:w="80" w:type="dxa"/>
              <w:end w:w="120" w:type="dxa"/>
            </w:tcMar>
            <w:vAlign w:val="center"/>
          </w:tcPr>
          <w:p>
            <w:pPr>
              <w:spacing w:after="0"/>
              <w:jc w:val="left"/>
            </w:pPr>
            <w:r>
              <w:rPr>
                <w:sz w:val="17"/>
              </w:rPr>
              <w:t>TS-013, TS-018 to TS-030, TS-035/036</w:t>
            </w:r>
          </w:p>
        </w:tc>
        <w:tc>
          <w:tcPr>
            <w:tcW w:type="dxa" w:w="4536"/>
            <w:tcMar>
              <w:top w:w="80" w:type="dxa"/>
              <w:start w:w="120" w:type="dxa"/>
              <w:bottom w:w="80" w:type="dxa"/>
              <w:end w:w="120" w:type="dxa"/>
            </w:tcMar>
            <w:vAlign w:val="center"/>
          </w:tcPr>
          <w:p>
            <w:pPr>
              <w:spacing w:after="0"/>
              <w:jc w:val="left"/>
            </w:pPr>
            <w:r>
              <w:rPr>
                <w:sz w:val="17"/>
              </w:rPr>
              <w:t>Prove one episode, ownership, SLA, transitions, evidence, approval, audit, suppression, and reopen.</w:t>
            </w:r>
          </w:p>
        </w:tc>
      </w:tr>
      <w:tr>
        <w:trPr>
          <w:cantSplit/>
        </w:trPr>
        <w:tc>
          <w:tcPr>
            <w:tcW w:type="dxa" w:w="1728"/>
            <w:tcMar>
              <w:top w:w="80" w:type="dxa"/>
              <w:start w:w="120" w:type="dxa"/>
              <w:bottom w:w="80" w:type="dxa"/>
              <w:end w:w="120" w:type="dxa"/>
            </w:tcMar>
            <w:vAlign w:val="center"/>
          </w:tcPr>
          <w:p>
            <w:pPr>
              <w:spacing w:after="0"/>
              <w:jc w:val="center"/>
            </w:pPr>
            <w:r>
              <w:rPr>
                <w:sz w:val="17"/>
              </w:rPr>
              <w:t>4 - Management assurance</w:t>
            </w:r>
          </w:p>
        </w:tc>
        <w:tc>
          <w:tcPr>
            <w:tcW w:type="dxa" w:w="3096"/>
            <w:tcMar>
              <w:top w:w="80" w:type="dxa"/>
              <w:start w:w="120" w:type="dxa"/>
              <w:bottom w:w="80" w:type="dxa"/>
              <w:end w:w="120" w:type="dxa"/>
            </w:tcMar>
            <w:vAlign w:val="center"/>
          </w:tcPr>
          <w:p>
            <w:pPr>
              <w:spacing w:after="0"/>
              <w:jc w:val="left"/>
            </w:pPr>
            <w:r>
              <w:rPr>
                <w:sz w:val="17"/>
              </w:rPr>
              <w:t>TS-017, TS-031, TS-032</w:t>
            </w:r>
          </w:p>
        </w:tc>
        <w:tc>
          <w:tcPr>
            <w:tcW w:type="dxa" w:w="4536"/>
            <w:tcMar>
              <w:top w:w="80" w:type="dxa"/>
              <w:start w:w="120" w:type="dxa"/>
              <w:bottom w:w="80" w:type="dxa"/>
              <w:end w:w="120" w:type="dxa"/>
            </w:tcMar>
            <w:vAlign w:val="center"/>
          </w:tcPr>
          <w:p>
            <w:pPr>
              <w:spacing w:after="0"/>
              <w:jc w:val="left"/>
            </w:pPr>
            <w:r>
              <w:rPr>
                <w:sz w:val="17"/>
              </w:rPr>
              <w:t>Prove latest-success, failure visibility, and database/report reconciliation.</w:t>
            </w:r>
          </w:p>
        </w:tc>
      </w:tr>
      <w:tr>
        <w:trPr>
          <w:cantSplit/>
        </w:trPr>
        <w:tc>
          <w:tcPr>
            <w:tcW w:type="dxa" w:w="1728"/>
            <w:tcMar>
              <w:top w:w="80" w:type="dxa"/>
              <w:start w:w="120" w:type="dxa"/>
              <w:bottom w:w="80" w:type="dxa"/>
              <w:end w:w="120" w:type="dxa"/>
            </w:tcMar>
            <w:vAlign w:val="center"/>
          </w:tcPr>
          <w:p>
            <w:pPr>
              <w:spacing w:after="0"/>
              <w:jc w:val="center"/>
            </w:pPr>
            <w:r>
              <w:rPr>
                <w:sz w:val="17"/>
              </w:rPr>
              <w:t>5 - Non-functional</w:t>
            </w:r>
          </w:p>
        </w:tc>
        <w:tc>
          <w:tcPr>
            <w:tcW w:type="dxa" w:w="3096"/>
            <w:tcMar>
              <w:top w:w="80" w:type="dxa"/>
              <w:start w:w="120" w:type="dxa"/>
              <w:bottom w:w="80" w:type="dxa"/>
              <w:end w:w="120" w:type="dxa"/>
            </w:tcMar>
            <w:vAlign w:val="center"/>
          </w:tcPr>
          <w:p>
            <w:pPr>
              <w:spacing w:after="0"/>
              <w:jc w:val="left"/>
            </w:pPr>
            <w:r>
              <w:rPr>
                <w:sz w:val="17"/>
              </w:rPr>
              <w:t>TS-033, TS-034</w:t>
            </w:r>
          </w:p>
        </w:tc>
        <w:tc>
          <w:tcPr>
            <w:tcW w:type="dxa" w:w="4536"/>
            <w:tcMar>
              <w:top w:w="80" w:type="dxa"/>
              <w:start w:w="120" w:type="dxa"/>
              <w:bottom w:w="80" w:type="dxa"/>
              <w:end w:w="120" w:type="dxa"/>
            </w:tcMar>
            <w:vAlign w:val="center"/>
          </w:tcPr>
          <w:p>
            <w:pPr>
              <w:spacing w:after="0"/>
              <w:jc w:val="left"/>
            </w:pPr>
            <w:r>
              <w:rPr>
                <w:sz w:val="17"/>
              </w:rPr>
              <w:t>Prove batch capacity and operational responsiveness under a controlled protocol.</w:t>
            </w:r>
          </w:p>
        </w:tc>
      </w:tr>
    </w:tbl>
    <w:p>
      <w:pPr>
        <w:spacing w:after="0"/>
      </w:pPr>
    </w:p>
    <w:p>
      <w:pPr>
        <w:pStyle w:val="Heading3"/>
      </w:pPr>
      <w:r>
        <w:t>Recommended smoke pack for every change</w:t>
      </w:r>
    </w:p>
    <w:p>
      <w:pPr>
        <w:pStyle w:val="ListBullet"/>
      </w:pPr>
      <w:r>
        <w:t>TS-001 duplicate key gate</w:t>
      </w:r>
    </w:p>
    <w:p>
      <w:pPr>
        <w:pStyle w:val="ListBullet"/>
      </w:pPr>
      <w:r>
        <w:t>TS-008 overdue rule</w:t>
      </w:r>
    </w:p>
    <w:p>
      <w:pPr>
        <w:pStyle w:val="ListBullet"/>
      </w:pPr>
      <w:r>
        <w:t>TS-009 stockout rule</w:t>
      </w:r>
    </w:p>
    <w:p>
      <w:pPr>
        <w:pStyle w:val="ListBullet"/>
      </w:pPr>
      <w:r>
        <w:t>TS-012 severity boundaries</w:t>
      </w:r>
    </w:p>
    <w:p>
      <w:pPr>
        <w:pStyle w:val="ListBullet"/>
      </w:pPr>
      <w:r>
        <w:t>TS-013 duplicate exception prevention</w:t>
      </w:r>
    </w:p>
    <w:p>
      <w:pPr>
        <w:pStyle w:val="ListBullet"/>
      </w:pPr>
      <w:r>
        <w:t>TS-022 prohibited transition</w:t>
      </w:r>
    </w:p>
    <w:p>
      <w:pPr>
        <w:pStyle w:val="ListBullet"/>
      </w:pPr>
      <w:r>
        <w:t>TS-024 missing resolution evidence</w:t>
      </w:r>
    </w:p>
    <w:p>
      <w:pPr>
        <w:pStyle w:val="ListBullet"/>
      </w:pPr>
      <w:r>
        <w:t>TS-026 suppression without approval</w:t>
      </w:r>
    </w:p>
    <w:p>
      <w:pPr>
        <w:pStyle w:val="ListBullet"/>
      </w:pPr>
      <w:r>
        <w:t>TS-029 audit preservation</w:t>
      </w:r>
    </w:p>
    <w:p>
      <w:pPr>
        <w:pStyle w:val="ListBullet"/>
      </w:pPr>
      <w:r>
        <w:t>TS-032 failed-run reporting boundary</w:t>
      </w:r>
    </w:p>
    <w:p>
      <w:pPr>
        <w:pStyle w:val="Heading2"/>
      </w:pPr>
      <w:r>
        <w:t>B. Tests that should be automated in Python</w:t>
      </w:r>
    </w:p>
    <w:p>
      <w:r>
        <w:t>Automation is recommended for repeatable assertions; this strategy does not prescribe implementation code.</w:t>
      </w:r>
    </w:p>
    <w:p>
      <w:pPr>
        <w:pStyle w:val="ListBullet"/>
      </w:pPr>
      <w:r>
        <w:t>All data-quality fixtures and control-total checks: TS-001 to TS-005, TS-011.</w:t>
      </w:r>
    </w:p>
    <w:p>
      <w:pPr>
        <w:pStyle w:val="ListBullet"/>
      </w:pPr>
      <w:r>
        <w:t>Eligibility, date/quantity, delay, stockout, score, contribution, severity, and rule-version boundaries: TS-006 to TS-012.</w:t>
      </w:r>
    </w:p>
    <w:p>
      <w:pPr>
        <w:pStyle w:val="ListBullet"/>
      </w:pPr>
      <w:r>
        <w:t>Run identity, normalized repeatability, deduplication, pipeline failure injection, atomic publication, and recovery: TS-013 to TS-016.</w:t>
      </w:r>
    </w:p>
    <w:p>
      <w:pPr>
        <w:pStyle w:val="ListBullet"/>
      </w:pPr>
      <w:r>
        <w:t>Ownership mapping, unassigned behavior, SLA calculations/escalation, exhaustive transition pairs, mandatory-field guards, approvals, expiry, and reopen: TS-018 to TS-030 and TS-035/036, after policies are frozen.</w:t>
      </w:r>
    </w:p>
    <w:p>
      <w:pPr>
        <w:pStyle w:val="ListBullet"/>
      </w:pPr>
      <w:r>
        <w:t>Database-side/report-extract reconciliation and latest-success assertions: TS-017, TS-031/032.</w:t>
      </w:r>
    </w:p>
    <w:p>
      <w:pPr>
        <w:pStyle w:val="ListBullet"/>
      </w:pPr>
      <w:r>
        <w:t>Performance measurement and percentile calculation: TS-033/034, while preserving the raw observations.</w:t>
      </w:r>
    </w:p>
    <w:p>
      <w:pPr>
        <w:pStyle w:val="Heading2"/>
      </w:pPr>
      <w:r>
        <w:t>C. Tests that require manual evidence</w:t>
      </w:r>
    </w:p>
    <w:p>
      <w:pPr>
        <w:pStyle w:val="ListBullet"/>
      </w:pPr>
      <w:r>
        <w:t>Role simulation and visible permission behavior for assignment, closure, suppression, and self-approval: TS-019, TS-022, TS-025 to TS-027.</w:t>
      </w:r>
    </w:p>
    <w:p>
      <w:pPr>
        <w:pStyle w:val="ListBullet"/>
      </w:pPr>
      <w:r>
        <w:t>Audit-view chronology/export and evidence-reference usability: TS-023/024, TS-029/030, TS-036.</w:t>
      </w:r>
    </w:p>
    <w:p>
      <w:pPr>
        <w:pStyle w:val="ListBullet"/>
      </w:pPr>
      <w:r>
        <w:t>Power BI visual, filter, freshness, failed-run, target-label, and denominator review: TS-017, TS-031/032.</w:t>
      </w:r>
    </w:p>
    <w:p>
      <w:pPr>
        <w:pStyle w:val="ListBullet"/>
      </w:pPr>
      <w:r>
        <w:t>UAT task scripts for buyer, planner, manager, administrator, and audit reviewer, including a timed screening protocol and qualitative feedback.</w:t>
      </w:r>
    </w:p>
    <w:p>
      <w:pPr>
        <w:pStyle w:val="ListBullet"/>
      </w:pPr>
      <w:r>
        <w:t>Public repository content/secret/synthetic-data review and proposed-target versus measured-result labelling.</w:t>
      </w:r>
    </w:p>
    <w:p>
      <w:pPr>
        <w:pStyle w:val="ListBullet"/>
      </w:pPr>
      <w:r>
        <w:t>Independent review of the golden episode, missed-event analysis, KPI definitions, evidence index, and final acceptance report.</w:t>
      </w:r>
    </w:p>
    <w:p>
      <w:pPr>
        <w:pStyle w:val="Heading2"/>
      </w:pPr>
      <w:r>
        <w:t>D. Tests that must wait until lifecycle design is frozen</w:t>
      </w:r>
    </w:p>
    <w:p>
      <w:r>
        <w:t>Test cases may be designed now, but objective execution must wait for the named oracle/policy.</w:t>
      </w:r>
    </w:p>
    <w:tbl>
      <w:tblPr>
        <w:tblStyle w:val="TableGrid"/>
        <w:tblW w:type="dxa" w:w="9360"/>
        <w:jc w:val="center"/>
        <w:tblLayout w:type="fixed"/>
        <w:tblLook w:firstColumn="1" w:firstRow="1" w:lastColumn="0" w:lastRow="0" w:noHBand="0" w:noVBand="1" w:val="04A0"/>
        <w:tblInd w:w="120" w:type="dxa"/>
      </w:tblPr>
      <w:tblGrid>
        <w:gridCol w:w="2304"/>
        <w:gridCol w:w="7056"/>
      </w:tblGrid>
      <w:tr>
        <w:trPr>
          <w:tblHeader w:val="true"/>
          <w:cantSplit/>
        </w:trPr>
        <w:tc>
          <w:tcPr>
            <w:tcW w:type="dxa" w:w="2304"/>
            <w:shd w:fill="F2F4F7"/>
            <w:tcMar>
              <w:top w:w="80" w:type="dxa"/>
              <w:start w:w="120" w:type="dxa"/>
              <w:bottom w:w="80" w:type="dxa"/>
              <w:end w:w="120" w:type="dxa"/>
            </w:tcMar>
            <w:vAlign w:val="center"/>
          </w:tcPr>
          <w:p>
            <w:pPr>
              <w:spacing w:after="0"/>
              <w:jc w:val="center"/>
            </w:pPr>
            <w:r>
              <w:rPr>
                <w:b/>
                <w:color w:val="0B2545"/>
                <w:sz w:val="17"/>
              </w:rPr>
              <w:t>Blocked tests</w:t>
            </w:r>
          </w:p>
        </w:tc>
        <w:tc>
          <w:tcPr>
            <w:tcW w:type="dxa" w:w="7056"/>
            <w:shd w:fill="F2F4F7"/>
            <w:tcMar>
              <w:top w:w="80" w:type="dxa"/>
              <w:start w:w="120" w:type="dxa"/>
              <w:bottom w:w="80" w:type="dxa"/>
              <w:end w:w="120" w:type="dxa"/>
            </w:tcMar>
            <w:vAlign w:val="center"/>
          </w:tcPr>
          <w:p>
            <w:pPr>
              <w:spacing w:after="0"/>
              <w:jc w:val="center"/>
            </w:pPr>
            <w:r>
              <w:rPr>
                <w:b/>
                <w:color w:val="0B2545"/>
                <w:sz w:val="17"/>
              </w:rPr>
              <w:t>Required frozen decision</w:t>
            </w:r>
          </w:p>
        </w:tc>
      </w:tr>
      <w:tr>
        <w:trPr>
          <w:cantSplit/>
        </w:trPr>
        <w:tc>
          <w:tcPr>
            <w:tcW w:type="dxa" w:w="2304"/>
            <w:tcMar>
              <w:top w:w="80" w:type="dxa"/>
              <w:start w:w="120" w:type="dxa"/>
              <w:bottom w:w="80" w:type="dxa"/>
              <w:end w:w="120" w:type="dxa"/>
            </w:tcMar>
            <w:vAlign w:val="center"/>
          </w:tcPr>
          <w:p>
            <w:pPr>
              <w:spacing w:after="0"/>
              <w:jc w:val="left"/>
            </w:pPr>
            <w:r>
              <w:rPr>
                <w:sz w:val="17"/>
              </w:rPr>
              <w:t>TS-006/007</w:t>
            </w:r>
          </w:p>
        </w:tc>
        <w:tc>
          <w:tcPr>
            <w:tcW w:type="dxa" w:w="7056"/>
            <w:tcMar>
              <w:top w:w="80" w:type="dxa"/>
              <w:start w:w="120" w:type="dxa"/>
              <w:bottom w:w="80" w:type="dxa"/>
              <w:end w:w="120" w:type="dxa"/>
            </w:tcMar>
            <w:vAlign w:val="center"/>
          </w:tcPr>
          <w:p>
            <w:pPr>
              <w:spacing w:after="0"/>
              <w:jc w:val="left"/>
            </w:pPr>
            <w:r>
              <w:rPr>
                <w:sz w:val="17"/>
              </w:rPr>
              <w:t>DL-004 partial receipt, correction/reversal, tolerance, and objective full-receipt route.</w:t>
            </w:r>
          </w:p>
        </w:tc>
      </w:tr>
      <w:tr>
        <w:trPr>
          <w:cantSplit/>
        </w:trPr>
        <w:tc>
          <w:tcPr>
            <w:tcW w:type="dxa" w:w="2304"/>
            <w:tcMar>
              <w:top w:w="80" w:type="dxa"/>
              <w:start w:w="120" w:type="dxa"/>
              <w:bottom w:w="80" w:type="dxa"/>
              <w:end w:w="120" w:type="dxa"/>
            </w:tcMar>
            <w:vAlign w:val="center"/>
          </w:tcPr>
          <w:p>
            <w:pPr>
              <w:spacing w:after="0"/>
              <w:jc w:val="left"/>
            </w:pPr>
            <w:r>
              <w:rPr>
                <w:sz w:val="17"/>
              </w:rPr>
              <w:t>TS-008</w:t>
            </w:r>
          </w:p>
        </w:tc>
        <w:tc>
          <w:tcPr>
            <w:tcW w:type="dxa" w:w="7056"/>
            <w:tcMar>
              <w:top w:w="80" w:type="dxa"/>
              <w:start w:w="120" w:type="dxa"/>
              <w:bottom w:w="80" w:type="dxa"/>
              <w:end w:w="120" w:type="dxa"/>
            </w:tcMar>
            <w:vAlign w:val="center"/>
          </w:tcPr>
          <w:p>
            <w:pPr>
              <w:spacing w:after="0"/>
              <w:jc w:val="left"/>
            </w:pPr>
            <w:r>
              <w:rPr>
                <w:sz w:val="17"/>
              </w:rPr>
              <w:t>DL-003 date hierarchy and exact overdue boundary.</w:t>
            </w:r>
          </w:p>
        </w:tc>
      </w:tr>
      <w:tr>
        <w:trPr>
          <w:cantSplit/>
        </w:trPr>
        <w:tc>
          <w:tcPr>
            <w:tcW w:type="dxa" w:w="2304"/>
            <w:tcMar>
              <w:top w:w="80" w:type="dxa"/>
              <w:start w:w="120" w:type="dxa"/>
              <w:bottom w:w="80" w:type="dxa"/>
              <w:end w:w="120" w:type="dxa"/>
            </w:tcMar>
            <w:vAlign w:val="center"/>
          </w:tcPr>
          <w:p>
            <w:pPr>
              <w:spacing w:after="0"/>
              <w:jc w:val="left"/>
            </w:pPr>
            <w:r>
              <w:rPr>
                <w:sz w:val="17"/>
              </w:rPr>
              <w:t>TS-009/010</w:t>
            </w:r>
          </w:p>
        </w:tc>
        <w:tc>
          <w:tcPr>
            <w:tcW w:type="dxa" w:w="7056"/>
            <w:tcMar>
              <w:top w:w="80" w:type="dxa"/>
              <w:start w:w="120" w:type="dxa"/>
              <w:bottom w:w="80" w:type="dxa"/>
              <w:end w:w="120" w:type="dxa"/>
            </w:tcMar>
            <w:vAlign w:val="center"/>
          </w:tcPr>
          <w:p>
            <w:pPr>
              <w:spacing w:after="0"/>
              <w:jc w:val="left"/>
            </w:pPr>
            <w:r>
              <w:rPr>
                <w:sz w:val="17"/>
              </w:rPr>
              <w:t>DL-005 projected balance, horizon, safety stock, allocations, substitutions, and missing demand.</w:t>
            </w:r>
          </w:p>
        </w:tc>
      </w:tr>
      <w:tr>
        <w:trPr>
          <w:cantSplit/>
        </w:trPr>
        <w:tc>
          <w:tcPr>
            <w:tcW w:type="dxa" w:w="2304"/>
            <w:tcMar>
              <w:top w:w="80" w:type="dxa"/>
              <w:start w:w="120" w:type="dxa"/>
              <w:bottom w:w="80" w:type="dxa"/>
              <w:end w:w="120" w:type="dxa"/>
            </w:tcMar>
            <w:vAlign w:val="center"/>
          </w:tcPr>
          <w:p>
            <w:pPr>
              <w:spacing w:after="0"/>
              <w:jc w:val="left"/>
            </w:pPr>
            <w:r>
              <w:rPr>
                <w:sz w:val="17"/>
              </w:rPr>
              <w:t>TS-011</w:t>
            </w:r>
          </w:p>
        </w:tc>
        <w:tc>
          <w:tcPr>
            <w:tcW w:type="dxa" w:w="7056"/>
            <w:tcMar>
              <w:top w:w="80" w:type="dxa"/>
              <w:start w:w="120" w:type="dxa"/>
              <w:bottom w:w="80" w:type="dxa"/>
              <w:end w:w="120" w:type="dxa"/>
            </w:tcMar>
            <w:vAlign w:val="center"/>
          </w:tcPr>
          <w:p>
            <w:pPr>
              <w:spacing w:after="0"/>
              <w:jc w:val="left"/>
            </w:pPr>
            <w:r>
              <w:rPr>
                <w:sz w:val="17"/>
              </w:rPr>
              <w:t>DL-007 OTIF window, tolerance, minimum history, and partial/cancellation treatment.</w:t>
            </w:r>
          </w:p>
        </w:tc>
      </w:tr>
      <w:tr>
        <w:trPr>
          <w:cantSplit/>
        </w:trPr>
        <w:tc>
          <w:tcPr>
            <w:tcW w:type="dxa" w:w="2304"/>
            <w:tcMar>
              <w:top w:w="80" w:type="dxa"/>
              <w:start w:w="120" w:type="dxa"/>
              <w:bottom w:w="80" w:type="dxa"/>
              <w:end w:w="120" w:type="dxa"/>
            </w:tcMar>
            <w:vAlign w:val="center"/>
          </w:tcPr>
          <w:p>
            <w:pPr>
              <w:spacing w:after="0"/>
              <w:jc w:val="left"/>
            </w:pPr>
            <w:r>
              <w:rPr>
                <w:sz w:val="17"/>
              </w:rPr>
              <w:t>TS-013</w:t>
            </w:r>
          </w:p>
        </w:tc>
        <w:tc>
          <w:tcPr>
            <w:tcW w:type="dxa" w:w="7056"/>
            <w:tcMar>
              <w:top w:w="80" w:type="dxa"/>
              <w:start w:w="120" w:type="dxa"/>
              <w:bottom w:w="80" w:type="dxa"/>
              <w:end w:w="120" w:type="dxa"/>
            </w:tcMar>
            <w:vAlign w:val="center"/>
          </w:tcPr>
          <w:p>
            <w:pPr>
              <w:spacing w:after="0"/>
              <w:jc w:val="left"/>
            </w:pPr>
            <w:r>
              <w:rPr>
                <w:sz w:val="17"/>
              </w:rPr>
              <w:t>DL-002 episode/deduplication key plus RULE-013 cooldown/open/reopen thresholds and concurrency scope.</w:t>
            </w:r>
          </w:p>
        </w:tc>
      </w:tr>
      <w:tr>
        <w:trPr>
          <w:cantSplit/>
        </w:trPr>
        <w:tc>
          <w:tcPr>
            <w:tcW w:type="dxa" w:w="2304"/>
            <w:tcMar>
              <w:top w:w="80" w:type="dxa"/>
              <w:start w:w="120" w:type="dxa"/>
              <w:bottom w:w="80" w:type="dxa"/>
              <w:end w:w="120" w:type="dxa"/>
            </w:tcMar>
            <w:vAlign w:val="center"/>
          </w:tcPr>
          <w:p>
            <w:pPr>
              <w:spacing w:after="0"/>
              <w:jc w:val="left"/>
            </w:pPr>
            <w:r>
              <w:rPr>
                <w:sz w:val="17"/>
              </w:rPr>
              <w:t>TS-018/019</w:t>
            </w:r>
          </w:p>
        </w:tc>
        <w:tc>
          <w:tcPr>
            <w:tcW w:type="dxa" w:w="7056"/>
            <w:tcMar>
              <w:top w:w="80" w:type="dxa"/>
              <w:start w:w="120" w:type="dxa"/>
              <w:bottom w:w="80" w:type="dxa"/>
              <w:end w:w="120" w:type="dxa"/>
            </w:tcMar>
            <w:vAlign w:val="center"/>
          </w:tcPr>
          <w:p>
            <w:pPr>
              <w:spacing w:after="0"/>
              <w:jc w:val="left"/>
            </w:pPr>
            <w:r>
              <w:rPr>
                <w:sz w:val="17"/>
              </w:rPr>
              <w:t>DL-011 ownership precedence, mapping failures, and unassigned handling.</w:t>
            </w:r>
          </w:p>
        </w:tc>
      </w:tr>
      <w:tr>
        <w:trPr>
          <w:cantSplit/>
        </w:trPr>
        <w:tc>
          <w:tcPr>
            <w:tcW w:type="dxa" w:w="2304"/>
            <w:tcMar>
              <w:top w:w="80" w:type="dxa"/>
              <w:start w:w="120" w:type="dxa"/>
              <w:bottom w:w="80" w:type="dxa"/>
              <w:end w:w="120" w:type="dxa"/>
            </w:tcMar>
            <w:vAlign w:val="center"/>
          </w:tcPr>
          <w:p>
            <w:pPr>
              <w:spacing w:after="0"/>
              <w:jc w:val="left"/>
            </w:pPr>
            <w:r>
              <w:rPr>
                <w:sz w:val="17"/>
              </w:rPr>
              <w:t>TS-020/021/035</w:t>
            </w:r>
          </w:p>
        </w:tc>
        <w:tc>
          <w:tcPr>
            <w:tcW w:type="dxa" w:w="7056"/>
            <w:tcMar>
              <w:top w:w="80" w:type="dxa"/>
              <w:start w:w="120" w:type="dxa"/>
              <w:bottom w:w="80" w:type="dxa"/>
              <w:end w:w="120" w:type="dxa"/>
            </w:tcMar>
            <w:vAlign w:val="center"/>
          </w:tcPr>
          <w:p>
            <w:pPr>
              <w:spacing w:after="0"/>
              <w:jc w:val="left"/>
            </w:pPr>
            <w:r>
              <w:rPr>
                <w:sz w:val="17"/>
              </w:rPr>
              <w:t>DL-013 business calendar, inclusive breach boundary, pause/reset/reassignment behavior, and DST policy.</w:t>
            </w:r>
          </w:p>
        </w:tc>
      </w:tr>
      <w:tr>
        <w:trPr>
          <w:cantSplit/>
        </w:trPr>
        <w:tc>
          <w:tcPr>
            <w:tcW w:type="dxa" w:w="2304"/>
            <w:tcMar>
              <w:top w:w="80" w:type="dxa"/>
              <w:start w:w="120" w:type="dxa"/>
              <w:bottom w:w="80" w:type="dxa"/>
              <w:end w:w="120" w:type="dxa"/>
            </w:tcMar>
            <w:vAlign w:val="center"/>
          </w:tcPr>
          <w:p>
            <w:pPr>
              <w:spacing w:after="0"/>
              <w:jc w:val="left"/>
            </w:pPr>
            <w:r>
              <w:rPr>
                <w:sz w:val="17"/>
              </w:rPr>
              <w:t>TS-022/023/025</w:t>
            </w:r>
          </w:p>
        </w:tc>
        <w:tc>
          <w:tcPr>
            <w:tcW w:type="dxa" w:w="7056"/>
            <w:tcMar>
              <w:top w:w="80" w:type="dxa"/>
              <w:start w:w="120" w:type="dxa"/>
              <w:bottom w:w="80" w:type="dxa"/>
              <w:end w:w="120" w:type="dxa"/>
            </w:tcMar>
            <w:vAlign w:val="center"/>
          </w:tcPr>
          <w:p>
            <w:pPr>
              <w:spacing w:after="0"/>
              <w:jc w:val="left"/>
            </w:pPr>
            <w:r>
              <w:rPr>
                <w:sz w:val="17"/>
              </w:rPr>
              <w:t>DL-012 complete state matrix, especially Reopened outgoing transition, plus authority/mandatory-field rules.</w:t>
            </w:r>
          </w:p>
        </w:tc>
      </w:tr>
      <w:tr>
        <w:trPr>
          <w:cantSplit/>
        </w:trPr>
        <w:tc>
          <w:tcPr>
            <w:tcW w:type="dxa" w:w="2304"/>
            <w:tcMar>
              <w:top w:w="80" w:type="dxa"/>
              <w:start w:w="120" w:type="dxa"/>
              <w:bottom w:w="80" w:type="dxa"/>
              <w:end w:w="120" w:type="dxa"/>
            </w:tcMar>
            <w:vAlign w:val="center"/>
          </w:tcPr>
          <w:p>
            <w:pPr>
              <w:spacing w:after="0"/>
              <w:jc w:val="left"/>
            </w:pPr>
            <w:r>
              <w:rPr>
                <w:sz w:val="17"/>
              </w:rPr>
              <w:t>TS-024/036</w:t>
            </w:r>
          </w:p>
        </w:tc>
        <w:tc>
          <w:tcPr>
            <w:tcW w:type="dxa" w:w="7056"/>
            <w:tcMar>
              <w:top w:w="80" w:type="dxa"/>
              <w:start w:w="120" w:type="dxa"/>
              <w:bottom w:w="80" w:type="dxa"/>
              <w:end w:w="120" w:type="dxa"/>
            </w:tcMar>
            <w:vAlign w:val="center"/>
          </w:tcPr>
          <w:p>
            <w:pPr>
              <w:spacing w:after="0"/>
              <w:jc w:val="left"/>
            </w:pPr>
            <w:r>
              <w:rPr>
                <w:sz w:val="17"/>
              </w:rPr>
              <w:t>DL-015 resolution codes and evidence catalogue, including objective versus judgement routes.</w:t>
            </w:r>
          </w:p>
        </w:tc>
      </w:tr>
      <w:tr>
        <w:trPr>
          <w:cantSplit/>
        </w:trPr>
        <w:tc>
          <w:tcPr>
            <w:tcW w:type="dxa" w:w="2304"/>
            <w:tcMar>
              <w:top w:w="80" w:type="dxa"/>
              <w:start w:w="120" w:type="dxa"/>
              <w:bottom w:w="80" w:type="dxa"/>
              <w:end w:w="120" w:type="dxa"/>
            </w:tcMar>
            <w:vAlign w:val="center"/>
          </w:tcPr>
          <w:p>
            <w:pPr>
              <w:spacing w:after="0"/>
              <w:jc w:val="left"/>
            </w:pPr>
            <w:r>
              <w:rPr>
                <w:sz w:val="17"/>
              </w:rPr>
              <w:t>TS-026 to TS-028</w:t>
            </w:r>
          </w:p>
        </w:tc>
        <w:tc>
          <w:tcPr>
            <w:tcW w:type="dxa" w:w="7056"/>
            <w:tcMar>
              <w:top w:w="80" w:type="dxa"/>
              <w:start w:w="120" w:type="dxa"/>
              <w:bottom w:w="80" w:type="dxa"/>
              <w:end w:w="120" w:type="dxa"/>
            </w:tcMar>
            <w:vAlign w:val="center"/>
          </w:tcPr>
          <w:p>
            <w:pPr>
              <w:spacing w:after="0"/>
              <w:jc w:val="left"/>
            </w:pPr>
            <w:r>
              <w:rPr>
                <w:sz w:val="17"/>
              </w:rPr>
              <w:t>DL-014 approval matrix and expiry/conditional-approval behavior.</w:t>
            </w:r>
          </w:p>
        </w:tc>
      </w:tr>
      <w:tr>
        <w:trPr>
          <w:cantSplit/>
        </w:trPr>
        <w:tc>
          <w:tcPr>
            <w:tcW w:type="dxa" w:w="2304"/>
            <w:tcMar>
              <w:top w:w="80" w:type="dxa"/>
              <w:start w:w="120" w:type="dxa"/>
              <w:bottom w:w="80" w:type="dxa"/>
              <w:end w:w="120" w:type="dxa"/>
            </w:tcMar>
            <w:vAlign w:val="center"/>
          </w:tcPr>
          <w:p>
            <w:pPr>
              <w:spacing w:after="0"/>
              <w:jc w:val="left"/>
            </w:pPr>
            <w:r>
              <w:rPr>
                <w:sz w:val="17"/>
              </w:rPr>
              <w:t>TS-030</w:t>
            </w:r>
          </w:p>
        </w:tc>
        <w:tc>
          <w:tcPr>
            <w:tcW w:type="dxa" w:w="7056"/>
            <w:tcMar>
              <w:top w:w="80" w:type="dxa"/>
              <w:start w:w="120" w:type="dxa"/>
              <w:bottom w:w="80" w:type="dxa"/>
              <w:end w:w="120" w:type="dxa"/>
            </w:tcMar>
            <w:vAlign w:val="center"/>
          </w:tcPr>
          <w:p>
            <w:pPr>
              <w:spacing w:after="0"/>
              <w:jc w:val="left"/>
            </w:pPr>
            <w:r>
              <w:rPr>
                <w:sz w:val="17"/>
              </w:rPr>
              <w:t>DL-012/DL-013 suppression expiry, material deterioration, target active state, episode identity, and SLA reset.</w:t>
            </w:r>
          </w:p>
        </w:tc>
      </w:tr>
    </w:tbl>
    <w:p>
      <w:pPr>
        <w:spacing w:after="0"/>
      </w:pPr>
    </w:p>
    <w:p>
      <w:pPr>
        <w:pStyle w:val="Heading1"/>
      </w:pPr>
      <w:r>
        <w:t>13. Critical gaps or contradictions in the Charter/BRS</w:t>
      </w:r>
    </w:p>
    <w:tbl>
      <w:tblPr>
        <w:tblStyle w:val="TableGrid"/>
        <w:tblW w:type="dxa" w:w="9360"/>
        <w:jc w:val="center"/>
        <w:tblLayout w:type="fixed"/>
        <w:tblLook w:firstColumn="1" w:firstRow="1" w:lastColumn="0" w:lastRow="0" w:noHBand="0" w:noVBand="1" w:val="04A0"/>
        <w:tblInd w:w="120" w:type="dxa"/>
      </w:tblPr>
      <w:tblGrid>
        <w:gridCol w:w="864"/>
        <w:gridCol w:w="1944"/>
        <w:gridCol w:w="4104"/>
        <w:gridCol w:w="2448"/>
      </w:tblGrid>
      <w:tr>
        <w:trPr>
          <w:tblHeader w:val="true"/>
          <w:cantSplit/>
        </w:trPr>
        <w:tc>
          <w:tcPr>
            <w:tcW w:type="dxa" w:w="864"/>
            <w:shd w:fill="F2F4F7"/>
            <w:tcMar>
              <w:top w:w="80" w:type="dxa"/>
              <w:start w:w="120" w:type="dxa"/>
              <w:bottom w:w="80" w:type="dxa"/>
              <w:end w:w="120" w:type="dxa"/>
            </w:tcMar>
            <w:vAlign w:val="center"/>
          </w:tcPr>
          <w:p>
            <w:pPr>
              <w:spacing w:after="0"/>
              <w:jc w:val="center"/>
            </w:pPr>
            <w:r>
              <w:rPr>
                <w:b/>
                <w:color w:val="0B2545"/>
                <w:sz w:val="15"/>
              </w:rPr>
              <w:t>ID</w:t>
            </w:r>
          </w:p>
        </w:tc>
        <w:tc>
          <w:tcPr>
            <w:tcW w:type="dxa" w:w="1944"/>
            <w:shd w:fill="F2F4F7"/>
            <w:tcMar>
              <w:top w:w="80" w:type="dxa"/>
              <w:start w:w="120" w:type="dxa"/>
              <w:bottom w:w="80" w:type="dxa"/>
              <w:end w:w="120" w:type="dxa"/>
            </w:tcMar>
            <w:vAlign w:val="center"/>
          </w:tcPr>
          <w:p>
            <w:pPr>
              <w:spacing w:after="0"/>
              <w:jc w:val="center"/>
            </w:pPr>
            <w:r>
              <w:rPr>
                <w:b/>
                <w:color w:val="0B2545"/>
                <w:sz w:val="15"/>
              </w:rPr>
              <w:t>Issue</w:t>
            </w:r>
          </w:p>
        </w:tc>
        <w:tc>
          <w:tcPr>
            <w:tcW w:type="dxa" w:w="4104"/>
            <w:shd w:fill="F2F4F7"/>
            <w:tcMar>
              <w:top w:w="80" w:type="dxa"/>
              <w:start w:w="120" w:type="dxa"/>
              <w:bottom w:w="80" w:type="dxa"/>
              <w:end w:w="120" w:type="dxa"/>
            </w:tcMar>
            <w:vAlign w:val="center"/>
          </w:tcPr>
          <w:p>
            <w:pPr>
              <w:spacing w:after="0"/>
              <w:jc w:val="center"/>
            </w:pPr>
            <w:r>
              <w:rPr>
                <w:b/>
                <w:color w:val="0B2545"/>
                <w:sz w:val="15"/>
              </w:rPr>
              <w:t>Analysis</w:t>
            </w:r>
          </w:p>
        </w:tc>
        <w:tc>
          <w:tcPr>
            <w:tcW w:type="dxa" w:w="2448"/>
            <w:shd w:fill="F2F4F7"/>
            <w:tcMar>
              <w:top w:w="80" w:type="dxa"/>
              <w:start w:w="120" w:type="dxa"/>
              <w:bottom w:w="80" w:type="dxa"/>
              <w:end w:w="120" w:type="dxa"/>
            </w:tcMar>
            <w:vAlign w:val="center"/>
          </w:tcPr>
          <w:p>
            <w:pPr>
              <w:spacing w:after="0"/>
              <w:jc w:val="center"/>
            </w:pPr>
            <w:r>
              <w:rPr>
                <w:b/>
                <w:color w:val="0B2545"/>
                <w:sz w:val="15"/>
              </w:rPr>
              <w:t>Required resolution</w:t>
            </w:r>
          </w:p>
        </w:tc>
      </w:tr>
      <w:tr>
        <w:trPr>
          <w:cantSplit/>
        </w:trPr>
        <w:tc>
          <w:tcPr>
            <w:tcW w:type="dxa" w:w="864"/>
            <w:tcMar>
              <w:top w:w="80" w:type="dxa"/>
              <w:start w:w="120" w:type="dxa"/>
              <w:bottom w:w="80" w:type="dxa"/>
              <w:end w:w="120" w:type="dxa"/>
            </w:tcMar>
            <w:vAlign w:val="center"/>
          </w:tcPr>
          <w:p>
            <w:pPr>
              <w:spacing w:after="0"/>
              <w:jc w:val="center"/>
            </w:pPr>
            <w:r>
              <w:rPr>
                <w:sz w:val="15"/>
              </w:rPr>
              <w:t>GAP-01</w:t>
            </w:r>
          </w:p>
        </w:tc>
        <w:tc>
          <w:tcPr>
            <w:tcW w:type="dxa" w:w="1944"/>
            <w:tcMar>
              <w:top w:w="80" w:type="dxa"/>
              <w:start w:w="120" w:type="dxa"/>
              <w:bottom w:w="80" w:type="dxa"/>
              <w:end w:w="120" w:type="dxa"/>
            </w:tcMar>
            <w:vAlign w:val="center"/>
          </w:tcPr>
          <w:p>
            <w:pPr>
              <w:spacing w:after="0"/>
              <w:jc w:val="left"/>
            </w:pPr>
            <w:r>
              <w:rPr>
                <w:sz w:val="15"/>
              </w:rPr>
              <w:t>Document approval status is inconsistent</w:t>
            </w:r>
          </w:p>
        </w:tc>
        <w:tc>
          <w:tcPr>
            <w:tcW w:type="dxa" w:w="4104"/>
            <w:tcMar>
              <w:top w:w="80" w:type="dxa"/>
              <w:start w:w="120" w:type="dxa"/>
              <w:bottom w:w="80" w:type="dxa"/>
              <w:end w:w="120" w:type="dxa"/>
            </w:tcMar>
            <w:vAlign w:val="center"/>
          </w:tcPr>
          <w:p>
            <w:pPr>
              <w:spacing w:after="0"/>
              <w:jc w:val="left"/>
            </w:pPr>
            <w:r>
              <w:rPr>
                <w:sz w:val="15"/>
              </w:rPr>
              <w:t>The user treats both documents as governing, while the Charter cover says proposed and the BRS says proposed for approval. Appendix C acknowledges the discrepancy.</w:t>
            </w:r>
          </w:p>
        </w:tc>
        <w:tc>
          <w:tcPr>
            <w:tcW w:type="dxa" w:w="2448"/>
            <w:tcMar>
              <w:top w:w="80" w:type="dxa"/>
              <w:start w:w="120" w:type="dxa"/>
              <w:bottom w:w="80" w:type="dxa"/>
              <w:end w:w="120" w:type="dxa"/>
            </w:tcMar>
            <w:vAlign w:val="center"/>
          </w:tcPr>
          <w:p>
            <w:pPr>
              <w:spacing w:after="0"/>
              <w:jc w:val="left"/>
            </w:pPr>
            <w:r>
              <w:rPr>
                <w:sz w:val="15"/>
              </w:rPr>
              <w:t>Record a formal baseline-approval decision and immutable version identifiers before P0 exit.</w:t>
            </w:r>
          </w:p>
        </w:tc>
      </w:tr>
      <w:tr>
        <w:trPr>
          <w:cantSplit/>
        </w:trPr>
        <w:tc>
          <w:tcPr>
            <w:tcW w:type="dxa" w:w="864"/>
            <w:tcMar>
              <w:top w:w="80" w:type="dxa"/>
              <w:start w:w="120" w:type="dxa"/>
              <w:bottom w:w="80" w:type="dxa"/>
              <w:end w:w="120" w:type="dxa"/>
            </w:tcMar>
            <w:vAlign w:val="center"/>
          </w:tcPr>
          <w:p>
            <w:pPr>
              <w:spacing w:after="0"/>
              <w:jc w:val="center"/>
            </w:pPr>
            <w:r>
              <w:rPr>
                <w:sz w:val="15"/>
              </w:rPr>
              <w:t>GAP-02</w:t>
            </w:r>
          </w:p>
        </w:tc>
        <w:tc>
          <w:tcPr>
            <w:tcW w:type="dxa" w:w="1944"/>
            <w:tcMar>
              <w:top w:w="80" w:type="dxa"/>
              <w:start w:w="120" w:type="dxa"/>
              <w:bottom w:w="80" w:type="dxa"/>
              <w:end w:w="120" w:type="dxa"/>
            </w:tcMar>
            <w:vAlign w:val="center"/>
          </w:tcPr>
          <w:p>
            <w:pPr>
              <w:spacing w:after="0"/>
              <w:jc w:val="left"/>
            </w:pPr>
            <w:r>
              <w:rPr>
                <w:sz w:val="15"/>
              </w:rPr>
              <w:t>Reopened is incomplete as an operational state</w:t>
            </w:r>
          </w:p>
        </w:tc>
        <w:tc>
          <w:tcPr>
            <w:tcW w:type="dxa" w:w="4104"/>
            <w:tcMar>
              <w:top w:w="80" w:type="dxa"/>
              <w:start w:w="120" w:type="dxa"/>
              <w:bottom w:w="80" w:type="dxa"/>
              <w:end w:w="120" w:type="dxa"/>
            </w:tcMar>
            <w:vAlign w:val="center"/>
          </w:tcPr>
          <w:p>
            <w:pPr>
              <w:spacing w:after="0"/>
              <w:jc w:val="left"/>
            </w:pPr>
            <w:r>
              <w:rPr>
                <w:sz w:val="15"/>
              </w:rPr>
              <w:t>The BRS includes Reopened as a state/transition target but defines no outgoing transition to Assigned, Investigating, or another active state. The state machine cannot complete reopened work objectively.</w:t>
            </w:r>
          </w:p>
        </w:tc>
        <w:tc>
          <w:tcPr>
            <w:tcW w:type="dxa" w:w="2448"/>
            <w:tcMar>
              <w:top w:w="80" w:type="dxa"/>
              <w:start w:w="120" w:type="dxa"/>
              <w:bottom w:w="80" w:type="dxa"/>
              <w:end w:w="120" w:type="dxa"/>
            </w:tcMar>
            <w:vAlign w:val="center"/>
          </w:tcPr>
          <w:p>
            <w:pPr>
              <w:spacing w:after="0"/>
              <w:jc w:val="left"/>
            </w:pPr>
            <w:r>
              <w:rPr>
                <w:sz w:val="15"/>
              </w:rPr>
              <w:t>Freeze whether reopen is an event that returns to a named active state or a temporary state with explicit outgoing routes.</w:t>
            </w:r>
          </w:p>
        </w:tc>
      </w:tr>
      <w:tr>
        <w:trPr>
          <w:cantSplit/>
        </w:trPr>
        <w:tc>
          <w:tcPr>
            <w:tcW w:type="dxa" w:w="864"/>
            <w:tcMar>
              <w:top w:w="80" w:type="dxa"/>
              <w:start w:w="120" w:type="dxa"/>
              <w:bottom w:w="80" w:type="dxa"/>
              <w:end w:w="120" w:type="dxa"/>
            </w:tcMar>
            <w:vAlign w:val="center"/>
          </w:tcPr>
          <w:p>
            <w:pPr>
              <w:spacing w:after="0"/>
              <w:jc w:val="center"/>
            </w:pPr>
            <w:r>
              <w:rPr>
                <w:sz w:val="15"/>
              </w:rPr>
              <w:t>GAP-03</w:t>
            </w:r>
          </w:p>
        </w:tc>
        <w:tc>
          <w:tcPr>
            <w:tcW w:type="dxa" w:w="1944"/>
            <w:tcMar>
              <w:top w:w="80" w:type="dxa"/>
              <w:start w:w="120" w:type="dxa"/>
              <w:bottom w:w="80" w:type="dxa"/>
              <w:end w:w="120" w:type="dxa"/>
            </w:tcMar>
            <w:vAlign w:val="center"/>
          </w:tcPr>
          <w:p>
            <w:pPr>
              <w:spacing w:after="0"/>
              <w:jc w:val="left"/>
            </w:pPr>
            <w:r>
              <w:rPr>
                <w:sz w:val="15"/>
              </w:rPr>
              <w:t>Persistent ID versus linked episode is ambiguous</w:t>
            </w:r>
          </w:p>
        </w:tc>
        <w:tc>
          <w:tcPr>
            <w:tcW w:type="dxa" w:w="4104"/>
            <w:tcMar>
              <w:top w:w="80" w:type="dxa"/>
              <w:start w:w="120" w:type="dxa"/>
              <w:bottom w:w="80" w:type="dxa"/>
              <w:end w:w="120" w:type="dxa"/>
            </w:tcMar>
            <w:vAlign w:val="center"/>
          </w:tcPr>
          <w:p>
            <w:pPr>
              <w:spacing w:after="0"/>
              <w:jc w:val="left"/>
            </w:pPr>
            <w:r>
              <w:rPr>
                <w:sz w:val="15"/>
              </w:rPr>
              <w:t>FR-011 requires one stable exception ID for a continuous episode, but post-closure deterioration may produce a linked reopened episode/state. FR-023/LIF-010 do not settle same ID versus new linked ID.</w:t>
            </w:r>
          </w:p>
        </w:tc>
        <w:tc>
          <w:tcPr>
            <w:tcW w:type="dxa" w:w="2448"/>
            <w:tcMar>
              <w:top w:w="80" w:type="dxa"/>
              <w:start w:w="120" w:type="dxa"/>
              <w:bottom w:w="80" w:type="dxa"/>
              <w:end w:w="120" w:type="dxa"/>
            </w:tcMar>
            <w:vAlign w:val="center"/>
          </w:tcPr>
          <w:p>
            <w:pPr>
              <w:spacing w:after="0"/>
              <w:jc w:val="left"/>
            </w:pPr>
            <w:r>
              <w:rPr>
                <w:sz w:val="15"/>
              </w:rPr>
              <w:t>DL-002 must define episode termination, recurrence, ID reuse, and linkage before constraints/tests.</w:t>
            </w:r>
          </w:p>
        </w:tc>
      </w:tr>
      <w:tr>
        <w:trPr>
          <w:cantSplit/>
        </w:trPr>
        <w:tc>
          <w:tcPr>
            <w:tcW w:type="dxa" w:w="864"/>
            <w:tcMar>
              <w:top w:w="80" w:type="dxa"/>
              <w:start w:w="120" w:type="dxa"/>
              <w:bottom w:w="80" w:type="dxa"/>
              <w:end w:w="120" w:type="dxa"/>
            </w:tcMar>
            <w:vAlign w:val="center"/>
          </w:tcPr>
          <w:p>
            <w:pPr>
              <w:spacing w:after="0"/>
              <w:jc w:val="center"/>
            </w:pPr>
            <w:r>
              <w:rPr>
                <w:sz w:val="15"/>
              </w:rPr>
              <w:t>GAP-04</w:t>
            </w:r>
          </w:p>
        </w:tc>
        <w:tc>
          <w:tcPr>
            <w:tcW w:type="dxa" w:w="1944"/>
            <w:tcMar>
              <w:top w:w="80" w:type="dxa"/>
              <w:start w:w="120" w:type="dxa"/>
              <w:bottom w:w="80" w:type="dxa"/>
              <w:end w:w="120" w:type="dxa"/>
            </w:tcMar>
            <w:vAlign w:val="center"/>
          </w:tcPr>
          <w:p>
            <w:pPr>
              <w:spacing w:after="0"/>
              <w:jc w:val="left"/>
            </w:pPr>
            <w:r>
              <w:rPr>
                <w:sz w:val="15"/>
              </w:rPr>
              <w:t>Candidate, Suppressed, and duplicate semantics overlap</w:t>
            </w:r>
          </w:p>
        </w:tc>
        <w:tc>
          <w:tcPr>
            <w:tcW w:type="dxa" w:w="4104"/>
            <w:tcMar>
              <w:top w:w="80" w:type="dxa"/>
              <w:start w:w="120" w:type="dxa"/>
              <w:bottom w:w="80" w:type="dxa"/>
              <w:end w:w="120" w:type="dxa"/>
            </w:tcMar>
            <w:vAlign w:val="center"/>
          </w:tcPr>
          <w:p>
            <w:pPr>
              <w:spacing w:after="0"/>
              <w:jc w:val="left"/>
            </w:pPr>
            <w:r>
              <w:rPr>
                <w:sz w:val="15"/>
              </w:rPr>
              <w:t>Candidate is analytical, yet Candidate-to-Suppressed appears in the matrix; automatic duplicate suppression also overlaps FR-012 prevention of duplicate active exceptions. It is unclear whether the suppressed object is a candidate disposition or exception state.</w:t>
            </w:r>
          </w:p>
        </w:tc>
        <w:tc>
          <w:tcPr>
            <w:tcW w:type="dxa" w:w="2448"/>
            <w:tcMar>
              <w:top w:w="80" w:type="dxa"/>
              <w:start w:w="120" w:type="dxa"/>
              <w:bottom w:w="80" w:type="dxa"/>
              <w:end w:w="120" w:type="dxa"/>
            </w:tcMar>
            <w:vAlign w:val="center"/>
          </w:tcPr>
          <w:p>
            <w:pPr>
              <w:spacing w:after="0"/>
              <w:jc w:val="left"/>
            </w:pPr>
            <w:r>
              <w:rPr>
                <w:sz w:val="15"/>
              </w:rPr>
              <w:t>Separate candidate disposition from exception lifecycle status and define exact duplicate/cooldown behavior.</w:t>
            </w:r>
          </w:p>
        </w:tc>
      </w:tr>
      <w:tr>
        <w:trPr>
          <w:cantSplit/>
        </w:trPr>
        <w:tc>
          <w:tcPr>
            <w:tcW w:type="dxa" w:w="864"/>
            <w:tcMar>
              <w:top w:w="80" w:type="dxa"/>
              <w:start w:w="120" w:type="dxa"/>
              <w:bottom w:w="80" w:type="dxa"/>
              <w:end w:w="120" w:type="dxa"/>
            </w:tcMar>
            <w:vAlign w:val="center"/>
          </w:tcPr>
          <w:p>
            <w:pPr>
              <w:spacing w:after="0"/>
              <w:jc w:val="center"/>
            </w:pPr>
            <w:r>
              <w:rPr>
                <w:sz w:val="15"/>
              </w:rPr>
              <w:t>GAP-05</w:t>
            </w:r>
          </w:p>
        </w:tc>
        <w:tc>
          <w:tcPr>
            <w:tcW w:type="dxa" w:w="1944"/>
            <w:tcMar>
              <w:top w:w="80" w:type="dxa"/>
              <w:start w:w="120" w:type="dxa"/>
              <w:bottom w:w="80" w:type="dxa"/>
              <w:end w:w="120" w:type="dxa"/>
            </w:tcMar>
            <w:vAlign w:val="center"/>
          </w:tcPr>
          <w:p>
            <w:pPr>
              <w:spacing w:after="0"/>
              <w:jc w:val="left"/>
            </w:pPr>
            <w:r>
              <w:rPr>
                <w:sz w:val="15"/>
              </w:rPr>
              <w:t>Partial receipt and date hierarchy remain high-risk open questions</w:t>
            </w:r>
          </w:p>
        </w:tc>
        <w:tc>
          <w:tcPr>
            <w:tcW w:type="dxa" w:w="4104"/>
            <w:tcMar>
              <w:top w:w="80" w:type="dxa"/>
              <w:start w:w="120" w:type="dxa"/>
              <w:bottom w:w="80" w:type="dxa"/>
              <w:end w:w="120" w:type="dxa"/>
            </w:tcMar>
            <w:vAlign w:val="center"/>
          </w:tcPr>
          <w:p>
            <w:pPr>
              <w:spacing w:after="0"/>
              <w:jc w:val="left"/>
            </w:pPr>
            <w:r>
              <w:rPr>
                <w:sz w:val="15"/>
              </w:rPr>
              <w:t>RULE-003/014 and LIF-007 depend on residual quantity, corrected/reversed receipts, and authoritative dates, but Q03/Q04 remain open.</w:t>
            </w:r>
          </w:p>
        </w:tc>
        <w:tc>
          <w:tcPr>
            <w:tcW w:type="dxa" w:w="2448"/>
            <w:tcMar>
              <w:top w:w="80" w:type="dxa"/>
              <w:start w:w="120" w:type="dxa"/>
              <w:bottom w:w="80" w:type="dxa"/>
              <w:end w:w="120" w:type="dxa"/>
            </w:tcMar>
            <w:vAlign w:val="center"/>
          </w:tcPr>
          <w:p>
            <w:pPr>
              <w:spacing w:after="0"/>
              <w:jc w:val="left"/>
            </w:pPr>
            <w:r>
              <w:rPr>
                <w:sz w:val="15"/>
              </w:rPr>
              <w:t>Freeze DL-003/DL-004 before P1/P2 execution; add correction/reversal cases.</w:t>
            </w:r>
          </w:p>
        </w:tc>
      </w:tr>
      <w:tr>
        <w:trPr>
          <w:cantSplit/>
        </w:trPr>
        <w:tc>
          <w:tcPr>
            <w:tcW w:type="dxa" w:w="864"/>
            <w:tcMar>
              <w:top w:w="80" w:type="dxa"/>
              <w:start w:w="120" w:type="dxa"/>
              <w:bottom w:w="80" w:type="dxa"/>
              <w:end w:w="120" w:type="dxa"/>
            </w:tcMar>
            <w:vAlign w:val="center"/>
          </w:tcPr>
          <w:p>
            <w:pPr>
              <w:spacing w:after="0"/>
              <w:jc w:val="center"/>
            </w:pPr>
            <w:r>
              <w:rPr>
                <w:sz w:val="15"/>
              </w:rPr>
              <w:t>GAP-06</w:t>
            </w:r>
          </w:p>
        </w:tc>
        <w:tc>
          <w:tcPr>
            <w:tcW w:type="dxa" w:w="1944"/>
            <w:tcMar>
              <w:top w:w="80" w:type="dxa"/>
              <w:start w:w="120" w:type="dxa"/>
              <w:bottom w:w="80" w:type="dxa"/>
              <w:end w:w="120" w:type="dxa"/>
            </w:tcMar>
            <w:vAlign w:val="center"/>
          </w:tcPr>
          <w:p>
            <w:pPr>
              <w:spacing w:after="0"/>
              <w:jc w:val="left"/>
            </w:pPr>
            <w:r>
              <w:rPr>
                <w:sz w:val="15"/>
              </w:rPr>
              <w:t>Stockout oracle is not yet testable</w:t>
            </w:r>
          </w:p>
        </w:tc>
        <w:tc>
          <w:tcPr>
            <w:tcW w:type="dxa" w:w="4104"/>
            <w:tcMar>
              <w:top w:w="80" w:type="dxa"/>
              <w:start w:w="120" w:type="dxa"/>
              <w:bottom w:w="80" w:type="dxa"/>
              <w:end w:w="120" w:type="dxa"/>
            </w:tcMar>
            <w:vAlign w:val="center"/>
          </w:tcPr>
          <w:p>
            <w:pPr>
              <w:spacing w:after="0"/>
              <w:jc w:val="left"/>
            </w:pPr>
            <w:r>
              <w:rPr>
                <w:sz w:val="15"/>
              </w:rPr>
              <w:t>The 25-point rule is stated, but demand source, horizon, safety stock, allocations, substitutes, missingness, and exact threshold remain open under Q05.</w:t>
            </w:r>
          </w:p>
        </w:tc>
        <w:tc>
          <w:tcPr>
            <w:tcW w:type="dxa" w:w="2448"/>
            <w:tcMar>
              <w:top w:w="80" w:type="dxa"/>
              <w:start w:w="120" w:type="dxa"/>
              <w:bottom w:w="80" w:type="dxa"/>
              <w:end w:w="120" w:type="dxa"/>
            </w:tcMar>
            <w:vAlign w:val="center"/>
          </w:tcPr>
          <w:p>
            <w:pPr>
              <w:spacing w:after="0"/>
              <w:jc w:val="left"/>
            </w:pPr>
            <w:r>
              <w:rPr>
                <w:sz w:val="15"/>
              </w:rPr>
              <w:t>Approve a hand-calculable projected-balance specification and comparison operator before TS-009/010.</w:t>
            </w:r>
          </w:p>
        </w:tc>
      </w:tr>
      <w:tr>
        <w:trPr>
          <w:cantSplit/>
        </w:trPr>
        <w:tc>
          <w:tcPr>
            <w:tcW w:type="dxa" w:w="864"/>
            <w:tcMar>
              <w:top w:w="80" w:type="dxa"/>
              <w:start w:w="120" w:type="dxa"/>
              <w:bottom w:w="80" w:type="dxa"/>
              <w:end w:w="120" w:type="dxa"/>
            </w:tcMar>
            <w:vAlign w:val="center"/>
          </w:tcPr>
          <w:p>
            <w:pPr>
              <w:spacing w:after="0"/>
              <w:jc w:val="center"/>
            </w:pPr>
            <w:r>
              <w:rPr>
                <w:sz w:val="15"/>
              </w:rPr>
              <w:t>GAP-07</w:t>
            </w:r>
          </w:p>
        </w:tc>
        <w:tc>
          <w:tcPr>
            <w:tcW w:type="dxa" w:w="1944"/>
            <w:tcMar>
              <w:top w:w="80" w:type="dxa"/>
              <w:start w:w="120" w:type="dxa"/>
              <w:bottom w:w="80" w:type="dxa"/>
              <w:end w:w="120" w:type="dxa"/>
            </w:tcMar>
            <w:vAlign w:val="center"/>
          </w:tcPr>
          <w:p>
            <w:pPr>
              <w:spacing w:after="0"/>
              <w:jc w:val="left"/>
            </w:pPr>
            <w:r>
              <w:rPr>
                <w:sz w:val="15"/>
              </w:rPr>
              <w:t>Evidence versus exceptional approval needs a clear hierarchy</w:t>
            </w:r>
          </w:p>
        </w:tc>
        <w:tc>
          <w:tcPr>
            <w:tcW w:type="dxa" w:w="4104"/>
            <w:tcMar>
              <w:top w:w="80" w:type="dxa"/>
              <w:start w:w="120" w:type="dxa"/>
              <w:bottom w:w="80" w:type="dxa"/>
              <w:end w:w="120" w:type="dxa"/>
            </w:tcMar>
            <w:vAlign w:val="center"/>
          </w:tcPr>
          <w:p>
            <w:pPr>
              <w:spacing w:after="0"/>
              <w:jc w:val="left"/>
            </w:pPr>
            <w:r>
              <w:rPr>
                <w:sz w:val="15"/>
              </w:rPr>
              <w:t>FR-021 says all resolution paths reject missing mandatory evidence/approval, while FR-020/SLA-008 permit exceptional closure or accepted residual risk with manager approval. Approval must not become a generic substitute for evidence.</w:t>
            </w:r>
          </w:p>
        </w:tc>
        <w:tc>
          <w:tcPr>
            <w:tcW w:type="dxa" w:w="2448"/>
            <w:tcMar>
              <w:top w:w="80" w:type="dxa"/>
              <w:start w:w="120" w:type="dxa"/>
              <w:bottom w:w="80" w:type="dxa"/>
              <w:end w:w="120" w:type="dxa"/>
            </w:tcMar>
            <w:vAlign w:val="center"/>
          </w:tcPr>
          <w:p>
            <w:pPr>
              <w:spacing w:after="0"/>
              <w:jc w:val="left"/>
            </w:pPr>
            <w:r>
              <w:rPr>
                <w:sz w:val="15"/>
              </w:rPr>
              <w:t>Define mandatory minimum evidence for every route and what approval may exceptionally replace or supplement.</w:t>
            </w:r>
          </w:p>
        </w:tc>
      </w:tr>
      <w:tr>
        <w:trPr>
          <w:cantSplit/>
        </w:trPr>
        <w:tc>
          <w:tcPr>
            <w:tcW w:type="dxa" w:w="864"/>
            <w:tcMar>
              <w:top w:w="80" w:type="dxa"/>
              <w:start w:w="120" w:type="dxa"/>
              <w:bottom w:w="80" w:type="dxa"/>
              <w:end w:w="120" w:type="dxa"/>
            </w:tcMar>
            <w:vAlign w:val="center"/>
          </w:tcPr>
          <w:p>
            <w:pPr>
              <w:spacing w:after="0"/>
              <w:jc w:val="center"/>
            </w:pPr>
            <w:r>
              <w:rPr>
                <w:sz w:val="15"/>
              </w:rPr>
              <w:t>GAP-08</w:t>
            </w:r>
          </w:p>
        </w:tc>
        <w:tc>
          <w:tcPr>
            <w:tcW w:type="dxa" w:w="1944"/>
            <w:tcMar>
              <w:top w:w="80" w:type="dxa"/>
              <w:start w:w="120" w:type="dxa"/>
              <w:bottom w:w="80" w:type="dxa"/>
              <w:end w:w="120" w:type="dxa"/>
            </w:tcMar>
            <w:vAlign w:val="center"/>
          </w:tcPr>
          <w:p>
            <w:pPr>
              <w:spacing w:after="0"/>
              <w:jc w:val="left"/>
            </w:pPr>
            <w:r>
              <w:rPr>
                <w:sz w:val="15"/>
              </w:rPr>
              <w:t>Critical completeness target can be misread</w:t>
            </w:r>
          </w:p>
        </w:tc>
        <w:tc>
          <w:tcPr>
            <w:tcW w:type="dxa" w:w="4104"/>
            <w:tcMar>
              <w:top w:w="80" w:type="dxa"/>
              <w:start w:w="120" w:type="dxa"/>
              <w:bottom w:w="80" w:type="dxa"/>
              <w:end w:w="120" w:type="dxa"/>
            </w:tcMar>
            <w:vAlign w:val="center"/>
          </w:tcPr>
          <w:p>
            <w:pPr>
              <w:spacing w:after="0"/>
              <w:jc w:val="left"/>
            </w:pPr>
            <w:r>
              <w:rPr>
                <w:sz w:val="15"/>
              </w:rPr>
              <w:t>DQ-006 allows accepted critical-field completeness &gt;=99.5%, while FR-003 says injected critical defects stop publication in 100% of cases. This could imply some critical missing fields may be accepted.</w:t>
            </w:r>
          </w:p>
        </w:tc>
        <w:tc>
          <w:tcPr>
            <w:tcW w:type="dxa" w:w="2448"/>
            <w:tcMar>
              <w:top w:w="80" w:type="dxa"/>
              <w:start w:w="120" w:type="dxa"/>
              <w:bottom w:w="80" w:type="dxa"/>
              <w:end w:w="120" w:type="dxa"/>
            </w:tcMar>
            <w:vAlign w:val="center"/>
          </w:tcPr>
          <w:p>
            <w:pPr>
              <w:spacing w:after="0"/>
              <w:jc w:val="left"/>
            </w:pPr>
            <w:r>
              <w:rPr>
                <w:sz w:val="15"/>
              </w:rPr>
              <w:t>Clarify that 99.5% measures incoming/source quality or coverage, while accepted records must meet 100% mandatory critical-field validity.</w:t>
            </w:r>
          </w:p>
        </w:tc>
      </w:tr>
      <w:tr>
        <w:trPr>
          <w:cantSplit/>
        </w:trPr>
        <w:tc>
          <w:tcPr>
            <w:tcW w:type="dxa" w:w="864"/>
            <w:tcMar>
              <w:top w:w="80" w:type="dxa"/>
              <w:start w:w="120" w:type="dxa"/>
              <w:bottom w:w="80" w:type="dxa"/>
              <w:end w:w="120" w:type="dxa"/>
            </w:tcMar>
            <w:vAlign w:val="center"/>
          </w:tcPr>
          <w:p>
            <w:pPr>
              <w:spacing w:after="0"/>
              <w:jc w:val="center"/>
            </w:pPr>
            <w:r>
              <w:rPr>
                <w:sz w:val="15"/>
              </w:rPr>
              <w:t>GAP-09</w:t>
            </w:r>
          </w:p>
        </w:tc>
        <w:tc>
          <w:tcPr>
            <w:tcW w:type="dxa" w:w="1944"/>
            <w:tcMar>
              <w:top w:w="80" w:type="dxa"/>
              <w:start w:w="120" w:type="dxa"/>
              <w:bottom w:w="80" w:type="dxa"/>
              <w:end w:w="120" w:type="dxa"/>
            </w:tcMar>
            <w:vAlign w:val="center"/>
          </w:tcPr>
          <w:p>
            <w:pPr>
              <w:spacing w:after="0"/>
              <w:jc w:val="left"/>
            </w:pPr>
            <w:r>
              <w:rPr>
                <w:sz w:val="15"/>
              </w:rPr>
              <w:t>Repeatability conflicts with unique run metadata unless normalized</w:t>
            </w:r>
          </w:p>
        </w:tc>
        <w:tc>
          <w:tcPr>
            <w:tcW w:type="dxa" w:w="4104"/>
            <w:tcMar>
              <w:top w:w="80" w:type="dxa"/>
              <w:start w:w="120" w:type="dxa"/>
              <w:bottom w:w="80" w:type="dxa"/>
              <w:end w:w="120" w:type="dxa"/>
            </w:tcMar>
            <w:vAlign w:val="center"/>
          </w:tcPr>
          <w:p>
            <w:pPr>
              <w:spacing w:after="0"/>
              <w:jc w:val="left"/>
            </w:pPr>
            <w:r>
              <w:rPr>
                <w:sz w:val="15"/>
              </w:rPr>
              <w:t>NFR-003 requires matching hashes across clean executions, but FR-002 requires unique run IDs and timestamps.</w:t>
            </w:r>
          </w:p>
        </w:tc>
        <w:tc>
          <w:tcPr>
            <w:tcW w:type="dxa" w:w="2448"/>
            <w:tcMar>
              <w:top w:w="80" w:type="dxa"/>
              <w:start w:w="120" w:type="dxa"/>
              <w:bottom w:w="80" w:type="dxa"/>
              <w:end w:w="120" w:type="dxa"/>
            </w:tcMar>
            <w:vAlign w:val="center"/>
          </w:tcPr>
          <w:p>
            <w:pPr>
              <w:spacing w:after="0"/>
              <w:jc w:val="left"/>
            </w:pPr>
            <w:r>
              <w:rPr>
                <w:sz w:val="15"/>
              </w:rPr>
              <w:t>Define canonical business-output hashes that exclude legitimate run identity/timestamp fields; preserve separate lineage hashes.</w:t>
            </w:r>
          </w:p>
        </w:tc>
      </w:tr>
      <w:tr>
        <w:trPr>
          <w:cantSplit/>
        </w:trPr>
        <w:tc>
          <w:tcPr>
            <w:tcW w:type="dxa" w:w="864"/>
            <w:tcMar>
              <w:top w:w="80" w:type="dxa"/>
              <w:start w:w="120" w:type="dxa"/>
              <w:bottom w:w="80" w:type="dxa"/>
              <w:end w:w="120" w:type="dxa"/>
            </w:tcMar>
            <w:vAlign w:val="center"/>
          </w:tcPr>
          <w:p>
            <w:pPr>
              <w:spacing w:after="0"/>
              <w:jc w:val="center"/>
            </w:pPr>
            <w:r>
              <w:rPr>
                <w:sz w:val="15"/>
              </w:rPr>
              <w:t>GAP-10</w:t>
            </w:r>
          </w:p>
        </w:tc>
        <w:tc>
          <w:tcPr>
            <w:tcW w:type="dxa" w:w="1944"/>
            <w:tcMar>
              <w:top w:w="80" w:type="dxa"/>
              <w:start w:w="120" w:type="dxa"/>
              <w:bottom w:w="80" w:type="dxa"/>
              <w:end w:w="120" w:type="dxa"/>
            </w:tcMar>
            <w:vAlign w:val="center"/>
          </w:tcPr>
          <w:p>
            <w:pPr>
              <w:spacing w:after="0"/>
              <w:jc w:val="left"/>
            </w:pPr>
            <w:r>
              <w:rPr>
                <w:sz w:val="15"/>
              </w:rPr>
              <w:t>Thirty runs and &gt;=98% is effectively 100%</w:t>
            </w:r>
          </w:p>
        </w:tc>
        <w:tc>
          <w:tcPr>
            <w:tcW w:type="dxa" w:w="4104"/>
            <w:tcMar>
              <w:top w:w="80" w:type="dxa"/>
              <w:start w:w="120" w:type="dxa"/>
              <w:bottom w:w="80" w:type="dxa"/>
              <w:end w:w="120" w:type="dxa"/>
            </w:tcMar>
            <w:vAlign w:val="center"/>
          </w:tcPr>
          <w:p>
            <w:pPr>
              <w:spacing w:after="0"/>
              <w:jc w:val="left"/>
            </w:pPr>
            <w:r>
              <w:rPr>
                <w:sz w:val="15"/>
              </w:rPr>
              <w:t>With exactly 30 attempts, 29/30 is 96.67%; therefore the first attainable result meeting &gt;=98% is 30/30.</w:t>
            </w:r>
          </w:p>
        </w:tc>
        <w:tc>
          <w:tcPr>
            <w:tcW w:type="dxa" w:w="2448"/>
            <w:tcMar>
              <w:top w:w="80" w:type="dxa"/>
              <w:start w:w="120" w:type="dxa"/>
              <w:bottom w:w="80" w:type="dxa"/>
              <w:end w:w="120" w:type="dxa"/>
            </w:tcMar>
            <w:vAlign w:val="center"/>
          </w:tcPr>
          <w:p>
            <w:pPr>
              <w:spacing w:after="0"/>
              <w:jc w:val="left"/>
            </w:pPr>
            <w:r>
              <w:rPr>
                <w:sz w:val="15"/>
              </w:rPr>
              <w:t>Either accept an effective 30/30 target, increase the trial count, or revise the threshold before P5.</w:t>
            </w:r>
          </w:p>
        </w:tc>
      </w:tr>
      <w:tr>
        <w:trPr>
          <w:cantSplit/>
        </w:trPr>
        <w:tc>
          <w:tcPr>
            <w:tcW w:type="dxa" w:w="864"/>
            <w:tcMar>
              <w:top w:w="80" w:type="dxa"/>
              <w:start w:w="120" w:type="dxa"/>
              <w:bottom w:w="80" w:type="dxa"/>
              <w:end w:w="120" w:type="dxa"/>
            </w:tcMar>
            <w:vAlign w:val="center"/>
          </w:tcPr>
          <w:p>
            <w:pPr>
              <w:spacing w:after="0"/>
              <w:jc w:val="center"/>
            </w:pPr>
            <w:r>
              <w:rPr>
                <w:sz w:val="15"/>
              </w:rPr>
              <w:t>GAP-11</w:t>
            </w:r>
          </w:p>
        </w:tc>
        <w:tc>
          <w:tcPr>
            <w:tcW w:type="dxa" w:w="1944"/>
            <w:tcMar>
              <w:top w:w="80" w:type="dxa"/>
              <w:start w:w="120" w:type="dxa"/>
              <w:bottom w:w="80" w:type="dxa"/>
              <w:end w:w="120" w:type="dxa"/>
            </w:tcMar>
            <w:vAlign w:val="center"/>
          </w:tcPr>
          <w:p>
            <w:pPr>
              <w:spacing w:after="0"/>
              <w:jc w:val="left"/>
            </w:pPr>
            <w:r>
              <w:rPr>
                <w:sz w:val="15"/>
              </w:rPr>
              <w:t>Queue performance population may be wrong</w:t>
            </w:r>
          </w:p>
        </w:tc>
        <w:tc>
          <w:tcPr>
            <w:tcW w:type="dxa" w:w="4104"/>
            <w:tcMar>
              <w:top w:w="80" w:type="dxa"/>
              <w:start w:w="120" w:type="dxa"/>
              <w:bottom w:w="80" w:type="dxa"/>
              <w:end w:w="120" w:type="dxa"/>
            </w:tcMar>
            <w:vAlign w:val="center"/>
          </w:tcPr>
          <w:p>
            <w:pPr>
              <w:spacing w:after="0"/>
              <w:jc w:val="left"/>
            </w:pPr>
            <w:r>
              <w:rPr>
                <w:sz w:val="15"/>
              </w:rPr>
              <w:t>NFR-002 refers to a 1,500-line open-queue view, while the baseline describes about 1,500 open PO lines, not 1,500 active exceptions.</w:t>
            </w:r>
          </w:p>
        </w:tc>
        <w:tc>
          <w:tcPr>
            <w:tcW w:type="dxa" w:w="2448"/>
            <w:tcMar>
              <w:top w:w="80" w:type="dxa"/>
              <w:start w:w="120" w:type="dxa"/>
              <w:bottom w:w="80" w:type="dxa"/>
              <w:end w:w="120" w:type="dxa"/>
            </w:tcMar>
            <w:vAlign w:val="center"/>
          </w:tcPr>
          <w:p>
            <w:pPr>
              <w:spacing w:after="0"/>
              <w:jc w:val="left"/>
            </w:pPr>
            <w:r>
              <w:rPr>
                <w:sz w:val="15"/>
              </w:rPr>
              <w:t>Define whether the fixture is PO lines, candidate risks, or active exceptions and test the realistic worst case separately.</w:t>
            </w:r>
          </w:p>
        </w:tc>
      </w:tr>
      <w:tr>
        <w:trPr>
          <w:cantSplit/>
        </w:trPr>
        <w:tc>
          <w:tcPr>
            <w:tcW w:type="dxa" w:w="864"/>
            <w:tcMar>
              <w:top w:w="80" w:type="dxa"/>
              <w:start w:w="120" w:type="dxa"/>
              <w:bottom w:w="80" w:type="dxa"/>
              <w:end w:w="120" w:type="dxa"/>
            </w:tcMar>
            <w:vAlign w:val="center"/>
          </w:tcPr>
          <w:p>
            <w:pPr>
              <w:spacing w:after="0"/>
              <w:jc w:val="center"/>
            </w:pPr>
            <w:r>
              <w:rPr>
                <w:sz w:val="15"/>
              </w:rPr>
              <w:t>GAP-12</w:t>
            </w:r>
          </w:p>
        </w:tc>
        <w:tc>
          <w:tcPr>
            <w:tcW w:type="dxa" w:w="1944"/>
            <w:tcMar>
              <w:top w:w="80" w:type="dxa"/>
              <w:start w:w="120" w:type="dxa"/>
              <w:bottom w:w="80" w:type="dxa"/>
              <w:end w:w="120" w:type="dxa"/>
            </w:tcMar>
            <w:vAlign w:val="center"/>
          </w:tcPr>
          <w:p>
            <w:pPr>
              <w:spacing w:after="0"/>
              <w:jc w:val="left"/>
            </w:pPr>
            <w:r>
              <w:rPr>
                <w:sz w:val="15"/>
              </w:rPr>
              <w:t>P4 daily refresh depends on optional scheduling</w:t>
            </w:r>
          </w:p>
        </w:tc>
        <w:tc>
          <w:tcPr>
            <w:tcW w:type="dxa" w:w="4104"/>
            <w:tcMar>
              <w:top w:w="80" w:type="dxa"/>
              <w:start w:w="120" w:type="dxa"/>
              <w:bottom w:w="80" w:type="dxa"/>
              <w:end w:w="120" w:type="dxa"/>
            </w:tcMar>
            <w:vAlign w:val="center"/>
          </w:tcPr>
          <w:p>
            <w:pPr>
              <w:spacing w:after="0"/>
              <w:jc w:val="left"/>
            </w:pPr>
            <w:r>
              <w:rPr>
                <w:sz w:val="15"/>
              </w:rPr>
              <w:t>REP-008 is a P4 Must daily refresh target, but scheduled processing is P5 optional. A manual daily cycle may satisfy the target, but the operating mechanism is unstated.</w:t>
            </w:r>
          </w:p>
        </w:tc>
        <w:tc>
          <w:tcPr>
            <w:tcW w:type="dxa" w:w="2448"/>
            <w:tcMar>
              <w:top w:w="80" w:type="dxa"/>
              <w:start w:w="120" w:type="dxa"/>
              <w:bottom w:w="80" w:type="dxa"/>
              <w:end w:w="120" w:type="dxa"/>
            </w:tcMar>
            <w:vAlign w:val="center"/>
          </w:tcPr>
          <w:p>
            <w:pPr>
              <w:spacing w:after="0"/>
              <w:jc w:val="left"/>
            </w:pPr>
            <w:r>
              <w:rPr>
                <w:sz w:val="15"/>
              </w:rPr>
              <w:t>Define P4 refresh operation and evidence independently of GitHub Actions.</w:t>
            </w:r>
          </w:p>
        </w:tc>
      </w:tr>
      <w:tr>
        <w:trPr>
          <w:cantSplit/>
        </w:trPr>
        <w:tc>
          <w:tcPr>
            <w:tcW w:type="dxa" w:w="864"/>
            <w:tcMar>
              <w:top w:w="80" w:type="dxa"/>
              <w:start w:w="120" w:type="dxa"/>
              <w:bottom w:w="80" w:type="dxa"/>
              <w:end w:w="120" w:type="dxa"/>
            </w:tcMar>
            <w:vAlign w:val="center"/>
          </w:tcPr>
          <w:p>
            <w:pPr>
              <w:spacing w:after="0"/>
              <w:jc w:val="center"/>
            </w:pPr>
            <w:r>
              <w:rPr>
                <w:sz w:val="15"/>
              </w:rPr>
              <w:t>GAP-13</w:t>
            </w:r>
          </w:p>
        </w:tc>
        <w:tc>
          <w:tcPr>
            <w:tcW w:type="dxa" w:w="1944"/>
            <w:tcMar>
              <w:top w:w="80" w:type="dxa"/>
              <w:start w:w="120" w:type="dxa"/>
              <w:bottom w:w="80" w:type="dxa"/>
              <w:end w:w="120" w:type="dxa"/>
            </w:tcMar>
            <w:vAlign w:val="center"/>
          </w:tcPr>
          <w:p>
            <w:pPr>
              <w:spacing w:after="0"/>
              <w:jc w:val="left"/>
            </w:pPr>
            <w:r>
              <w:rPr>
                <w:sz w:val="15"/>
              </w:rPr>
              <w:t>Freeze-or-risk language is too permissive for execution</w:t>
            </w:r>
          </w:p>
        </w:tc>
        <w:tc>
          <w:tcPr>
            <w:tcW w:type="dxa" w:w="4104"/>
            <w:tcMar>
              <w:top w:w="80" w:type="dxa"/>
              <w:start w:w="120" w:type="dxa"/>
              <w:bottom w:w="80" w:type="dxa"/>
              <w:end w:w="120" w:type="dxa"/>
            </w:tcMar>
            <w:vAlign w:val="center"/>
          </w:tcPr>
          <w:p>
            <w:pPr>
              <w:spacing w:after="0"/>
              <w:jc w:val="left"/>
            </w:pPr>
            <w:r>
              <w:rPr>
                <w:sz w:val="15"/>
              </w:rPr>
              <w:t>P0 allows decisions to be frozen or accepted as risks, yet RULE-013/014 and several open questions require actual values before workflow or rule testing.</w:t>
            </w:r>
          </w:p>
        </w:tc>
        <w:tc>
          <w:tcPr>
            <w:tcW w:type="dxa" w:w="2448"/>
            <w:tcMar>
              <w:top w:w="80" w:type="dxa"/>
              <w:start w:w="120" w:type="dxa"/>
              <w:bottom w:w="80" w:type="dxa"/>
              <w:end w:w="120" w:type="dxa"/>
            </w:tcMar>
            <w:vAlign w:val="center"/>
          </w:tcPr>
          <w:p>
            <w:pPr>
              <w:spacing w:after="0"/>
              <w:jc w:val="left"/>
            </w:pPr>
            <w:r>
              <w:rPr>
                <w:sz w:val="15"/>
              </w:rPr>
              <w:t>Distinguish decisions that may be risk-accepted from those that are hard test-design blockers.</w:t>
            </w:r>
          </w:p>
        </w:tc>
      </w:tr>
      <w:tr>
        <w:trPr>
          <w:cantSplit/>
        </w:trPr>
        <w:tc>
          <w:tcPr>
            <w:tcW w:type="dxa" w:w="864"/>
            <w:tcMar>
              <w:top w:w="80" w:type="dxa"/>
              <w:start w:w="120" w:type="dxa"/>
              <w:bottom w:w="80" w:type="dxa"/>
              <w:end w:w="120" w:type="dxa"/>
            </w:tcMar>
            <w:vAlign w:val="center"/>
          </w:tcPr>
          <w:p>
            <w:pPr>
              <w:spacing w:after="0"/>
              <w:jc w:val="center"/>
            </w:pPr>
            <w:r>
              <w:rPr>
                <w:sz w:val="15"/>
              </w:rPr>
              <w:t>GAP-14</w:t>
            </w:r>
          </w:p>
        </w:tc>
        <w:tc>
          <w:tcPr>
            <w:tcW w:type="dxa" w:w="1944"/>
            <w:tcMar>
              <w:top w:w="80" w:type="dxa"/>
              <w:start w:w="120" w:type="dxa"/>
              <w:bottom w:w="80" w:type="dxa"/>
              <w:end w:w="120" w:type="dxa"/>
            </w:tcMar>
            <w:vAlign w:val="center"/>
          </w:tcPr>
          <w:p>
            <w:pPr>
              <w:spacing w:after="0"/>
              <w:jc w:val="left"/>
            </w:pPr>
            <w:r>
              <w:rPr>
                <w:sz w:val="15"/>
              </w:rPr>
              <w:t>Audit completeness is not tamper proof</w:t>
            </w:r>
          </w:p>
        </w:tc>
        <w:tc>
          <w:tcPr>
            <w:tcW w:type="dxa" w:w="4104"/>
            <w:tcMar>
              <w:top w:w="80" w:type="dxa"/>
              <w:start w:w="120" w:type="dxa"/>
              <w:bottom w:w="80" w:type="dxa"/>
              <w:end w:w="120" w:type="dxa"/>
            </w:tcMar>
            <w:vAlign w:val="center"/>
          </w:tcPr>
          <w:p>
            <w:pPr>
              <w:spacing w:after="0"/>
              <w:jc w:val="left"/>
            </w:pPr>
            <w:r>
              <w:rPr>
                <w:sz w:val="15"/>
              </w:rPr>
              <w:t>The BRS correctly limits the claim, but the 100% audit target could still be overstated if only UI behavior is tested and administrators can alter data.</w:t>
            </w:r>
          </w:p>
        </w:tc>
        <w:tc>
          <w:tcPr>
            <w:tcW w:type="dxa" w:w="2448"/>
            <w:tcMar>
              <w:top w:w="80" w:type="dxa"/>
              <w:start w:w="120" w:type="dxa"/>
              <w:bottom w:w="80" w:type="dxa"/>
              <w:end w:w="120" w:type="dxa"/>
            </w:tcMar>
            <w:vAlign w:val="center"/>
          </w:tcPr>
          <w:p>
            <w:pPr>
              <w:spacing w:after="0"/>
              <w:jc w:val="left"/>
            </w:pPr>
            <w:r>
              <w:rPr>
                <w:sz w:val="15"/>
              </w:rPr>
              <w:t>State that MVP evidence proves application-level append-only behavior and attributable admin corrections, not immutable/WORM storage.</w:t>
            </w:r>
          </w:p>
        </w:tc>
      </w:tr>
      <w:tr>
        <w:trPr>
          <w:cantSplit/>
        </w:trPr>
        <w:tc>
          <w:tcPr>
            <w:tcW w:type="dxa" w:w="864"/>
            <w:tcMar>
              <w:top w:w="80" w:type="dxa"/>
              <w:start w:w="120" w:type="dxa"/>
              <w:bottom w:w="80" w:type="dxa"/>
              <w:end w:w="120" w:type="dxa"/>
            </w:tcMar>
            <w:vAlign w:val="center"/>
          </w:tcPr>
          <w:p>
            <w:pPr>
              <w:spacing w:after="0"/>
              <w:jc w:val="center"/>
            </w:pPr>
            <w:r>
              <w:rPr>
                <w:sz w:val="15"/>
              </w:rPr>
              <w:t>GAP-15</w:t>
            </w:r>
          </w:p>
        </w:tc>
        <w:tc>
          <w:tcPr>
            <w:tcW w:type="dxa" w:w="1944"/>
            <w:tcMar>
              <w:top w:w="80" w:type="dxa"/>
              <w:start w:w="120" w:type="dxa"/>
              <w:bottom w:w="80" w:type="dxa"/>
              <w:end w:w="120" w:type="dxa"/>
            </w:tcMar>
            <w:vAlign w:val="center"/>
          </w:tcPr>
          <w:p>
            <w:pPr>
              <w:spacing w:after="0"/>
              <w:jc w:val="left"/>
            </w:pPr>
            <w:r>
              <w:rPr>
                <w:sz w:val="15"/>
              </w:rPr>
              <w:t>UAT authority is simulated</w:t>
            </w:r>
          </w:p>
        </w:tc>
        <w:tc>
          <w:tcPr>
            <w:tcW w:type="dxa" w:w="4104"/>
            <w:tcMar>
              <w:top w:w="80" w:type="dxa"/>
              <w:start w:w="120" w:type="dxa"/>
              <w:bottom w:w="80" w:type="dxa"/>
              <w:end w:w="120" w:type="dxa"/>
            </w:tcMar>
            <w:vAlign w:val="center"/>
          </w:tcPr>
          <w:p>
            <w:pPr>
              <w:spacing w:after="0"/>
              <w:jc w:val="left"/>
            </w:pPr>
            <w:r>
              <w:rPr>
                <w:sz w:val="15"/>
              </w:rPr>
              <w:t>Acceptance roles are named, but no real organisational users exist; practitioner review is recommended rather than guaranteed.</w:t>
            </w:r>
          </w:p>
        </w:tc>
        <w:tc>
          <w:tcPr>
            <w:tcW w:type="dxa" w:w="2448"/>
            <w:tcMar>
              <w:top w:w="80" w:type="dxa"/>
              <w:start w:w="120" w:type="dxa"/>
              <w:bottom w:w="80" w:type="dxa"/>
              <w:end w:w="120" w:type="dxa"/>
            </w:tcMar>
            <w:vAlign w:val="center"/>
          </w:tcPr>
          <w:p>
            <w:pPr>
              <w:spacing w:after="0"/>
              <w:jc w:val="left"/>
            </w:pPr>
            <w:r>
              <w:rPr>
                <w:sz w:val="15"/>
              </w:rPr>
              <w:t>Label UAT as simulated role acceptance and any practitioner input as design feedback, not operational endorsement.</w:t>
            </w:r>
          </w:p>
        </w:tc>
      </w:tr>
    </w:tbl>
    <w:p>
      <w:pPr>
        <w:spacing w:after="0"/>
      </w:pPr>
    </w:p>
    <w:p>
      <w:pPr>
        <w:pStyle w:val="Heading2"/>
      </w:pPr>
      <w:r>
        <w:t>Final assurance judgement</w:t>
      </w:r>
    </w:p>
    <w:p>
      <w:r>
        <w:t>The project has a credible assurance foundation because the BRS already connects objectives, requirements, acceptance criteria, and evidence packs. However, lifecycle execution should not begin merely because the state names exist. The unresolved key, date, partial-receipt, projected-balance, suppression/reopen, approval, calendar, and evidence decisions are control logic, not cosmetic design details. Freezing them is the principal P0 test-readiness condition.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EEF5"/>
            <w:tcMar>
              <w:top w:w="140" w:type="dxa"/>
              <w:start w:w="180" w:type="dxa"/>
              <w:bottom w:w="140" w:type="dxa"/>
              <w:end w:w="180" w:type="dxa"/>
            </w:tcMar>
          </w:tcPr>
          <w:p>
            <w:pPr>
              <w:spacing w:after="0"/>
            </w:pPr>
            <w:r>
              <w:rPr>
                <w:b/>
                <w:color w:val="0B2545"/>
              </w:rPr>
              <w:t xml:space="preserve">Recommended next step: </w:t>
            </w:r>
            <w:r>
              <w:t>Approve the decision log entries DL-002 through DL-015, resolve GAP-02 to GAP-09, then baseline this strategy and build the golden fixtures before technical data modelling.</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666666"/>
        <w:sz w:val="16"/>
      </w:rPr>
      <w:t xml:space="preserve">Portfolio simulation  |  Version 1.0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color w:val="666666"/>
        <w:sz w:val="16"/>
      </w:rPr>
      <w:t>SUPPLY CHAIN EXCEPTION CONTROL SYSTEM  |  TEST &amp; EVIDENCE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spacing w:after="100" w:line="264" w:lineRule="auto"/>
      <w:ind w:left="1080" w:hanging="36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arioLabel">
    <w:name w:val="Scenario Label"/>
    <w:rPr>
      <w:rFonts w:ascii="Calibri" w:hAnsi="Calibri"/>
      <w:b/>
      <w:color w:val="1F4D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Chain Exception Control System - Project-Level Test and Evidence Strategy</dc:title>
  <dc:subject>Proposed testing and business assurance strategy</dc:subject>
  <dc:creator>Rafael Nalom Garcia Pasaribu</dc:creator>
  <cp:keywords>testing, assurance, supply chain, exceptions, traceability, audit</cp:keywords>
  <dc:description>generated by python-docx</dc:description>
  <cp:lastModifiedBy/>
  <cp:revision>1</cp:revision>
  <dcterms:created xsi:type="dcterms:W3CDTF">2013-12-23T23:15:00Z</dcterms:created>
  <dcterms:modified xsi:type="dcterms:W3CDTF">2013-12-23T23:15:00Z</dcterms:modified>
  <cp:category/>
</cp:coreProperties>
</file>