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9B1830"/>
          <w:sz w:val="38"/>
        </w:rPr>
        <w:t>PUCPR</w:t>
      </w:r>
    </w:p>
    <w:p>
      <w:r>
        <w:rPr>
          <w:sz w:val="18"/>
        </w:rPr>
        <w:t>PONTIFÍCIA UNIVERSIDADE CATÓLICA DO PARANÁ</w:t>
      </w:r>
    </w:p>
    <w:p>
      <w:r>
        <w:rPr>
          <w:sz w:val="18"/>
        </w:rPr>
        <w:t>DATA ANALYTICS   /   PROJETO BASEADO EM PROBLEMAS</w:t>
      </w:r>
    </w:p>
    <w:p>
      <w:pPr>
        <w:spacing w:after="500"/>
      </w:pPr>
    </w:p>
    <w:p>
      <w:r>
        <w:rPr>
          <w:b/>
          <w:color w:val="9B1830"/>
          <w:sz w:val="96"/>
        </w:rPr>
        <w:t>RA1</w:t>
      </w:r>
    </w:p>
    <w:p>
      <w:pPr>
        <w:pStyle w:val="Title"/>
      </w:pPr>
      <w:r>
        <w:t>Ingestão e preparação</w:t>
        <w:br/>
        <w:t>dos dados</w:t>
      </w:r>
    </w:p>
    <w:p>
      <w:pPr>
        <w:pStyle w:val="Subtitle"/>
      </w:pPr>
      <w:r>
        <w:t>Documentação da entrega</w:t>
      </w:r>
    </w:p>
    <w:p>
      <w:pPr>
        <w:spacing w:after="300"/>
      </w:pPr>
    </w:p>
    <w:p>
      <w:pPr>
        <w:spacing w:after="400"/>
      </w:pPr>
      <w:r>
        <w:rPr>
          <w:b/>
        </w:rPr>
        <w:t xml:space="preserve">Projeto  </w:t>
      </w:r>
      <w:r>
        <w:rPr/>
        <w:t>Vendas, promoções e sobra de produção em uma rede de padarias</w:t>
      </w:r>
    </w:p>
    <w:p>
      <w:pPr>
        <w:spacing w:after="240"/>
      </w:pPr>
      <w:r>
        <w:rPr>
          <w:b/>
        </w:rPr>
        <w:t xml:space="preserve">Curso e turma  </w:t>
      </w:r>
      <w:r>
        <w:rPr>
          <w:color w:val="606066"/>
        </w:rPr>
        <w:t>[Curso • turma • período letivo]</w:t>
      </w:r>
    </w:p>
    <w:p>
      <w:pPr>
        <w:spacing w:after="240"/>
      </w:pPr>
      <w:r>
        <w:rPr>
          <w:b/>
        </w:rPr>
        <w:t xml:space="preserve">Professor ou professora  </w:t>
      </w:r>
      <w:r>
        <w:rPr>
          <w:color w:val="606066"/>
        </w:rPr>
        <w:t>[Nome]</w:t>
      </w:r>
    </w:p>
    <w:p>
      <w:pPr>
        <w:spacing w:after="400"/>
      </w:pPr>
      <w:r>
        <w:rPr>
          <w:b/>
        </w:rPr>
        <w:t xml:space="preserve">Equipe  </w:t>
      </w:r>
      <w:r>
        <w:rPr/>
        <w:t>Helena Picinin, Marco Capote, Raissa Queiroz e Rafael Sene</w:t>
      </w:r>
    </w:p>
    <w:p>
      <w:pPr>
        <w:spacing w:after="240"/>
      </w:pPr>
      <w:r>
        <w:rPr>
          <w:b/>
        </w:rPr>
        <w:t xml:space="preserve">Repositório  </w:t>
      </w:r>
      <w:r>
        <w:rPr>
          <w:color w:val="606066"/>
        </w:rPr>
        <w:t>[Link do projeto]</w:t>
      </w:r>
    </w:p>
    <w:p>
      <w:pPr>
        <w:spacing w:after="240"/>
      </w:pPr>
      <w:r>
        <w:rPr>
          <w:b/>
        </w:rPr>
        <w:t xml:space="preserve">Entrega  </w:t>
      </w:r>
      <w:r>
        <w:rPr>
          <w:color w:val="606066"/>
        </w:rPr>
        <w:t>[Cidade • dia/mês/ano]</w:t>
      </w:r>
    </w:p>
    <w:p>
      <w:pPr>
        <w:spacing w:after="300"/>
      </w:pPr>
    </w:p>
    <w:p>
      <w:r>
        <w:rPr>
          <w:sz w:val="18"/>
        </w:rPr>
        <w:t>Este documento acompanha a implementação no repositório. Registre o caminho dos arquivos, notebooks ou células que comprovam cada etapa. O resultado do RA1 será a base para os próximos RAs.</w:t>
      </w:r>
    </w:p>
    <w:p>
      <w:pPr>
        <w:pageBreakBefore/>
      </w:pPr>
      <w:r>
        <w:rPr>
          <w:b/>
          <w:color w:val="9B1830"/>
          <w:sz w:val="20"/>
        </w:rPr>
        <w:t>RA1   /   01</w:t>
      </w:r>
    </w:p>
    <w:p>
      <w:pPr>
        <w:pStyle w:val="Heading1"/>
      </w:pPr>
      <w:r>
        <w:t>Problema e perguntas analíticas</w:t>
      </w:r>
    </w:p>
    <w:p>
      <w:r>
        <w:t>Defina o contexto do projeto e as perguntas que orientarão a seleção e a preparação dos dados.</w:t>
      </w:r>
    </w:p>
    <w:p>
      <w:pPr>
        <w:pStyle w:val="Heading2"/>
      </w:pPr>
      <w:r>
        <w:t>Contexto e problema</w:t>
      </w:r>
    </w:p>
    <w:p>
      <w:pPr>
        <w:spacing w:after="160"/>
      </w:pPr>
      <w:r>
        <w:rPr/>
        <w:t>Boa parte do que uma padaria produz precisa ser vendida no mesmo dia ou em poucos dias. Se sobra, o produto é descartado; se falta, o cliente vai embora sem comprar. Promoções ajudam a girar o estoque, mas diminuem a margem, e a procura muda com o horário, o dia da semana, a estação, o clima e as datas comemorativas. O problema afeta quem planeja a produção e as promoções da rede: queremos entender quando a padaria vende mais, quais produtos concentram a sobra e se as promoções compensam a perda de margem.</w:t>
      </w:r>
    </w:p>
    <w:p>
      <w:pPr>
        <w:spacing w:after="80"/>
        <w:pBdr>
          <w:bottom w:val="single" w:sz="3" w:color="E2E2E2"/>
        </w:pBdr>
      </w:pPr>
      <w:r>
        <w:t xml:space="preserve"> </w:t>
      </w:r>
    </w:p>
    <w:p>
      <w:pPr>
        <w:pStyle w:val="Heading2"/>
      </w:pPr>
      <w:r>
        <w:t>Objetivo e recorte</w:t>
      </w:r>
    </w:p>
    <w:p>
      <w:pPr>
        <w:spacing w:after="160"/>
      </w:pPr>
      <w:r>
        <w:rPr/>
        <w:t>Objetivo do RA1: deixar pronta uma base confiável de vendas por item, com os problemas de qualidade tratados e justificados, para responder às perguntas P1 a P4 nas próximas etapas. Recorte: vendas de 01/01/2023 a 31/12/2024 de 3 lojas (ST01, ST02 e ST03), 35 produtos de 7 categorias e 500 clientes; a unidade de análise é um produto vendido dentro de um pedido.</w:t>
      </w:r>
    </w:p>
    <w:p>
      <w:pPr>
        <w:spacing w:after="160"/>
      </w:pPr>
      <w:r>
        <w:rPr/>
        <w:t>Limites: a base é sintética, criada pelo autor para fins educacionais, então os resultados servem para exercitar o processo analítico e não descrevem uma padaria real. Tipo de análise prevista: descritiva (P1 e P4) e diagnóstica (P2 e P3).</w:t>
      </w:r>
    </w:p>
    <w:p>
      <w:pPr>
        <w:spacing w:after="80"/>
        <w:pBdr>
          <w:bottom w:val="single" w:sz="3" w:color="E2E2E2"/>
        </w:pBdr>
      </w:pPr>
      <w:r>
        <w:t xml:space="preserve"> </w:t>
      </w:r>
    </w:p>
    <w:p>
      <w:pPr>
        <w:pStyle w:val="Heading2"/>
      </w:pPr>
      <w:r>
        <w:t>Perguntas analíticas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567"/>
        <w:gridCol w:w="5102"/>
        <w:gridCol w:w="3798"/>
      </w:tblGrid>
      <w:tr>
        <w:trPr>
          <w:cantSplit/>
          <w:tblHeader/>
        </w:trPr>
        <w:tc>
          <w:tcPr>
            <w:tcW w:type="dxa" w:w="567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type="dxa" w:w="5102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Pergunta a investigar</w:t>
            </w:r>
          </w:p>
        </w:tc>
        <w:tc>
          <w:tcPr>
            <w:tcW w:type="dxa" w:w="3798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Dados necessários</w:t>
            </w:r>
          </w:p>
        </w:tc>
      </w:tr>
      <w:tr>
        <w:trPr>
          <w:cantSplit/>
        </w:trPr>
        <w:tc>
          <w:tcPr>
            <w:tcW w:type="dxa" w:w="567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P1</w:t>
            </w:r>
          </w:p>
        </w:tc>
        <w:tc>
          <w:tcPr>
            <w:tcW w:type="dxa" w:w="5102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Como o faturamento e a quantidade de itens vendidos variam ao longo do dia, entre os dias da semana e entre as estações, em cada loja, em 2023 e 2024?</w:t>
            </w:r>
          </w:p>
        </w:tc>
        <w:tc>
          <w:tcPr>
            <w:tcW w:type="dxa" w:w="379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Timestamp, Hour, Day_of_Week, Weekend, Season, Store_ID, Total_Bill, Quantity</w:t>
            </w:r>
          </w:p>
        </w:tc>
      </w:tr>
      <w:tr>
        <w:trPr>
          <w:cantSplit/>
        </w:trPr>
        <w:tc>
          <w:tcPr>
            <w:tcW w:type="dxa" w:w="567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P2</w:t>
            </w:r>
          </w:p>
        </w:tc>
        <w:tc>
          <w:tcPr>
            <w:tcW w:type="dxa" w:w="5102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Dias de festival e as condições do tempo (tipo de clima e temperatura) estão associados a mudanças no volume vendido e no faturamento de cada categoria?</w:t>
            </w:r>
          </w:p>
        </w:tc>
        <w:tc>
          <w:tcPr>
            <w:tcW w:type="dxa" w:w="3798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Festival, Weather, Temperature, Category, Quantity, Total_Bill</w:t>
            </w:r>
          </w:p>
        </w:tc>
      </w:tr>
      <w:tr>
        <w:trPr>
          <w:cantSplit/>
        </w:trPr>
        <w:tc>
          <w:tcPr>
            <w:tcW w:type="dxa" w:w="567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P3</w:t>
            </w:r>
          </w:p>
        </w:tc>
        <w:tc>
          <w:tcPr>
            <w:tcW w:type="dxa" w:w="5102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Os itens vendidos com promoção, e cada tipo de promoção, vendem quantidade suficiente para compensar a margem menor?</w:t>
            </w:r>
          </w:p>
        </w:tc>
        <w:tc>
          <w:tcPr>
            <w:tcW w:type="dxa" w:w="379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Promotion_Applied, Promotion_Type, Discount_Percentage, Quantity, Profit</w:t>
            </w:r>
          </w:p>
        </w:tc>
      </w:tr>
      <w:tr>
        <w:trPr>
          <w:cantSplit/>
        </w:trPr>
        <w:tc>
          <w:tcPr>
            <w:tcW w:type="dxa" w:w="567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P4</w:t>
            </w:r>
          </w:p>
        </w:tc>
        <w:tc>
          <w:tcPr>
            <w:tcW w:type="dxa" w:w="5102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Quais produtos, categorias e níveis de perecibilidade concentram os maiores percentuais de sobra em relação ao que foi produzido?</w:t>
            </w:r>
          </w:p>
        </w:tc>
        <w:tc>
          <w:tcPr>
            <w:tcW w:type="dxa" w:w="379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Product, Category, Perishability, Shelf_Life_Days, Units_Produced, Unsold_Units, Waste_Pct</w:t>
            </w:r>
          </w:p>
        </w:tc>
      </w:tr>
    </w:tbl>
    <w:p>
      <w:pPr>
        <w:spacing w:after="0"/>
      </w:pPr>
    </w:p>
    <w:p>
      <w:pPr>
        <w:pStyle w:val="Heading2"/>
      </w:pPr>
      <w:r>
        <w:t>Viabilidade inicial</w:t>
      </w:r>
    </w:p>
    <w:p>
      <w:pPr>
        <w:spacing w:after="160"/>
      </w:pPr>
      <w:r>
        <w:rPr/>
        <w:t>A base traz todos os campos que as quatro perguntas pedem, inclusive a data e a hora de cada venda, o que também permite simular a chegada de vendas no RA2. Lacunas: o clima é diário; produção e sobra se referem ao lote do produto, e não ao pedido; e a moeda e a localização das lojas não são informadas.</w:t>
      </w:r>
    </w:p>
    <w:p>
      <w:pPr>
        <w:pageBreakBefore/>
      </w:pPr>
      <w:r>
        <w:rPr>
          <w:b/>
          <w:color w:val="9B1830"/>
          <w:sz w:val="20"/>
        </w:rPr>
        <w:t>RA1   /   02</w:t>
      </w:r>
    </w:p>
    <w:p>
      <w:pPr>
        <w:pStyle w:val="Heading1"/>
      </w:pPr>
      <w:r>
        <w:t>Fontes de dados e ingestão</w:t>
      </w:r>
    </w:p>
    <w:p>
      <w:r>
        <w:t>Documente a origem dos dados e como eles são carregados no ambiente do projeto. Duplique a ficha para cada fonte.</w:t>
      </w:r>
    </w:p>
    <w:p>
      <w:pPr>
        <w:pStyle w:val="Heading2"/>
      </w:pPr>
      <w:r>
        <w:t>Ficha da fonte</w:t>
      </w:r>
    </w:p>
    <w:p>
      <w:pPr>
        <w:spacing w:after="160"/>
      </w:pPr>
      <w:r>
        <w:rPr>
          <w:b/>
        </w:rPr>
        <w:t xml:space="preserve">Identificação  </w:t>
      </w:r>
      <w:r>
        <w:rPr/>
        <w:t>F1 • Bakery Sales, Customer &amp; Inventory Analytics Dataset (arquivo bakery_sales_dataset.csv)</w:t>
      </w:r>
    </w:p>
    <w:p>
      <w:pPr>
        <w:spacing w:after="160"/>
      </w:pPr>
      <w:r>
        <w:rPr>
          <w:b/>
        </w:rPr>
        <w:t xml:space="preserve">Origem e acesso  </w:t>
      </w:r>
      <w:r>
        <w:rPr/>
        <w:t>Usuário sdcloud no Kaggle • https://www.kaggle.com/datasets/sdcloud/historical-bakery-sales-dataset (versão 2, de 15/10/2026) • acesso em 20/10/2026</w:t>
      </w:r>
    </w:p>
    <w:p>
      <w:pPr>
        <w:spacing w:after="160"/>
      </w:pPr>
      <w:r>
        <w:rPr>
          <w:b/>
        </w:rPr>
        <w:t xml:space="preserve">Formato e volume  </w:t>
      </w:r>
      <w:r>
        <w:rPr/>
        <w:t>CSV separado por vírgula, UTF-8 com BOM, cerca de 4,2 MB • 19.321 registros • 40 atributos</w:t>
      </w:r>
    </w:p>
    <w:p>
      <w:pPr>
        <w:spacing w:after="160"/>
      </w:pPr>
      <w:r>
        <w:rPr>
          <w:b/>
        </w:rPr>
        <w:t xml:space="preserve">Cobertura  </w:t>
      </w:r>
      <w:r>
        <w:rPr/>
        <w:t>01/01/2023 a 31/12/2024 • 3 lojas, 35 produtos e 500 clientes; a localização das lojas não é informada</w:t>
      </w:r>
    </w:p>
    <w:p>
      <w:pPr>
        <w:spacing w:after="160"/>
      </w:pPr>
      <w:r>
        <w:rPr>
          <w:b/>
        </w:rPr>
        <w:t xml:space="preserve">Condições de uso  </w:t>
      </w:r>
      <w:r>
        <w:rPr/>
        <w:t>Licença CC0 (domínio público). Dados sintéticos, sem informações de pessoas reais. O download não exige login.</w:t>
      </w:r>
    </w:p>
    <w:p>
      <w:pPr>
        <w:pStyle w:val="Heading2"/>
      </w:pPr>
      <w:r>
        <w:t>Relação com o problema</w:t>
      </w:r>
    </w:p>
    <w:p>
      <w:pPr>
        <w:spacing w:after="160"/>
      </w:pPr>
      <w:r>
        <w:rPr/>
        <w:t>A fonte apoia as quatro perguntas. Horário, dia da semana, estação e loja permitem estudar a variação das vendas (P1). Festival, clima e temperatura vêm em cada registro (P2). Tipo de promoção, desconto, quantidade e lucro permitem avaliar as promoções (P3). E as colunas de produção, sobra, vida útil e perecibilidade permitem estudar a sobra por produto (P4).</w:t>
      </w:r>
    </w:p>
    <w:p>
      <w:pPr>
        <w:spacing w:after="80"/>
        <w:pBdr>
          <w:bottom w:val="single" w:sz="3" w:color="E2E2E2"/>
        </w:pBdr>
      </w:pPr>
      <w:r>
        <w:t xml:space="preserve"> </w:t>
      </w:r>
    </w:p>
    <w:p>
      <w:pPr>
        <w:pStyle w:val="Heading2"/>
      </w:pPr>
      <w:r>
        <w:t>Procedimento de ingestão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737"/>
        <w:gridCol w:w="4706"/>
        <w:gridCol w:w="4025"/>
      </w:tblGrid>
      <w:tr>
        <w:trPr>
          <w:cantSplit/>
          <w:tblHeader/>
        </w:trPr>
        <w:tc>
          <w:tcPr>
            <w:tcW w:type="dxa" w:w="737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Etapa</w:t>
            </w:r>
          </w:p>
        </w:tc>
        <w:tc>
          <w:tcPr>
            <w:tcW w:type="dxa" w:w="4706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Procedimento ou parâmetro</w:t>
            </w:r>
          </w:p>
        </w:tc>
        <w:tc>
          <w:tcPr>
            <w:tcW w:type="dxa" w:w="4025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Evidência no repositório</w:t>
            </w:r>
          </w:p>
        </w:tc>
      </w:tr>
      <w:tr>
        <w:trPr>
          <w:cantSplit/>
        </w:trPr>
        <w:tc>
          <w:tcPr>
            <w:tcW w:type="dxa" w:w="737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1</w:t>
            </w:r>
          </w:p>
        </w:tc>
        <w:tc>
          <w:tcPr>
            <w:tcW w:type="dxa" w:w="4706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Lê data/raw/bakery_sales_dataset.csv; se o arquivo não existir, baixa do endereço público do Kaggle com urllib, sem login</w:t>
            </w:r>
          </w:p>
        </w:tc>
        <w:tc>
          <w:tcPr>
            <w:tcW w:type="dxa" w:w="4025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projeto_data_analytics.ipynb • seção 2, célula de ingestão</w:t>
            </w:r>
          </w:p>
        </w:tc>
      </w:tr>
      <w:tr>
        <w:trPr>
          <w:cantSplit/>
        </w:trPr>
        <w:tc>
          <w:tcPr>
            <w:tcW w:type="dxa" w:w="737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2</w:t>
            </w:r>
          </w:p>
        </w:tc>
        <w:tc>
          <w:tcPr>
            <w:tcW w:type="dxa" w:w="4706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pd.read_csv com sep="," e encoding="utf-8-sig", que descarta o BOM do início do arquivo</w:t>
            </w:r>
          </w:p>
        </w:tc>
        <w:tc>
          <w:tcPr>
            <w:tcW w:type="dxa" w:w="4025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projeto_data_analytics.ipynb • seção 2, célula de ingestão</w:t>
            </w:r>
          </w:p>
        </w:tc>
      </w:tr>
      <w:tr>
        <w:trPr>
          <w:cantSplit/>
        </w:trPr>
        <w:tc>
          <w:tcPr>
            <w:tcW w:type="dxa" w:w="737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3</w:t>
            </w:r>
          </w:p>
        </w:tc>
        <w:tc>
          <w:tcPr>
            <w:tcW w:type="dxa" w:w="4706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Conferência: 19.321 linhas × 40 colunas, 6.576 pedidos e período de 2023-01-01 a 2024-12-31. Os dados ficam em df_original, que não é alterado</w:t>
            </w:r>
          </w:p>
        </w:tc>
        <w:tc>
          <w:tcPr>
            <w:tcW w:type="dxa" w:w="4025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projeto_data_analytics.ipynb • seção 2 e início da seção 3</w:t>
            </w:r>
          </w:p>
        </w:tc>
      </w:tr>
    </w:tbl>
    <w:p>
      <w:pPr>
        <w:spacing w:after="0"/>
      </w:pPr>
    </w:p>
    <w:p>
      <w:pPr>
        <w:pStyle w:val="Heading2"/>
      </w:pPr>
      <w:r>
        <w:t>Resultado da ingestão</w:t>
      </w:r>
    </w:p>
    <w:p>
      <w:pPr>
        <w:spacing w:after="160"/>
      </w:pPr>
      <w:r>
        <w:rPr/>
        <w:t>Foram carregados 19.321 registros e 40 atributos, o mesmo volume informado pelo autor. Os dados brutos ficam em data/raw/bakery_sales_dataset.csv, sem nenhuma alteração, e no notebook são mantidos no DataFrame df_original. Não há etapa manual: se o arquivo não estiver na pasta, o próprio notebook faz o download.</w:t>
      </w:r>
    </w:p>
    <w:p>
      <w:pPr>
        <w:pageBreakBefore/>
      </w:pPr>
      <w:r>
        <w:rPr>
          <w:b/>
          <w:color w:val="9B1830"/>
          <w:sz w:val="20"/>
        </w:rPr>
        <w:t>RA1   /   03</w:t>
      </w:r>
    </w:p>
    <w:p>
      <w:pPr>
        <w:pStyle w:val="Heading1"/>
      </w:pPr>
      <w:r>
        <w:t>Compreensão e qualidade</w:t>
      </w:r>
    </w:p>
    <w:p>
      <w:r>
        <w:t>Descreva o que cada registro representa e apresente evidências das verificações de qualidade relevantes para os dados.</w:t>
      </w:r>
    </w:p>
    <w:p>
      <w:pPr>
        <w:spacing w:after="200"/>
      </w:pPr>
      <w:r>
        <w:rPr>
          <w:b/>
        </w:rPr>
        <w:t xml:space="preserve">Unidade de observação  </w:t>
      </w:r>
      <w:r>
        <w:rPr/>
        <w:t>Uma linha representa um produto dentro de um pedido. Um pedido com três produtos ocupa três linhas, e os dados do pedido (cliente, data, hora, loja, clima e pagamento) se repetem em cada uma.</w:t>
      </w:r>
    </w:p>
    <w:p>
      <w:pPr>
        <w:spacing w:after="200"/>
      </w:pPr>
      <w:r>
        <w:rPr>
          <w:b/>
        </w:rPr>
        <w:t xml:space="preserve">Identificação dos registros  </w:t>
      </w:r>
      <w:r>
        <w:rPr/>
        <w:t>Order_ID + Product, sem nenhuma repetição • Order_ID sozinho se repete em 12.745 linhas, porque os pedidos têm de 1 a 7 produtos</w:t>
      </w:r>
    </w:p>
    <w:p>
      <w:pPr>
        <w:pStyle w:val="Heading2"/>
      </w:pPr>
      <w:r>
        <w:t>Dicionário inicial dos dados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814"/>
        <w:gridCol w:w="2948"/>
        <w:gridCol w:w="2154"/>
        <w:gridCol w:w="2551"/>
      </w:tblGrid>
      <w:tr>
        <w:trPr>
          <w:cantSplit/>
          <w:tblHeader/>
        </w:trPr>
        <w:tc>
          <w:tcPr>
            <w:tcW w:type="dxa" w:w="1814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Atributo</w:t>
            </w:r>
          </w:p>
        </w:tc>
        <w:tc>
          <w:tcPr>
            <w:tcW w:type="dxa" w:w="2948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Significado</w:t>
            </w:r>
          </w:p>
        </w:tc>
        <w:tc>
          <w:tcPr>
            <w:tcW w:type="dxa" w:w="2154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Tipo e formato</w:t>
            </w:r>
          </w:p>
        </w:tc>
        <w:tc>
          <w:tcPr>
            <w:tcW w:type="dxa" w:w="2551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Unidade ou domínio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Order_ID</w:t>
            </w:r>
          </w:p>
        </w:tc>
        <w:tc>
          <w:tcPr>
            <w:tcW w:type="dxa" w:w="294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Identificador do pedido; se repete para cada produto do pedido</w:t>
            </w:r>
          </w:p>
        </w:tc>
        <w:tc>
          <w:tcPr>
            <w:tcW w:type="dxa" w:w="215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texto (object)</w:t>
            </w:r>
          </w:p>
        </w:tc>
        <w:tc>
          <w:tcPr>
            <w:tcW w:type="dxa" w:w="255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ORD00001 a ORD06576 (6.576)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Customer_ID</w:t>
            </w:r>
          </w:p>
        </w:tc>
        <w:tc>
          <w:tcPr>
            <w:tcW w:type="dxa" w:w="2948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Identificador do cliente</w:t>
            </w:r>
          </w:p>
        </w:tc>
        <w:tc>
          <w:tcPr>
            <w:tcW w:type="dxa" w:w="2154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texto (object)</w:t>
            </w:r>
          </w:p>
        </w:tc>
        <w:tc>
          <w:tcPr>
            <w:tcW w:type="dxa" w:w="2551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CUST0001 a CUST0500 (500)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Customer_Age</w:t>
            </w:r>
          </w:p>
        </w:tc>
        <w:tc>
          <w:tcPr>
            <w:tcW w:type="dxa" w:w="294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Idade do cliente</w:t>
            </w:r>
          </w:p>
        </w:tc>
        <w:tc>
          <w:tcPr>
            <w:tcW w:type="dxa" w:w="215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inteiro (int64)</w:t>
            </w:r>
          </w:p>
        </w:tc>
        <w:tc>
          <w:tcPr>
            <w:tcW w:type="dxa" w:w="255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16 a 73 anos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Customer_Gender</w:t>
            </w:r>
          </w:p>
        </w:tc>
        <w:tc>
          <w:tcPr>
            <w:tcW w:type="dxa" w:w="294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Gênero informado</w:t>
            </w:r>
          </w:p>
        </w:tc>
        <w:tc>
          <w:tcPr>
            <w:tcW w:type="dxa" w:w="215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texto (object)</w:t>
            </w:r>
          </w:p>
        </w:tc>
        <w:tc>
          <w:tcPr>
            <w:tcW w:type="dxa" w:w="255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Male, Female, Other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Customer_Segment</w:t>
            </w:r>
          </w:p>
        </w:tc>
        <w:tc>
          <w:tcPr>
            <w:tcW w:type="dxa" w:w="294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Perfil do cliente</w:t>
            </w:r>
          </w:p>
        </w:tc>
        <w:tc>
          <w:tcPr>
            <w:tcW w:type="dxa" w:w="215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texto (object)</w:t>
            </w:r>
          </w:p>
        </w:tc>
        <w:tc>
          <w:tcPr>
            <w:tcW w:type="dxa" w:w="255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Student, Young Professional, Family, Senior Citizen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Loyalty_Member</w:t>
            </w:r>
          </w:p>
        </w:tc>
        <w:tc>
          <w:tcPr>
            <w:tcW w:type="dxa" w:w="294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Participa do programa de fidelidade</w:t>
            </w:r>
          </w:p>
        </w:tc>
        <w:tc>
          <w:tcPr>
            <w:tcW w:type="dxa" w:w="215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texto (object)</w:t>
            </w:r>
          </w:p>
        </w:tc>
        <w:tc>
          <w:tcPr>
            <w:tcW w:type="dxa" w:w="255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Yes, No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Date</w:t>
            </w:r>
          </w:p>
        </w:tc>
        <w:tc>
          <w:tcPr>
            <w:tcW w:type="dxa" w:w="294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Data da venda</w:t>
            </w:r>
          </w:p>
        </w:tc>
        <w:tc>
          <w:tcPr>
            <w:tcW w:type="dxa" w:w="215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texto AAAA-MM-DD</w:t>
            </w:r>
          </w:p>
        </w:tc>
        <w:tc>
          <w:tcPr>
            <w:tcW w:type="dxa" w:w="255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2023-01-01 a 2024-12-31 (731 dias)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Year / Month / Day</w:t>
            </w:r>
          </w:p>
        </w:tc>
        <w:tc>
          <w:tcPr>
            <w:tcW w:type="dxa" w:w="294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Ano, mês e dia extraídos da data</w:t>
            </w:r>
          </w:p>
        </w:tc>
        <w:tc>
          <w:tcPr>
            <w:tcW w:type="dxa" w:w="215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inteiro (int64)</w:t>
            </w:r>
          </w:p>
        </w:tc>
        <w:tc>
          <w:tcPr>
            <w:tcW w:type="dxa" w:w="255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2023 a 2024 / 1 a 12 / 1 a 31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Day_of_Week</w:t>
            </w:r>
          </w:p>
        </w:tc>
        <w:tc>
          <w:tcPr>
            <w:tcW w:type="dxa" w:w="294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Dia da semana</w:t>
            </w:r>
          </w:p>
        </w:tc>
        <w:tc>
          <w:tcPr>
            <w:tcW w:type="dxa" w:w="215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texto (object)</w:t>
            </w:r>
          </w:p>
        </w:tc>
        <w:tc>
          <w:tcPr>
            <w:tcW w:type="dxa" w:w="255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Monday a Sunday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Weekend</w:t>
            </w:r>
          </w:p>
        </w:tc>
        <w:tc>
          <w:tcPr>
            <w:tcW w:type="dxa" w:w="294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Venda no sábado ou domingo</w:t>
            </w:r>
          </w:p>
        </w:tc>
        <w:tc>
          <w:tcPr>
            <w:tcW w:type="dxa" w:w="215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texto (object)</w:t>
            </w:r>
          </w:p>
        </w:tc>
        <w:tc>
          <w:tcPr>
            <w:tcW w:type="dxa" w:w="255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Yes, No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Hour</w:t>
            </w:r>
          </w:p>
        </w:tc>
        <w:tc>
          <w:tcPr>
            <w:tcW w:type="dxa" w:w="294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Hora da venda</w:t>
            </w:r>
          </w:p>
        </w:tc>
        <w:tc>
          <w:tcPr>
            <w:tcW w:type="dxa" w:w="215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inteiro (int64)</w:t>
            </w:r>
          </w:p>
        </w:tc>
        <w:tc>
          <w:tcPr>
            <w:tcW w:type="dxa" w:w="255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7 a 21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Time</w:t>
            </w:r>
          </w:p>
        </w:tc>
        <w:tc>
          <w:tcPr>
            <w:tcW w:type="dxa" w:w="294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Horário da venda</w:t>
            </w:r>
          </w:p>
        </w:tc>
        <w:tc>
          <w:tcPr>
            <w:tcW w:type="dxa" w:w="215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texto H:MM ou HH:MM</w:t>
            </w:r>
          </w:p>
        </w:tc>
        <w:tc>
          <w:tcPr>
            <w:tcW w:type="dxa" w:w="255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7:00 a 21:59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Season</w:t>
            </w:r>
          </w:p>
        </w:tc>
        <w:tc>
          <w:tcPr>
            <w:tcW w:type="dxa" w:w="294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Estação do ano</w:t>
            </w:r>
          </w:p>
        </w:tc>
        <w:tc>
          <w:tcPr>
            <w:tcW w:type="dxa" w:w="215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texto (object)</w:t>
            </w:r>
          </w:p>
        </w:tc>
        <w:tc>
          <w:tcPr>
            <w:tcW w:type="dxa" w:w="255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Winter, Summer, Monsoon, Autumn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Festival</w:t>
            </w:r>
          </w:p>
        </w:tc>
        <w:tc>
          <w:tcPr>
            <w:tcW w:type="dxa" w:w="294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Festival ou feriado do dia; vazio em dia comum</w:t>
            </w:r>
          </w:p>
        </w:tc>
        <w:tc>
          <w:tcPr>
            <w:tcW w:type="dxa" w:w="215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texto (object)</w:t>
            </w:r>
          </w:p>
        </w:tc>
        <w:tc>
          <w:tcPr>
            <w:tcW w:type="dxa" w:w="255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9 festivais (Diwali, Holi, Christmas...)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Weather</w:t>
            </w:r>
          </w:p>
        </w:tc>
        <w:tc>
          <w:tcPr>
            <w:tcW w:type="dxa" w:w="294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Condição do tempo no dia</w:t>
            </w:r>
          </w:p>
        </w:tc>
        <w:tc>
          <w:tcPr>
            <w:tcW w:type="dxa" w:w="215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texto (object)</w:t>
            </w:r>
          </w:p>
        </w:tc>
        <w:tc>
          <w:tcPr>
            <w:tcW w:type="dxa" w:w="255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Clear, Cold, Foggy, Hot, Humid, Rainy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Temperature</w:t>
            </w:r>
          </w:p>
        </w:tc>
        <w:tc>
          <w:tcPr>
            <w:tcW w:type="dxa" w:w="294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Temperatura do dia</w:t>
            </w:r>
          </w:p>
        </w:tc>
        <w:tc>
          <w:tcPr>
            <w:tcW w:type="dxa" w:w="215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decimal (float64)</w:t>
            </w:r>
          </w:p>
        </w:tc>
        <w:tc>
          <w:tcPr>
            <w:tcW w:type="dxa" w:w="255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8,1 a 44,9 °C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Product</w:t>
            </w:r>
          </w:p>
        </w:tc>
        <w:tc>
          <w:tcPr>
            <w:tcW w:type="dxa" w:w="294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Nome do produto</w:t>
            </w:r>
          </w:p>
        </w:tc>
        <w:tc>
          <w:tcPr>
            <w:tcW w:type="dxa" w:w="215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texto (object)</w:t>
            </w:r>
          </w:p>
        </w:tc>
        <w:tc>
          <w:tcPr>
            <w:tcW w:type="dxa" w:w="255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35 produtos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Category</w:t>
            </w:r>
          </w:p>
        </w:tc>
        <w:tc>
          <w:tcPr>
            <w:tcW w:type="dxa" w:w="294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Categoria do produto</w:t>
            </w:r>
          </w:p>
        </w:tc>
        <w:tc>
          <w:tcPr>
            <w:tcW w:type="dxa" w:w="215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texto (object)</w:t>
            </w:r>
          </w:p>
        </w:tc>
        <w:tc>
          <w:tcPr>
            <w:tcW w:type="dxa" w:w="255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7 categorias (Cakes, Bread &amp; Daily, Beverages...)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Shelf_Life_Days</w:t>
            </w:r>
          </w:p>
        </w:tc>
        <w:tc>
          <w:tcPr>
            <w:tcW w:type="dxa" w:w="294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Vida útil do lote</w:t>
            </w:r>
          </w:p>
        </w:tc>
        <w:tc>
          <w:tcPr>
            <w:tcW w:type="dxa" w:w="215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inteiro (int64)</w:t>
            </w:r>
          </w:p>
        </w:tc>
        <w:tc>
          <w:tcPr>
            <w:tcW w:type="dxa" w:w="255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1 a 729 dias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Storage_Type</w:t>
            </w:r>
          </w:p>
        </w:tc>
        <w:tc>
          <w:tcPr>
            <w:tcW w:type="dxa" w:w="294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Forma de armazenamento</w:t>
            </w:r>
          </w:p>
        </w:tc>
        <w:tc>
          <w:tcPr>
            <w:tcW w:type="dxa" w:w="215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texto (object)</w:t>
            </w:r>
          </w:p>
        </w:tc>
        <w:tc>
          <w:tcPr>
            <w:tcW w:type="dxa" w:w="255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Dry Storage, Refrigerated, Room Temperature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Perishability</w:t>
            </w:r>
          </w:p>
        </w:tc>
        <w:tc>
          <w:tcPr>
            <w:tcW w:type="dxa" w:w="294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Nível de perecibilidade</w:t>
            </w:r>
          </w:p>
        </w:tc>
        <w:tc>
          <w:tcPr>
            <w:tcW w:type="dxa" w:w="215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texto (object)</w:t>
            </w:r>
          </w:p>
        </w:tc>
        <w:tc>
          <w:tcPr>
            <w:tcW w:type="dxa" w:w="255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Low, Medium, High, Very High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Quantity</w:t>
            </w:r>
          </w:p>
        </w:tc>
        <w:tc>
          <w:tcPr>
            <w:tcW w:type="dxa" w:w="294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Unidades do produto no pedido</w:t>
            </w:r>
          </w:p>
        </w:tc>
        <w:tc>
          <w:tcPr>
            <w:tcW w:type="dxa" w:w="215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inteiro (int64)</w:t>
            </w:r>
          </w:p>
        </w:tc>
        <w:tc>
          <w:tcPr>
            <w:tcW w:type="dxa" w:w="255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1 a 20 unidades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Unit_Price</w:t>
            </w:r>
          </w:p>
        </w:tc>
        <w:tc>
          <w:tcPr>
            <w:tcW w:type="dxa" w:w="294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Preço de tabela por unidade</w:t>
            </w:r>
          </w:p>
        </w:tc>
        <w:tc>
          <w:tcPr>
            <w:tcW w:type="dxa" w:w="215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decimal (float64)</w:t>
            </w:r>
          </w:p>
        </w:tc>
        <w:tc>
          <w:tcPr>
            <w:tcW w:type="dxa" w:w="255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7,60 a 472,42 (moeda não informada)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Cost_Price</w:t>
            </w:r>
          </w:p>
        </w:tc>
        <w:tc>
          <w:tcPr>
            <w:tcW w:type="dxa" w:w="294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Custo por unidade</w:t>
            </w:r>
          </w:p>
        </w:tc>
        <w:tc>
          <w:tcPr>
            <w:tcW w:type="dxa" w:w="215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decimal (float64)</w:t>
            </w:r>
          </w:p>
        </w:tc>
        <w:tc>
          <w:tcPr>
            <w:tcW w:type="dxa" w:w="255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3,27 a 296,28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Discount_Percentage</w:t>
            </w:r>
          </w:p>
        </w:tc>
        <w:tc>
          <w:tcPr>
            <w:tcW w:type="dxa" w:w="294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Desconto aplicado ao item</w:t>
            </w:r>
          </w:p>
        </w:tc>
        <w:tc>
          <w:tcPr>
            <w:tcW w:type="dxa" w:w="215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decimal (float64)</w:t>
            </w:r>
          </w:p>
        </w:tc>
        <w:tc>
          <w:tcPr>
            <w:tcW w:type="dxa" w:w="255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0 a 30 %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Selling_Price</w:t>
            </w:r>
          </w:p>
        </w:tc>
        <w:tc>
          <w:tcPr>
            <w:tcW w:type="dxa" w:w="294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Preço por unidade depois do desconto</w:t>
            </w:r>
          </w:p>
        </w:tc>
        <w:tc>
          <w:tcPr>
            <w:tcW w:type="dxa" w:w="215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decimal (float64)</w:t>
            </w:r>
          </w:p>
        </w:tc>
        <w:tc>
          <w:tcPr>
            <w:tcW w:type="dxa" w:w="255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5,68 a 472,42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Total_Bill</w:t>
            </w:r>
          </w:p>
        </w:tc>
        <w:tc>
          <w:tcPr>
            <w:tcW w:type="dxa" w:w="294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Valor do item no pedido (Selling_Price × Quantity)</w:t>
            </w:r>
          </w:p>
        </w:tc>
        <w:tc>
          <w:tcPr>
            <w:tcW w:type="dxa" w:w="215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decimal (float64)</w:t>
            </w:r>
          </w:p>
        </w:tc>
        <w:tc>
          <w:tcPr>
            <w:tcW w:type="dxa" w:w="255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13,12 a 1.885,96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Profit</w:t>
            </w:r>
          </w:p>
        </w:tc>
        <w:tc>
          <w:tcPr>
            <w:tcW w:type="dxa" w:w="294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Lucro do item ((Selling_Price − Cost_Price) × Quantity)</w:t>
            </w:r>
          </w:p>
        </w:tc>
        <w:tc>
          <w:tcPr>
            <w:tcW w:type="dxa" w:w="215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decimal (float64)</w:t>
            </w:r>
          </w:p>
        </w:tc>
        <w:tc>
          <w:tcPr>
            <w:tcW w:type="dxa" w:w="255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−0,55 a 767,60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Payment_Method</w:t>
            </w:r>
          </w:p>
        </w:tc>
        <w:tc>
          <w:tcPr>
            <w:tcW w:type="dxa" w:w="294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Forma de pagamento</w:t>
            </w:r>
          </w:p>
        </w:tc>
        <w:tc>
          <w:tcPr>
            <w:tcW w:type="dxa" w:w="215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texto (object)</w:t>
            </w:r>
          </w:p>
        </w:tc>
        <w:tc>
          <w:tcPr>
            <w:tcW w:type="dxa" w:w="255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Cash, Card, UPI, Wallet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Promotion_Applied</w:t>
            </w:r>
          </w:p>
        </w:tc>
        <w:tc>
          <w:tcPr>
            <w:tcW w:type="dxa" w:w="294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Se havia promoção</w:t>
            </w:r>
          </w:p>
        </w:tc>
        <w:tc>
          <w:tcPr>
            <w:tcW w:type="dxa" w:w="215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texto (object)</w:t>
            </w:r>
          </w:p>
        </w:tc>
        <w:tc>
          <w:tcPr>
            <w:tcW w:type="dxa" w:w="255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Yes, No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Promotion_Type</w:t>
            </w:r>
          </w:p>
        </w:tc>
        <w:tc>
          <w:tcPr>
            <w:tcW w:type="dxa" w:w="294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Tipo da promoção; vazio sem promoção</w:t>
            </w:r>
          </w:p>
        </w:tc>
        <w:tc>
          <w:tcPr>
            <w:tcW w:type="dxa" w:w="215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texto (object)</w:t>
            </w:r>
          </w:p>
        </w:tc>
        <w:tc>
          <w:tcPr>
            <w:tcW w:type="dxa" w:w="255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Clearance, Combo, Festival, Flash Sale, Weekend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Store_ID</w:t>
            </w:r>
          </w:p>
        </w:tc>
        <w:tc>
          <w:tcPr>
            <w:tcW w:type="dxa" w:w="294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Loja da venda</w:t>
            </w:r>
          </w:p>
        </w:tc>
        <w:tc>
          <w:tcPr>
            <w:tcW w:type="dxa" w:w="215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texto (object)</w:t>
            </w:r>
          </w:p>
        </w:tc>
        <w:tc>
          <w:tcPr>
            <w:tcW w:type="dxa" w:w="255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ST01, ST02, ST03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Units_Produced</w:t>
            </w:r>
          </w:p>
        </w:tc>
        <w:tc>
          <w:tcPr>
            <w:tcW w:type="dxa" w:w="294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Unidades produzidas no lote do produto</w:t>
            </w:r>
          </w:p>
        </w:tc>
        <w:tc>
          <w:tcPr>
            <w:tcW w:type="dxa" w:w="215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inteiro (int64)</w:t>
            </w:r>
          </w:p>
        </w:tc>
        <w:tc>
          <w:tcPr>
            <w:tcW w:type="dxa" w:w="255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2 a 49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Units_Sold</w:t>
            </w:r>
          </w:p>
        </w:tc>
        <w:tc>
          <w:tcPr>
            <w:tcW w:type="dxa" w:w="294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Unidades vendidas do lote</w:t>
            </w:r>
          </w:p>
        </w:tc>
        <w:tc>
          <w:tcPr>
            <w:tcW w:type="dxa" w:w="215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inteiro (int64)</w:t>
            </w:r>
          </w:p>
        </w:tc>
        <w:tc>
          <w:tcPr>
            <w:tcW w:type="dxa" w:w="255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1 a 37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Unsold_Units</w:t>
            </w:r>
          </w:p>
        </w:tc>
        <w:tc>
          <w:tcPr>
            <w:tcW w:type="dxa" w:w="294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Unidades que sobraram (produzidas − vendidas)</w:t>
            </w:r>
          </w:p>
        </w:tc>
        <w:tc>
          <w:tcPr>
            <w:tcW w:type="dxa" w:w="215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inteiro (int64)</w:t>
            </w:r>
          </w:p>
        </w:tc>
        <w:tc>
          <w:tcPr>
            <w:tcW w:type="dxa" w:w="255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1 a 16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Stock_Available</w:t>
            </w:r>
          </w:p>
        </w:tc>
        <w:tc>
          <w:tcPr>
            <w:tcW w:type="dxa" w:w="294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Estoque disponível registrado</w:t>
            </w:r>
          </w:p>
        </w:tc>
        <w:tc>
          <w:tcPr>
            <w:tcW w:type="dxa" w:w="215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inteiro (int64)</w:t>
            </w:r>
          </w:p>
        </w:tc>
        <w:tc>
          <w:tcPr>
            <w:tcW w:type="dxa" w:w="255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1 a 20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Waste_Pct</w:t>
            </w:r>
          </w:p>
        </w:tc>
        <w:tc>
          <w:tcPr>
            <w:tcW w:type="dxa" w:w="294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Percentual de sobra do lote</w:t>
            </w:r>
          </w:p>
        </w:tc>
        <w:tc>
          <w:tcPr>
            <w:tcW w:type="dxa" w:w="215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decimal (float64)</w:t>
            </w:r>
          </w:p>
        </w:tc>
        <w:tc>
          <w:tcPr>
            <w:tcW w:type="dxa" w:w="255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4,2 a 50,0 %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Customer_Rating</w:t>
            </w:r>
          </w:p>
        </w:tc>
        <w:tc>
          <w:tcPr>
            <w:tcW w:type="dxa" w:w="294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Nota dada pelo cliente</w:t>
            </w:r>
          </w:p>
        </w:tc>
        <w:tc>
          <w:tcPr>
            <w:tcW w:type="dxa" w:w="215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inteiro (int64)</w:t>
            </w:r>
          </w:p>
        </w:tc>
        <w:tc>
          <w:tcPr>
            <w:tcW w:type="dxa" w:w="255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1 a 5</w:t>
            </w:r>
          </w:p>
        </w:tc>
      </w:tr>
    </w:tbl>
    <w:p>
      <w:pPr>
        <w:spacing w:after="0"/>
      </w:pPr>
    </w:p>
    <w:p>
      <w:pPr>
        <w:pStyle w:val="Heading2"/>
      </w:pPr>
      <w:r>
        <w:t>Diagnóstico de qualidade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567"/>
        <w:gridCol w:w="3175"/>
        <w:gridCol w:w="3402"/>
        <w:gridCol w:w="2324"/>
      </w:tblGrid>
      <w:tr>
        <w:trPr>
          <w:cantSplit/>
          <w:tblHeader/>
        </w:trPr>
        <w:tc>
          <w:tcPr>
            <w:tcW w:type="dxa" w:w="567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type="dxa" w:w="3175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Verificação e regra</w:t>
            </w:r>
          </w:p>
        </w:tc>
        <w:tc>
          <w:tcPr>
            <w:tcW w:type="dxa" w:w="3402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Resultado observado</w:t>
            </w:r>
          </w:p>
        </w:tc>
        <w:tc>
          <w:tcPr>
            <w:tcW w:type="dxa" w:w="2324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Evidência</w:t>
            </w:r>
          </w:p>
        </w:tc>
      </w:tr>
      <w:tr>
        <w:trPr>
          <w:cantSplit/>
        </w:trPr>
        <w:tc>
          <w:tcPr>
            <w:tcW w:type="dxa" w:w="567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Q1</w:t>
            </w:r>
          </w:p>
        </w:tc>
        <w:tc>
          <w:tcPr>
            <w:tcW w:type="dxa" w:w="3175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Linhas idênticas e repetição da chave Order_ID + Product</w:t>
            </w:r>
          </w:p>
        </w:tc>
        <w:tc>
          <w:tcPr>
            <w:tcW w:type="dxa" w:w="3402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0 e 0. Order_ID sozinho se repete em 12.745 linhas, o que é esperado</w:t>
            </w:r>
          </w:p>
        </w:tc>
        <w:tc>
          <w:tcPr>
            <w:tcW w:type="dxa" w:w="232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projeto_data_analytics.ipynb • seção 3, duplicatas</w:t>
            </w:r>
          </w:p>
        </w:tc>
      </w:tr>
      <w:tr>
        <w:trPr>
          <w:cantSplit/>
        </w:trPr>
        <w:tc>
          <w:tcPr>
            <w:tcW w:type="dxa" w:w="567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Q2</w:t>
            </w:r>
          </w:p>
        </w:tc>
        <w:tc>
          <w:tcPr>
            <w:tcW w:type="dxa" w:w="3175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Festival • valores ausentes</w:t>
            </w:r>
          </w:p>
        </w:tc>
        <w:tc>
          <w:tcPr>
            <w:tcW w:type="dxa" w:w="3402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16.006 (82,8%); o vazio indica dia sem festival</w:t>
            </w:r>
          </w:p>
        </w:tc>
        <w:tc>
          <w:tcPr>
            <w:tcW w:type="dxa" w:w="2324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projeto_data_analytics.ipynb • seção 3, visão geral</w:t>
            </w:r>
          </w:p>
        </w:tc>
      </w:tr>
      <w:tr>
        <w:trPr>
          <w:cantSplit/>
        </w:trPr>
        <w:tc>
          <w:tcPr>
            <w:tcW w:type="dxa" w:w="567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Q3</w:t>
            </w:r>
          </w:p>
        </w:tc>
        <w:tc>
          <w:tcPr>
            <w:tcW w:type="dxa" w:w="3175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Promotion_Type • valores ausentes</w:t>
            </w:r>
          </w:p>
        </w:tc>
        <w:tc>
          <w:tcPr>
            <w:tcW w:type="dxa" w:w="3402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13.826 (71,6%), exatamente as linhas com Promotion_Applied = No</w:t>
            </w:r>
          </w:p>
        </w:tc>
        <w:tc>
          <w:tcPr>
            <w:tcW w:type="dxa" w:w="232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projeto_data_analytics.ipynb • seção 3, visão geral e regras</w:t>
            </w:r>
          </w:p>
        </w:tc>
      </w:tr>
      <w:tr>
        <w:trPr>
          <w:cantSplit/>
        </w:trPr>
        <w:tc>
          <w:tcPr>
            <w:tcW w:type="dxa" w:w="567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Q4</w:t>
            </w:r>
          </w:p>
        </w:tc>
        <w:tc>
          <w:tcPr>
            <w:tcW w:type="dxa" w:w="3175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Demais 38 colunas • valores ausentes</w:t>
            </w:r>
          </w:p>
        </w:tc>
        <w:tc>
          <w:tcPr>
            <w:tcW w:type="dxa" w:w="3402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0</w:t>
            </w:r>
          </w:p>
        </w:tc>
        <w:tc>
          <w:tcPr>
            <w:tcW w:type="dxa" w:w="232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projeto_data_analytics.ipynb • seção 3, visão geral</w:t>
            </w:r>
          </w:p>
        </w:tc>
      </w:tr>
      <w:tr>
        <w:trPr>
          <w:cantSplit/>
        </w:trPr>
        <w:tc>
          <w:tcPr>
            <w:tcW w:type="dxa" w:w="567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Q5</w:t>
            </w:r>
          </w:p>
        </w:tc>
        <w:tc>
          <w:tcPr>
            <w:tcW w:type="dxa" w:w="3175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Date e Time • tipo</w:t>
            </w:r>
          </w:p>
        </w:tc>
        <w:tc>
          <w:tcPr>
            <w:tcW w:type="dxa" w:w="3402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Ambas como texto; todas as datas seguem AAAA-MM-DD</w:t>
            </w:r>
          </w:p>
        </w:tc>
        <w:tc>
          <w:tcPr>
            <w:tcW w:type="dxa" w:w="232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projeto_data_analytics.ipynb • seção 3, visão geral</w:t>
            </w:r>
          </w:p>
        </w:tc>
      </w:tr>
      <w:tr>
        <w:trPr>
          <w:cantSplit/>
        </w:trPr>
        <w:tc>
          <w:tcPr>
            <w:tcW w:type="dxa" w:w="567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Q6</w:t>
            </w:r>
          </w:p>
        </w:tc>
        <w:tc>
          <w:tcPr>
            <w:tcW w:type="dxa" w:w="3175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Time • formato HH:MM</w:t>
            </w:r>
          </w:p>
        </w:tc>
        <w:tc>
          <w:tcPr>
            <w:tcW w:type="dxa" w:w="3402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5.444 horários (28,2%) sem zero à esquerda, como 8:47</w:t>
            </w:r>
          </w:p>
        </w:tc>
        <w:tc>
          <w:tcPr>
            <w:tcW w:type="dxa" w:w="232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projeto_data_analytics.ipynb • seção 3, categorias</w:t>
            </w:r>
          </w:p>
        </w:tc>
      </w:tr>
      <w:tr>
        <w:trPr>
          <w:cantSplit/>
        </w:trPr>
        <w:tc>
          <w:tcPr>
            <w:tcW w:type="dxa" w:w="567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Q7</w:t>
            </w:r>
          </w:p>
        </w:tc>
        <w:tc>
          <w:tcPr>
            <w:tcW w:type="dxa" w:w="3175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15 colunas categóricas • grafias, espaços e maiúsculas/minúsculas</w:t>
            </w:r>
          </w:p>
        </w:tc>
        <w:tc>
          <w:tcPr>
            <w:tcW w:type="dxa" w:w="3402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0 problemas</w:t>
            </w:r>
          </w:p>
        </w:tc>
        <w:tc>
          <w:tcPr>
            <w:tcW w:type="dxa" w:w="232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projeto_data_analytics.ipynb • seção 3, categorias</w:t>
            </w:r>
          </w:p>
        </w:tc>
      </w:tr>
      <w:tr>
        <w:trPr>
          <w:cantSplit/>
        </w:trPr>
        <w:tc>
          <w:tcPr>
            <w:tcW w:type="dxa" w:w="567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Q8</w:t>
            </w:r>
          </w:p>
        </w:tc>
        <w:tc>
          <w:tcPr>
            <w:tcW w:type="dxa" w:w="3175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Loyalty_Member, Weekend e Promotion_Applied • tipo</w:t>
            </w:r>
          </w:p>
        </w:tc>
        <w:tc>
          <w:tcPr>
            <w:tcW w:type="dxa" w:w="3402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Yes/No guardado como texto; só esses dois valores</w:t>
            </w:r>
          </w:p>
        </w:tc>
        <w:tc>
          <w:tcPr>
            <w:tcW w:type="dxa" w:w="232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projeto_data_analytics.ipynb • seção 3, categorias</w:t>
            </w:r>
          </w:p>
        </w:tc>
      </w:tr>
      <w:tr>
        <w:trPr>
          <w:cantSplit/>
        </w:trPr>
        <w:tc>
          <w:tcPr>
            <w:tcW w:type="dxa" w:w="567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Q9</w:t>
            </w:r>
          </w:p>
        </w:tc>
        <w:tc>
          <w:tcPr>
            <w:tcW w:type="dxa" w:w="3175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Contas: Selling_Price, Total_Bill, Profit, Unsold_Units e Waste_Pct</w:t>
            </w:r>
          </w:p>
        </w:tc>
        <w:tc>
          <w:tcPr>
            <w:tcW w:type="dxa" w:w="3402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0 violações</w:t>
            </w:r>
          </w:p>
        </w:tc>
        <w:tc>
          <w:tcPr>
            <w:tcW w:type="dxa" w:w="232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projeto_data_analytics.ipynb • seção 3, regras de consistência</w:t>
            </w:r>
          </w:p>
        </w:tc>
      </w:tr>
      <w:tr>
        <w:trPr>
          <w:cantSplit/>
        </w:trPr>
        <w:tc>
          <w:tcPr>
            <w:tcW w:type="dxa" w:w="567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Q10</w:t>
            </w:r>
          </w:p>
        </w:tc>
        <w:tc>
          <w:tcPr>
            <w:tcW w:type="dxa" w:w="3175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Calendário (Year, Month, Day, Day_of_Week, Weekend, Hour, Season) e campos fixos por pedido, cliente, produto e dia</w:t>
            </w:r>
          </w:p>
        </w:tc>
        <w:tc>
          <w:tcPr>
            <w:tcW w:type="dxa" w:w="3402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0 violações</w:t>
            </w:r>
          </w:p>
        </w:tc>
        <w:tc>
          <w:tcPr>
            <w:tcW w:type="dxa" w:w="232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projeto_data_analytics.ipynb • seção 3, regras de consistência</w:t>
            </w:r>
          </w:p>
        </w:tc>
      </w:tr>
      <w:tr>
        <w:trPr>
          <w:cantSplit/>
        </w:trPr>
        <w:tc>
          <w:tcPr>
            <w:tcW w:type="dxa" w:w="567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Q11</w:t>
            </w:r>
          </w:p>
        </w:tc>
        <w:tc>
          <w:tcPr>
            <w:tcW w:type="dxa" w:w="3175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Promotion_Applied = No com Discount_Percentage &gt; 0</w:t>
            </w:r>
          </w:p>
        </w:tc>
        <w:tc>
          <w:tcPr>
            <w:tcW w:type="dxa" w:w="3402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2.089 (10,81%); descontos de 1% a 10,6%, sem padrão por perecibilidade ou fidelidade</w:t>
            </w:r>
          </w:p>
        </w:tc>
        <w:tc>
          <w:tcPr>
            <w:tcW w:type="dxa" w:w="232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projeto_data_analytics.ipynb • seção 3, regras e detalhamento</w:t>
            </w:r>
          </w:p>
        </w:tc>
      </w:tr>
      <w:tr>
        <w:trPr>
          <w:cantSplit/>
        </w:trPr>
        <w:tc>
          <w:tcPr>
            <w:tcW w:type="dxa" w:w="567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Q12</w:t>
            </w:r>
          </w:p>
        </w:tc>
        <w:tc>
          <w:tcPr>
            <w:tcW w:type="dxa" w:w="3175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Cost_Price maior que Selling_Price (lucro negativo)</w:t>
            </w:r>
          </w:p>
        </w:tc>
        <w:tc>
          <w:tcPr>
            <w:tcW w:type="dxa" w:w="3402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7 (0,04%); leite e paneer em Clearance com desconto de 27% a 30%</w:t>
            </w:r>
          </w:p>
        </w:tc>
        <w:tc>
          <w:tcPr>
            <w:tcW w:type="dxa" w:w="232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projeto_data_analytics.ipynb • seção 3, regras e detalhamento</w:t>
            </w:r>
          </w:p>
        </w:tc>
      </w:tr>
      <w:tr>
        <w:trPr>
          <w:cantSplit/>
        </w:trPr>
        <w:tc>
          <w:tcPr>
            <w:tcW w:type="dxa" w:w="567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Q13</w:t>
            </w:r>
          </w:p>
        </w:tc>
        <w:tc>
          <w:tcPr>
            <w:tcW w:type="dxa" w:w="3175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Units_Sold = Quantity e Stock_Available = Unsold_Units</w:t>
            </w:r>
          </w:p>
        </w:tc>
        <w:tc>
          <w:tcPr>
            <w:tcW w:type="dxa" w:w="3402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5.161 (26,71%) e 1.009 (5,22%) diferentes; Units_Sold nunca é menor que Quantity</w:t>
            </w:r>
          </w:p>
        </w:tc>
        <w:tc>
          <w:tcPr>
            <w:tcW w:type="dxa" w:w="232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projeto_data_analytics.ipynb • seção 3, regras de consistência</w:t>
            </w:r>
          </w:p>
        </w:tc>
      </w:tr>
      <w:tr>
        <w:trPr>
          <w:cantSplit/>
        </w:trPr>
        <w:tc>
          <w:tcPr>
            <w:tcW w:type="dxa" w:w="567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Q14</w:t>
            </w:r>
          </w:p>
        </w:tc>
        <w:tc>
          <w:tcPr>
            <w:tcW w:type="dxa" w:w="3175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Shelf_Life_Days fixo por produto</w:t>
            </w:r>
          </w:p>
        </w:tc>
        <w:tc>
          <w:tcPr>
            <w:tcW w:type="dxa" w:w="3402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Varia em 34 dos 35 produtos (mel: 182 a 729 dias)</w:t>
            </w:r>
          </w:p>
        </w:tc>
        <w:tc>
          <w:tcPr>
            <w:tcW w:type="dxa" w:w="232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projeto_data_analytics.ipynb • seção 3, detalhamento</w:t>
            </w:r>
          </w:p>
        </w:tc>
      </w:tr>
      <w:tr>
        <w:trPr>
          <w:cantSplit/>
        </w:trPr>
        <w:tc>
          <w:tcPr>
            <w:tcW w:type="dxa" w:w="567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Q15</w:t>
            </w:r>
          </w:p>
        </w:tc>
        <w:tc>
          <w:tcPr>
            <w:tcW w:type="dxa" w:w="3175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Domínios: idade, temperatura, nota, hora, desconto e valores maiores que zero</w:t>
            </w:r>
          </w:p>
        </w:tc>
        <w:tc>
          <w:tcPr>
            <w:tcW w:type="dxa" w:w="3402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0 fora do domínio</w:t>
            </w:r>
          </w:p>
        </w:tc>
        <w:tc>
          <w:tcPr>
            <w:tcW w:type="dxa" w:w="232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projeto_data_analytics.ipynb • seção 3, domínios</w:t>
            </w:r>
          </w:p>
        </w:tc>
      </w:tr>
      <w:tr>
        <w:trPr>
          <w:cantSplit/>
        </w:trPr>
        <w:tc>
          <w:tcPr>
            <w:tcW w:type="dxa" w:w="567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Q16</w:t>
            </w:r>
          </w:p>
        </w:tc>
        <w:tc>
          <w:tcPr>
            <w:tcW w:type="dxa" w:w="3175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Outliers pela regra do IQR (1,5 × IQR)</w:t>
            </w:r>
          </w:p>
        </w:tc>
        <w:tc>
          <w:tcPr>
            <w:tcW w:type="dxa" w:w="3402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Unit_Price 2.541 (13,2%), Total_Bill 2.637, Profit 2.280 e Quantity 712; concentrados em Cakes. Preço varia no máximo 10% dentro do produto</w:t>
            </w:r>
          </w:p>
        </w:tc>
        <w:tc>
          <w:tcPr>
            <w:tcW w:type="dxa" w:w="232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projeto_data_analytics.ipynb • seção 3, outliers</w:t>
            </w:r>
          </w:p>
        </w:tc>
      </w:tr>
    </w:tbl>
    <w:p>
      <w:pPr>
        <w:spacing w:after="0"/>
      </w:pPr>
    </w:p>
    <w:p>
      <w:pPr>
        <w:pStyle w:val="Heading2"/>
      </w:pPr>
      <w:r>
        <w:t>Impacto dos problemas identificados</w:t>
      </w:r>
    </w:p>
    <w:p>
      <w:pPr>
        <w:spacing w:after="160"/>
      </w:pPr>
      <w:r>
        <w:rPr/>
        <w:t>O maior risco não era um defeito, e sim a granularidade. Tratar Order_ID como chave e remover "duplicatas" por ele apagaria 12.745 itens válidos, dois terços da base, e comprometeria todas as perguntas. Por isso a chave foi a primeira coisa a ser definida (Q1).</w:t>
      </w:r>
    </w:p>
    <w:p>
      <w:pPr>
        <w:spacing w:after="160"/>
      </w:pPr>
      <w:r>
        <w:rPr/>
        <w:t>Depois disso, por ordem de prioridade: os descontos sem promoção registrada (Q11) afetam diretamente a P3, porque misturam itens com e sem promoção; os vazios de Festival e Promotion_Type (Q2 e Q3) e os tipos guardados como texto (Q5, Q6 e Q8) atrapalham agrupamentos e a criação do horário da venda; e as colunas de lote (Q13 e Q14) pedem cuidado na P4, porque não descrevem o pedido. Outliers e lucros negativos (Q12 e Q16) não comprometem o uso: as contas fecham e os valores fazem sentido para cada produto.</w:t>
      </w:r>
    </w:p>
    <w:p>
      <w:pPr>
        <w:pageBreakBefore/>
      </w:pPr>
      <w:r>
        <w:rPr>
          <w:b/>
          <w:color w:val="9B1830"/>
          <w:sz w:val="20"/>
        </w:rPr>
        <w:t>RA1   /   04</w:t>
      </w:r>
    </w:p>
    <w:p>
      <w:pPr>
        <w:pStyle w:val="Heading1"/>
      </w:pPr>
      <w:r>
        <w:t>Limpeza e preparação</w:t>
      </w:r>
    </w:p>
    <w:p>
      <w:r>
        <w:t>Relacione cada intervenção ao diagnóstico. Justifique tanto os tratamentos realizados quanto as decisões de manter os dados.</w:t>
      </w:r>
    </w:p>
    <w:p>
      <w:pPr>
        <w:pStyle w:val="Heading2"/>
      </w:pPr>
      <w:r>
        <w:t>Registro das decisões</w:t>
      </w:r>
    </w:p>
    <w:p>
      <w:pPr>
        <w:spacing w:after="200"/>
      </w:pPr>
      <w:r>
        <w:rPr>
          <w:b/>
        </w:rPr>
        <w:t xml:space="preserve">Decisão e diagnóstico  </w:t>
      </w:r>
      <w:r>
        <w:rPr/>
        <w:t>D1 • relacionado a Q1</w:t>
      </w:r>
    </w:p>
    <w:p>
      <w:pPr>
        <w:pStyle w:val="Heading2"/>
      </w:pPr>
      <w:r>
        <w:t>Problema e abrangência</w:t>
      </w:r>
    </w:p>
    <w:p>
      <w:pPr>
        <w:spacing w:after="160"/>
      </w:pPr>
      <w:r>
        <w:rPr/>
        <w:t>Order_ID aparece repetido em 12.745 das 19.321 linhas. Não há linhas idênticas nem repetição de Order_ID + Product.</w:t>
      </w:r>
    </w:p>
    <w:p>
      <w:pPr>
        <w:spacing w:after="80"/>
        <w:pBdr>
          <w:bottom w:val="single" w:sz="3" w:color="E2E2E2"/>
        </w:pBdr>
      </w:pPr>
      <w:r>
        <w:t xml:space="preserve"> </w:t>
      </w:r>
    </w:p>
    <w:p>
      <w:pPr>
        <w:pStyle w:val="Heading2"/>
      </w:pPr>
      <w:r>
        <w:t>Tratamento e justificativa</w:t>
      </w:r>
    </w:p>
    <w:p>
      <w:pPr>
        <w:spacing w:after="160"/>
      </w:pPr>
      <w:r>
        <w:rPr/>
        <w:t>Nenhuma linha foi removida. A repetição de Order_ID é esperada, porque cada produto do pedido ocupa uma linha. Aplicamos drop_duplicates() apenas sobre linhas totalmente iguais, como garantia, e nada foi removido. Remover por Order_ID apagaria itens reais e reduziria a base a 6.576 linhas.</w:t>
      </w:r>
    </w:p>
    <w:p>
      <w:pPr>
        <w:spacing w:after="80"/>
        <w:pBdr>
          <w:bottom w:val="single" w:sz="3" w:color="E2E2E2"/>
        </w:pBdr>
      </w:pPr>
      <w:r>
        <w:t xml:space="preserve"> </w:t>
      </w:r>
    </w:p>
    <w:p>
      <w:pPr>
        <w:spacing w:after="200"/>
      </w:pPr>
      <w:r>
        <w:rPr>
          <w:b/>
        </w:rPr>
        <w:t xml:space="preserve">Implementação  </w:t>
      </w:r>
      <w:r>
        <w:rPr/>
        <w:t>projeto_data_analytics.ipynb • seção 4, célula D1 (drop_duplicates)</w:t>
      </w:r>
    </w:p>
    <w:p>
      <w:pPr>
        <w:pStyle w:val="Heading2"/>
      </w:pPr>
      <w:r>
        <w:t>Validação após o tratamento</w:t>
      </w:r>
    </w:p>
    <w:p>
      <w:pPr>
        <w:spacing w:after="160"/>
      </w:pPr>
      <w:r>
        <w:rPr/>
        <w:t>19.321 linhas antes e depois e 0 repetições de Order_ID + Product. A regra "Order_ID + Product é único" da seção 6 passou.</w:t>
      </w:r>
    </w:p>
    <w:p>
      <w:pPr>
        <w:spacing w:after="80"/>
        <w:pBdr>
          <w:bottom w:val="single" w:sz="3" w:color="E2E2E2"/>
        </w:pBdr>
      </w:pPr>
      <w:r>
        <w:t xml:space="preserve"> </w:t>
      </w:r>
    </w:p>
    <w:p>
      <w:pPr>
        <w:spacing w:after="200"/>
      </w:pPr>
      <w:r>
        <w:rPr>
          <w:b/>
        </w:rPr>
        <w:t xml:space="preserve">Decisão e diagnóstico  </w:t>
      </w:r>
      <w:r>
        <w:rPr/>
        <w:t>D2 • relacionado a Q2</w:t>
      </w:r>
    </w:p>
    <w:p>
      <w:pPr>
        <w:pStyle w:val="Heading2"/>
      </w:pPr>
      <w:r>
        <w:t>Problema e abrangência</w:t>
      </w:r>
    </w:p>
    <w:p>
      <w:pPr>
        <w:spacing w:after="160"/>
      </w:pPr>
      <w:r>
        <w:rPr/>
        <w:t>Festival está vazio em 16.006 linhas (82,8%). O vazio é fixo por dia e corresponde aos dias sem festival.</w:t>
      </w:r>
    </w:p>
    <w:p>
      <w:pPr>
        <w:spacing w:after="80"/>
        <w:pBdr>
          <w:bottom w:val="single" w:sz="3" w:color="E2E2E2"/>
        </w:pBdr>
      </w:pPr>
      <w:r>
        <w:t xml:space="preserve"> </w:t>
      </w:r>
    </w:p>
    <w:p>
      <w:pPr>
        <w:pStyle w:val="Heading2"/>
      </w:pPr>
      <w:r>
        <w:t>Tratamento e justificativa</w:t>
      </w:r>
    </w:p>
    <w:p>
      <w:pPr>
        <w:spacing w:after="160"/>
      </w:pPr>
      <w:r>
        <w:rPr/>
        <w:t>Preenchemos com o rótulo No Festival usando fillna, para que o dia comum vire uma categoria explícita nos agrupamentos da P2. Evitamos astype(str), que transformaria o vazio no texto "nan". Nenhuma informação é perdida.</w:t>
      </w:r>
    </w:p>
    <w:p>
      <w:pPr>
        <w:spacing w:after="80"/>
        <w:pBdr>
          <w:bottom w:val="single" w:sz="3" w:color="E2E2E2"/>
        </w:pBdr>
      </w:pPr>
      <w:r>
        <w:t xml:space="preserve"> </w:t>
      </w:r>
    </w:p>
    <w:p>
      <w:pPr>
        <w:spacing w:after="200"/>
      </w:pPr>
      <w:r>
        <w:rPr>
          <w:b/>
        </w:rPr>
        <w:t xml:space="preserve">Implementação  </w:t>
      </w:r>
      <w:r>
        <w:rPr/>
        <w:t>projeto_data_analytics.ipynb • seção 4, célula D2 e D3 (fillna)</w:t>
      </w:r>
    </w:p>
    <w:p>
      <w:pPr>
        <w:pStyle w:val="Heading2"/>
      </w:pPr>
      <w:r>
        <w:t>Validação após o tratamento</w:t>
      </w:r>
    </w:p>
    <w:p>
      <w:pPr>
        <w:spacing w:after="160"/>
      </w:pPr>
      <w:r>
        <w:rPr/>
        <w:t>0 ausentes em Festival depois do tratamento. A regra "Sem 'nan' como texto em Festival e Promotion_Type" da seção 6 passou.</w:t>
      </w:r>
    </w:p>
    <w:p>
      <w:pPr>
        <w:spacing w:after="80"/>
        <w:pBdr>
          <w:bottom w:val="single" w:sz="3" w:color="E2E2E2"/>
        </w:pBdr>
      </w:pPr>
      <w:r>
        <w:t xml:space="preserve"> </w:t>
      </w:r>
    </w:p>
    <w:p>
      <w:pPr>
        <w:spacing w:after="200"/>
      </w:pPr>
      <w:r>
        <w:rPr>
          <w:b/>
        </w:rPr>
        <w:t xml:space="preserve">Decisão e diagnóstico  </w:t>
      </w:r>
      <w:r>
        <w:rPr/>
        <w:t>D3 • relacionado a Q3</w:t>
      </w:r>
    </w:p>
    <w:p>
      <w:pPr>
        <w:pStyle w:val="Heading2"/>
      </w:pPr>
      <w:r>
        <w:t>Problema e abrangência</w:t>
      </w:r>
    </w:p>
    <w:p>
      <w:pPr>
        <w:spacing w:after="160"/>
      </w:pPr>
      <w:r>
        <w:rPr/>
        <w:t>Promotion_Type está vazio em 13.826 linhas (71,6%), exatamente as linhas com Promotion_Applied = No.</w:t>
      </w:r>
    </w:p>
    <w:p>
      <w:pPr>
        <w:spacing w:after="80"/>
        <w:pBdr>
          <w:bottom w:val="single" w:sz="3" w:color="E2E2E2"/>
        </w:pBdr>
      </w:pPr>
      <w:r>
        <w:t xml:space="preserve"> </w:t>
      </w:r>
    </w:p>
    <w:p>
      <w:pPr>
        <w:pStyle w:val="Heading2"/>
      </w:pPr>
      <w:r>
        <w:t>Tratamento e justificativa</w:t>
      </w:r>
    </w:p>
    <w:p>
      <w:pPr>
        <w:spacing w:after="160"/>
      </w:pPr>
      <w:r>
        <w:rPr/>
        <w:t>Preenchemos com No Promotion. Como os vazios coincidem com a ausência de promoção, o rótulo só deixa explícito o que já estava implícito.</w:t>
      </w:r>
    </w:p>
    <w:p>
      <w:pPr>
        <w:spacing w:after="80"/>
        <w:pBdr>
          <w:bottom w:val="single" w:sz="3" w:color="E2E2E2"/>
        </w:pBdr>
      </w:pPr>
      <w:r>
        <w:t xml:space="preserve"> </w:t>
      </w:r>
    </w:p>
    <w:p>
      <w:pPr>
        <w:spacing w:after="200"/>
      </w:pPr>
      <w:r>
        <w:rPr>
          <w:b/>
        </w:rPr>
        <w:t xml:space="preserve">Implementação  </w:t>
      </w:r>
      <w:r>
        <w:rPr/>
        <w:t>projeto_data_analytics.ipynb • seção 4, célula D2 e D3 (fillna)</w:t>
      </w:r>
    </w:p>
    <w:p>
      <w:pPr>
        <w:pStyle w:val="Heading2"/>
      </w:pPr>
      <w:r>
        <w:t>Validação após o tratamento</w:t>
      </w:r>
    </w:p>
    <w:p>
      <w:pPr>
        <w:spacing w:after="160"/>
      </w:pPr>
      <w:r>
        <w:rPr/>
        <w:t>0 ausentes depois do tratamento. A tabela cruzada Promotion_Type × Promotion_Applied mostra No Promotion apenas com Promotion_Applied falso, e a regra correspondente da seção 6 passou.</w:t>
      </w:r>
    </w:p>
    <w:p>
      <w:pPr>
        <w:spacing w:after="80"/>
        <w:pBdr>
          <w:bottom w:val="single" w:sz="3" w:color="E2E2E2"/>
        </w:pBdr>
      </w:pPr>
      <w:r>
        <w:t xml:space="preserve"> </w:t>
      </w:r>
    </w:p>
    <w:p>
      <w:pPr>
        <w:spacing w:after="200"/>
      </w:pPr>
      <w:r>
        <w:rPr>
          <w:b/>
        </w:rPr>
        <w:t xml:space="preserve">Decisão e diagnóstico  </w:t>
      </w:r>
      <w:r>
        <w:rPr/>
        <w:t>D4 • relacionado a Q11</w:t>
      </w:r>
    </w:p>
    <w:p>
      <w:pPr>
        <w:pStyle w:val="Heading2"/>
      </w:pPr>
      <w:r>
        <w:t>Problema e abrangência</w:t>
      </w:r>
    </w:p>
    <w:p>
      <w:pPr>
        <w:spacing w:after="160"/>
      </w:pPr>
      <w:r>
        <w:rPr/>
        <w:t>2.089 itens (10,81%) têm Discount_Percentage maior que zero, mas Promotion_Applied = No. Os descontos vão de 1% a 10,6% e não seguem padrão por perecibilidade ou fidelidade.</w:t>
      </w:r>
    </w:p>
    <w:p>
      <w:pPr>
        <w:spacing w:after="80"/>
        <w:pBdr>
          <w:bottom w:val="single" w:sz="3" w:color="E2E2E2"/>
        </w:pBdr>
      </w:pPr>
      <w:r>
        <w:t xml:space="preserve"> </w:t>
      </w:r>
    </w:p>
    <w:p>
      <w:pPr>
        <w:pStyle w:val="Heading2"/>
      </w:pPr>
      <w:r>
        <w:t>Tratamento e justificativa</w:t>
      </w:r>
    </w:p>
    <w:p>
      <w:pPr>
        <w:spacing w:after="160"/>
      </w:pPr>
      <w:r>
        <w:rPr/>
        <w:t>Mantivemos o desconto e criamos a coluna booleana Discount_Without_Promotion para marcar esses itens. Selling_Price, Total_Bill e Profit já foram calculados com o desconto, então zerá-lo deixaria essas três colunas erradas em 2.089 linhas. Com a marcação, a análise da P3 pode separar ou excluir esses casos conforme a necessidade.</w:t>
      </w:r>
    </w:p>
    <w:p>
      <w:pPr>
        <w:spacing w:after="80"/>
        <w:pBdr>
          <w:bottom w:val="single" w:sz="3" w:color="E2E2E2"/>
        </w:pBdr>
      </w:pPr>
      <w:r>
        <w:t xml:space="preserve"> </w:t>
      </w:r>
    </w:p>
    <w:p>
      <w:pPr>
        <w:spacing w:after="200"/>
      </w:pPr>
      <w:r>
        <w:rPr>
          <w:b/>
        </w:rPr>
        <w:t xml:space="preserve">Implementação  </w:t>
      </w:r>
      <w:r>
        <w:rPr/>
        <w:t>projeto_data_analytics.ipynb • seção 4, célula D4</w:t>
      </w:r>
    </w:p>
    <w:p>
      <w:pPr>
        <w:pStyle w:val="Heading2"/>
      </w:pPr>
      <w:r>
        <w:t>Validação após o tratamento</w:t>
      </w:r>
    </w:p>
    <w:p>
      <w:pPr>
        <w:spacing w:after="160"/>
      </w:pPr>
      <w:r>
        <w:rPr/>
        <w:t>2.089 itens marcados e nenhum desconto alterado. Na seção 6 passaram as regras "Descontos sem promoção marcados (2.089)", "Total_Bill = Selling_Price × Quantity" e "Valores financeiros iguais aos originais".</w:t>
      </w:r>
    </w:p>
    <w:p>
      <w:pPr>
        <w:spacing w:after="80"/>
        <w:pBdr>
          <w:bottom w:val="single" w:sz="3" w:color="E2E2E2"/>
        </w:pBdr>
      </w:pPr>
      <w:r>
        <w:t xml:space="preserve"> </w:t>
      </w:r>
    </w:p>
    <w:p>
      <w:pPr>
        <w:spacing w:after="200"/>
      </w:pPr>
      <w:r>
        <w:rPr>
          <w:b/>
        </w:rPr>
        <w:t xml:space="preserve">Decisão e diagnóstico  </w:t>
      </w:r>
      <w:r>
        <w:rPr/>
        <w:t>D5 • relacionado a Q5, Q6 e Q8</w:t>
      </w:r>
    </w:p>
    <w:p>
      <w:pPr>
        <w:pStyle w:val="Heading2"/>
      </w:pPr>
      <w:r>
        <w:t>Problema e abrangência</w:t>
      </w:r>
    </w:p>
    <w:p>
      <w:pPr>
        <w:spacing w:after="160"/>
      </w:pPr>
      <w:r>
        <w:rPr/>
        <w:t>Date e Time estão como texto, e Time não tem zero à esquerda em 5.444 horários (28,2%). Loyalty_Member, Weekend e Promotion_Applied guardam Yes/No como texto.</w:t>
      </w:r>
    </w:p>
    <w:p>
      <w:pPr>
        <w:spacing w:after="80"/>
        <w:pBdr>
          <w:bottom w:val="single" w:sz="3" w:color="E2E2E2"/>
        </w:pBdr>
      </w:pPr>
      <w:r>
        <w:t xml:space="preserve"> </w:t>
      </w:r>
    </w:p>
    <w:p>
      <w:pPr>
        <w:pStyle w:val="Heading2"/>
      </w:pPr>
      <w:r>
        <w:t>Tratamento e justificativa</w:t>
      </w:r>
    </w:p>
    <w:p>
      <w:pPr>
        <w:spacing w:after="160"/>
      </w:pPr>
      <w:r>
        <w:rPr/>
        <w:t>Date foi convertida para datetime com o formato AAAA-MM-DD, Time foi padronizado em HH:MM e as três colunas Yes/No viraram booleanas. Com os tipos corretos dá para ordenar as vendas no tempo, criar o Timestamp e filtrar sem depender de comparação de texto.</w:t>
      </w:r>
    </w:p>
    <w:p>
      <w:pPr>
        <w:spacing w:after="80"/>
        <w:pBdr>
          <w:bottom w:val="single" w:sz="3" w:color="E2E2E2"/>
        </w:pBdr>
      </w:pPr>
      <w:r>
        <w:t xml:space="preserve"> </w:t>
      </w:r>
    </w:p>
    <w:p>
      <w:pPr>
        <w:spacing w:after="200"/>
      </w:pPr>
      <w:r>
        <w:rPr>
          <w:b/>
        </w:rPr>
        <w:t xml:space="preserve">Implementação  </w:t>
      </w:r>
      <w:r>
        <w:rPr/>
        <w:t>projeto_data_analytics.ipynb • seção 4, célula D5 (pd.to_datetime e map)</w:t>
      </w:r>
    </w:p>
    <w:p>
      <w:pPr>
        <w:pStyle w:val="Heading2"/>
      </w:pPr>
      <w:r>
        <w:t>Validação após o tratamento</w:t>
      </w:r>
    </w:p>
    <w:p>
      <w:pPr>
        <w:spacing w:after="160"/>
      </w:pPr>
      <w:r>
        <w:rPr/>
        <w:t>Todas as datas e horários foram convertidos, nenhum valor ficou fora de verdadeiro/falso e nenhum horário ficou fora de HH:MM. As regras de tipo e formato da seção 6 passaram.</w:t>
      </w:r>
    </w:p>
    <w:p>
      <w:pPr>
        <w:spacing w:after="80"/>
        <w:pBdr>
          <w:bottom w:val="single" w:sz="3" w:color="E2E2E2"/>
        </w:pBdr>
      </w:pPr>
      <w:r>
        <w:t xml:space="preserve"> </w:t>
      </w:r>
    </w:p>
    <w:p>
      <w:pPr>
        <w:spacing w:after="200"/>
      </w:pPr>
      <w:r>
        <w:rPr>
          <w:b/>
        </w:rPr>
        <w:t xml:space="preserve">Decisão e diagnóstico  </w:t>
      </w:r>
      <w:r>
        <w:rPr/>
        <w:t>D6 • relacionado a Q16</w:t>
      </w:r>
    </w:p>
    <w:p>
      <w:pPr>
        <w:pStyle w:val="Heading2"/>
      </w:pPr>
      <w:r>
        <w:t>Problema e abrangência</w:t>
      </w:r>
    </w:p>
    <w:p>
      <w:pPr>
        <w:spacing w:after="160"/>
      </w:pPr>
      <w:r>
        <w:rPr/>
        <w:t>Pela regra do IQR, Unit_Price tem 2.541 casos (13,2%), Total_Bill 2.637, Profit 2.280 e Quantity 712.</w:t>
      </w:r>
    </w:p>
    <w:p>
      <w:pPr>
        <w:spacing w:after="80"/>
        <w:pBdr>
          <w:bottom w:val="single" w:sz="3" w:color="E2E2E2"/>
        </w:pBdr>
      </w:pPr>
      <w:r>
        <w:t xml:space="preserve"> </w:t>
      </w:r>
    </w:p>
    <w:p>
      <w:pPr>
        <w:pStyle w:val="Heading2"/>
      </w:pPr>
      <w:r>
        <w:t>Tratamento e justificativa</w:t>
      </w:r>
    </w:p>
    <w:p>
      <w:pPr>
        <w:spacing w:after="160"/>
      </w:pPr>
      <w:r>
        <w:rPr/>
        <w:t>Mantidos. Preço, total e lucro altos se concentram nos bolos, que custam cerca de 400 por unidade, enquanto o pão custa cerca de 40. As quantidades altas (até 20) aparecem em itens baratos, como Paav e Nankhatai. Um valor extremo, por si só, não indica erro, e excluir esses casos tiraria da base quase toda uma categoria de produtos.</w:t>
      </w:r>
    </w:p>
    <w:p>
      <w:pPr>
        <w:spacing w:after="80"/>
        <w:pBdr>
          <w:bottom w:val="single" w:sz="3" w:color="E2E2E2"/>
        </w:pBdr>
      </w:pPr>
      <w:r>
        <w:t xml:space="preserve"> </w:t>
      </w:r>
    </w:p>
    <w:p>
      <w:pPr>
        <w:spacing w:after="200"/>
      </w:pPr>
      <w:r>
        <w:rPr>
          <w:b/>
        </w:rPr>
        <w:t xml:space="preserve">Implementação  </w:t>
      </w:r>
      <w:r>
        <w:rPr/>
        <w:t>projeto_data_analytics.ipynb • seção 3 (IQR e variação de preço) e seção 4, célula D6 a D10</w:t>
      </w:r>
    </w:p>
    <w:p>
      <w:pPr>
        <w:pStyle w:val="Heading2"/>
      </w:pPr>
      <w:r>
        <w:t>Validação após o tratamento</w:t>
      </w:r>
    </w:p>
    <w:p>
      <w:pPr>
        <w:spacing w:after="160"/>
      </w:pPr>
      <w:r>
        <w:rPr/>
        <w:t>Nenhum produto tem variação de preço acima de 10% e nenhum valor está fora dos domínios definidos.</w:t>
      </w:r>
    </w:p>
    <w:p>
      <w:pPr>
        <w:spacing w:after="80"/>
        <w:pBdr>
          <w:bottom w:val="single" w:sz="3" w:color="E2E2E2"/>
        </w:pBdr>
      </w:pPr>
      <w:r>
        <w:t xml:space="preserve"> </w:t>
      </w:r>
    </w:p>
    <w:p>
      <w:pPr>
        <w:spacing w:after="200"/>
      </w:pPr>
      <w:r>
        <w:rPr>
          <w:b/>
        </w:rPr>
        <w:t xml:space="preserve">Decisão e diagnóstico  </w:t>
      </w:r>
      <w:r>
        <w:rPr/>
        <w:t>D7 • relacionado a Q12</w:t>
      </w:r>
    </w:p>
    <w:p>
      <w:pPr>
        <w:pStyle w:val="Heading2"/>
      </w:pPr>
      <w:r>
        <w:t>Problema e abrangência</w:t>
      </w:r>
    </w:p>
    <w:p>
      <w:pPr>
        <w:spacing w:after="160"/>
      </w:pPr>
      <w:r>
        <w:rPr/>
        <w:t>7 itens têm Cost_Price maior que Selling_Price, ou seja, lucro negativo.</w:t>
      </w:r>
    </w:p>
    <w:p>
      <w:pPr>
        <w:spacing w:after="80"/>
        <w:pBdr>
          <w:bottom w:val="single" w:sz="3" w:color="E2E2E2"/>
        </w:pBdr>
      </w:pPr>
      <w:r>
        <w:t xml:space="preserve"> </w:t>
      </w:r>
    </w:p>
    <w:p>
      <w:pPr>
        <w:pStyle w:val="Heading2"/>
      </w:pPr>
      <w:r>
        <w:t>Tratamento e justificativa</w:t>
      </w:r>
    </w:p>
    <w:p>
      <w:pPr>
        <w:spacing w:after="160"/>
      </w:pPr>
      <w:r>
        <w:rPr/>
        <w:t>Mantidos. Todos são leite ou paneer em promoção do tipo Clearance com desconto de 27% a 30%, maior que a margem do produto. As contas estão corretas, e esses casos interessam justamente à P3.</w:t>
      </w:r>
    </w:p>
    <w:p>
      <w:pPr>
        <w:spacing w:after="80"/>
        <w:pBdr>
          <w:bottom w:val="single" w:sz="3" w:color="E2E2E2"/>
        </w:pBdr>
      </w:pPr>
      <w:r>
        <w:t xml:space="preserve"> </w:t>
      </w:r>
    </w:p>
    <w:p>
      <w:pPr>
        <w:spacing w:after="200"/>
      </w:pPr>
      <w:r>
        <w:rPr>
          <w:b/>
        </w:rPr>
        <w:t xml:space="preserve">Implementação  </w:t>
      </w:r>
      <w:r>
        <w:rPr/>
        <w:t>projeto_data_analytics.ipynb • seção 4, célula D6 a D10</w:t>
      </w:r>
    </w:p>
    <w:p>
      <w:pPr>
        <w:pStyle w:val="Heading2"/>
      </w:pPr>
      <w:r>
        <w:t>Validação após o tratamento</w:t>
      </w:r>
    </w:p>
    <w:p>
      <w:pPr>
        <w:spacing w:after="160"/>
      </w:pPr>
      <w:r>
        <w:rPr/>
        <w:t>As 7 linhas continuam na base, todas do tipo Clearance, e a soma de Profit é igual à da base original (regra "Valores financeiros iguais aos originais" da seção 6).</w:t>
      </w:r>
    </w:p>
    <w:p>
      <w:pPr>
        <w:spacing w:after="80"/>
        <w:pBdr>
          <w:bottom w:val="single" w:sz="3" w:color="E2E2E2"/>
        </w:pBdr>
      </w:pPr>
      <w:r>
        <w:t xml:space="preserve"> </w:t>
      </w:r>
    </w:p>
    <w:p>
      <w:pPr>
        <w:spacing w:after="200"/>
      </w:pPr>
      <w:r>
        <w:rPr>
          <w:b/>
        </w:rPr>
        <w:t xml:space="preserve">Decisão e diagnóstico  </w:t>
      </w:r>
      <w:r>
        <w:rPr/>
        <w:t>D8 • relacionado a Q13</w:t>
      </w:r>
    </w:p>
    <w:p>
      <w:pPr>
        <w:pStyle w:val="Heading2"/>
      </w:pPr>
      <w:r>
        <w:t>Problema e abrangência</w:t>
      </w:r>
    </w:p>
    <w:p>
      <w:pPr>
        <w:spacing w:after="160"/>
      </w:pPr>
      <w:r>
        <w:rPr/>
        <w:t>Units_Sold difere de Quantity em 5.161 linhas (26,71%) e Stock_Available difere de Unsold_Units em 1.009 (5,22%).</w:t>
      </w:r>
    </w:p>
    <w:p>
      <w:pPr>
        <w:spacing w:after="80"/>
        <w:pBdr>
          <w:bottom w:val="single" w:sz="3" w:color="E2E2E2"/>
        </w:pBdr>
      </w:pPr>
      <w:r>
        <w:t xml:space="preserve"> </w:t>
      </w:r>
    </w:p>
    <w:p>
      <w:pPr>
        <w:pStyle w:val="Heading2"/>
      </w:pPr>
      <w:r>
        <w:t>Tratamento e justificativa</w:t>
      </w:r>
    </w:p>
    <w:p>
      <w:pPr>
        <w:spacing w:after="160"/>
      </w:pPr>
      <w:r>
        <w:rPr/>
        <w:t>Mantidos e documentados. Units_Sold nunca é menor que Quantity, o que indica que essas colunas descrevem o lote de produção do produto, e não o pedido. Elas não serão usadas para calcular o valor vendido; para isso usamos Quantity e Total_Bill. Na P4, a sobra será medida por Waste_Pct e Unsold_Units do lote.</w:t>
      </w:r>
    </w:p>
    <w:p>
      <w:pPr>
        <w:spacing w:after="80"/>
        <w:pBdr>
          <w:bottom w:val="single" w:sz="3" w:color="E2E2E2"/>
        </w:pBdr>
      </w:pPr>
      <w:r>
        <w:t xml:space="preserve"> </w:t>
      </w:r>
    </w:p>
    <w:p>
      <w:pPr>
        <w:spacing w:after="200"/>
      </w:pPr>
      <w:r>
        <w:rPr>
          <w:b/>
        </w:rPr>
        <w:t xml:space="preserve">Implementação  </w:t>
      </w:r>
      <w:r>
        <w:rPr/>
        <w:t>projeto_data_analytics.ipynb • seção 3 (regras de consistência) e seção 4, célula D6 a D10</w:t>
      </w:r>
    </w:p>
    <w:p>
      <w:pPr>
        <w:pStyle w:val="Heading2"/>
      </w:pPr>
      <w:r>
        <w:t>Validação após o tratamento</w:t>
      </w:r>
    </w:p>
    <w:p>
      <w:pPr>
        <w:spacing w:after="160"/>
      </w:pPr>
      <w:r>
        <w:rPr/>
        <w:t>0 linhas com Units_Sold menor que Quantity, e Unsold_Units = Units_Produced − Units_Sold em todas as linhas.</w:t>
      </w:r>
    </w:p>
    <w:p>
      <w:pPr>
        <w:spacing w:after="80"/>
        <w:pBdr>
          <w:bottom w:val="single" w:sz="3" w:color="E2E2E2"/>
        </w:pBdr>
      </w:pPr>
      <w:r>
        <w:t xml:space="preserve"> </w:t>
      </w:r>
    </w:p>
    <w:p>
      <w:pPr>
        <w:spacing w:after="200"/>
      </w:pPr>
      <w:r>
        <w:rPr>
          <w:b/>
        </w:rPr>
        <w:t xml:space="preserve">Decisão e diagnóstico  </w:t>
      </w:r>
      <w:r>
        <w:rPr/>
        <w:t>D9 • relacionado a Q14</w:t>
      </w:r>
    </w:p>
    <w:p>
      <w:pPr>
        <w:pStyle w:val="Heading2"/>
      </w:pPr>
      <w:r>
        <w:t>Problema e abrangência</w:t>
      </w:r>
    </w:p>
    <w:p>
      <w:pPr>
        <w:spacing w:after="160"/>
      </w:pPr>
      <w:r>
        <w:rPr/>
        <w:t>Shelf_Life_Days varia dentro do mesmo produto em 34 dos 35 produtos (o mel, por exemplo, vai de 182 a 729 dias).</w:t>
      </w:r>
    </w:p>
    <w:p>
      <w:pPr>
        <w:spacing w:after="80"/>
        <w:pBdr>
          <w:bottom w:val="single" w:sz="3" w:color="E2E2E2"/>
        </w:pBdr>
      </w:pPr>
      <w:r>
        <w:t xml:space="preserve"> </w:t>
      </w:r>
    </w:p>
    <w:p>
      <w:pPr>
        <w:pStyle w:val="Heading2"/>
      </w:pPr>
      <w:r>
        <w:t>Tratamento e justificativa</w:t>
      </w:r>
    </w:p>
    <w:p>
      <w:pPr>
        <w:spacing w:after="160"/>
      </w:pPr>
      <w:r>
        <w:rPr/>
        <w:t>Mantido. Os valores são plausíveis para cada tipo de produto, então lemos a coluna como a vida útil do lote. Na P4, a perecibilidade será analisada principalmente pela coluna Perishability, que é fixa por produto.</w:t>
      </w:r>
    </w:p>
    <w:p>
      <w:pPr>
        <w:spacing w:after="80"/>
        <w:pBdr>
          <w:bottom w:val="single" w:sz="3" w:color="E2E2E2"/>
        </w:pBdr>
      </w:pPr>
      <w:r>
        <w:t xml:space="preserve"> </w:t>
      </w:r>
    </w:p>
    <w:p>
      <w:pPr>
        <w:spacing w:after="200"/>
      </w:pPr>
      <w:r>
        <w:rPr>
          <w:b/>
        </w:rPr>
        <w:t xml:space="preserve">Implementação  </w:t>
      </w:r>
      <w:r>
        <w:rPr/>
        <w:t>projeto_data_analytics.ipynb • seção 3 (exemplos de Shelf_Life_Days)</w:t>
      </w:r>
    </w:p>
    <w:p>
      <w:pPr>
        <w:pStyle w:val="Heading2"/>
      </w:pPr>
      <w:r>
        <w:t>Validação após o tratamento</w:t>
      </w:r>
    </w:p>
    <w:p>
      <w:pPr>
        <w:spacing w:after="160"/>
      </w:pPr>
      <w:r>
        <w:rPr/>
        <w:t>Category, Storage_Type e Perishability não variam dentro do produto (0 violações) e nenhum Shelf_Life_Days é menor ou igual a zero.</w:t>
      </w:r>
    </w:p>
    <w:p>
      <w:pPr>
        <w:spacing w:after="80"/>
        <w:pBdr>
          <w:bottom w:val="single" w:sz="3" w:color="E2E2E2"/>
        </w:pBdr>
      </w:pPr>
      <w:r>
        <w:t xml:space="preserve"> </w:t>
      </w:r>
    </w:p>
    <w:p>
      <w:pPr>
        <w:spacing w:after="200"/>
      </w:pPr>
      <w:r>
        <w:rPr>
          <w:b/>
        </w:rPr>
        <w:t xml:space="preserve">Decisão e diagnóstico  </w:t>
      </w:r>
      <w:r>
        <w:rPr/>
        <w:t>D10 • relacionado a Q4, Q7, Q9, Q10 e Q15</w:t>
      </w:r>
    </w:p>
    <w:p>
      <w:pPr>
        <w:pStyle w:val="Heading2"/>
      </w:pPr>
      <w:r>
        <w:t>Problema e abrangência</w:t>
      </w:r>
    </w:p>
    <w:p>
      <w:pPr>
        <w:spacing w:after="160"/>
      </w:pPr>
      <w:r>
        <w:rPr/>
        <w:t>Ausências nas demais colunas, grafia das categorias, contas entre colunas, calendário e domínios numéricos.</w:t>
      </w:r>
    </w:p>
    <w:p>
      <w:pPr>
        <w:spacing w:after="80"/>
        <w:pBdr>
          <w:bottom w:val="single" w:sz="3" w:color="E2E2E2"/>
        </w:pBdr>
      </w:pPr>
      <w:r>
        <w:t xml:space="preserve"> </w:t>
      </w:r>
    </w:p>
    <w:p>
      <w:pPr>
        <w:pStyle w:val="Heading2"/>
      </w:pPr>
      <w:r>
        <w:t>Tratamento e justificativa</w:t>
      </w:r>
    </w:p>
    <w:p>
      <w:pPr>
        <w:spacing w:after="160"/>
      </w:pPr>
      <w:r>
        <w:rPr/>
        <w:t>Nenhuma alteração, porque não encontramos problemas. Registramos a decisão para deixar claro que as verificações foram feitas e que os dados foram mantidos de propósito.</w:t>
      </w:r>
    </w:p>
    <w:p>
      <w:pPr>
        <w:spacing w:after="80"/>
        <w:pBdr>
          <w:bottom w:val="single" w:sz="3" w:color="E2E2E2"/>
        </w:pBdr>
      </w:pPr>
      <w:r>
        <w:t xml:space="preserve"> </w:t>
      </w:r>
    </w:p>
    <w:p>
      <w:pPr>
        <w:spacing w:after="200"/>
      </w:pPr>
      <w:r>
        <w:rPr>
          <w:b/>
        </w:rPr>
        <w:t xml:space="preserve">Implementação  </w:t>
      </w:r>
      <w:r>
        <w:rPr/>
        <w:t>projeto_data_analytics.ipynb • seção 3 (categorias, regras de consistência e domínios)</w:t>
      </w:r>
    </w:p>
    <w:p>
      <w:pPr>
        <w:pStyle w:val="Heading2"/>
      </w:pPr>
      <w:r>
        <w:t>Validação após o tratamento</w:t>
      </w:r>
    </w:p>
    <w:p>
      <w:pPr>
        <w:spacing w:after="160"/>
      </w:pPr>
      <w:r>
        <w:rPr/>
        <w:t>0 violações em todas essas verificações. A ausência de valores e as contas de total e lucro foram conferidas de novo na base final, pelas regras da seção 6.</w:t>
      </w:r>
    </w:p>
    <w:p>
      <w:pPr>
        <w:spacing w:after="80"/>
        <w:pBdr>
          <w:bottom w:val="single" w:sz="3" w:color="E2E2E2"/>
        </w:pBdr>
      </w:pPr>
      <w:r>
        <w:t xml:space="preserve"> </w:t>
      </w:r>
    </w:p>
    <w:p>
      <w:pPr>
        <w:pStyle w:val="Heading2"/>
      </w:pPr>
      <w:r>
        <w:t>Resumo das intervenções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850"/>
        <w:gridCol w:w="3458"/>
        <w:gridCol w:w="2835"/>
        <w:gridCol w:w="2324"/>
      </w:tblGrid>
      <w:tr>
        <w:trPr>
          <w:cantSplit/>
          <w:tblHeader/>
        </w:trPr>
        <w:tc>
          <w:tcPr>
            <w:tcW w:type="dxa" w:w="850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Decisão</w:t>
            </w:r>
          </w:p>
        </w:tc>
        <w:tc>
          <w:tcPr>
            <w:tcW w:type="dxa" w:w="3458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Ação executada</w:t>
            </w:r>
          </w:p>
        </w:tc>
        <w:tc>
          <w:tcPr>
            <w:tcW w:type="dxa" w:w="2835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Impacto nos dados</w:t>
            </w:r>
          </w:p>
        </w:tc>
        <w:tc>
          <w:tcPr>
            <w:tcW w:type="dxa" w:w="2324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Evidência</w:t>
            </w:r>
          </w:p>
        </w:tc>
      </w:tr>
      <w:tr>
        <w:trPr>
          <w:cantSplit/>
        </w:trPr>
        <w:tc>
          <w:tcPr>
            <w:tcW w:type="dxa" w:w="850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D1</w:t>
            </w:r>
          </w:p>
        </w:tc>
        <w:tc>
          <w:tcPr>
            <w:tcW w:type="dxa" w:w="345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Nenhuma remoção; chave Order_ID + Product</w:t>
            </w:r>
          </w:p>
        </w:tc>
        <w:tc>
          <w:tcPr>
            <w:tcW w:type="dxa" w:w="2835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0 linhas removidas</w:t>
            </w:r>
          </w:p>
        </w:tc>
        <w:tc>
          <w:tcPr>
            <w:tcW w:type="dxa" w:w="232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projeto_data_analytics.ipynb • seção 4, célula D1</w:t>
            </w:r>
          </w:p>
        </w:tc>
      </w:tr>
      <w:tr>
        <w:trPr>
          <w:cantSplit/>
        </w:trPr>
        <w:tc>
          <w:tcPr>
            <w:tcW w:type="dxa" w:w="850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D2</w:t>
            </w:r>
          </w:p>
        </w:tc>
        <w:tc>
          <w:tcPr>
            <w:tcW w:type="dxa" w:w="3458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Festival vazio preenchido com No Festival</w:t>
            </w:r>
          </w:p>
        </w:tc>
        <w:tc>
          <w:tcPr>
            <w:tcW w:type="dxa" w:w="2835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16.006 valores preenchidos</w:t>
            </w:r>
          </w:p>
        </w:tc>
        <w:tc>
          <w:tcPr>
            <w:tcW w:type="dxa" w:w="2324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projeto_data_analytics.ipynb • seção 4, célula D2 e D3</w:t>
            </w:r>
          </w:p>
        </w:tc>
      </w:tr>
      <w:tr>
        <w:trPr>
          <w:cantSplit/>
        </w:trPr>
        <w:tc>
          <w:tcPr>
            <w:tcW w:type="dxa" w:w="850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D3</w:t>
            </w:r>
          </w:p>
        </w:tc>
        <w:tc>
          <w:tcPr>
            <w:tcW w:type="dxa" w:w="3458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Promotion_Type vazio preenchido com No Promotion</w:t>
            </w:r>
          </w:p>
        </w:tc>
        <w:tc>
          <w:tcPr>
            <w:tcW w:type="dxa" w:w="2835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13.826 valores preenchidos</w:t>
            </w:r>
          </w:p>
        </w:tc>
        <w:tc>
          <w:tcPr>
            <w:tcW w:type="dxa" w:w="2324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projeto_data_analytics.ipynb • seção 4, célula D2 e D3</w:t>
            </w:r>
          </w:p>
        </w:tc>
      </w:tr>
      <w:tr>
        <w:trPr>
          <w:cantSplit/>
        </w:trPr>
        <w:tc>
          <w:tcPr>
            <w:tcW w:type="dxa" w:w="850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D4</w:t>
            </w:r>
          </w:p>
        </w:tc>
        <w:tc>
          <w:tcPr>
            <w:tcW w:type="dxa" w:w="3458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Desconto mantido e coluna Discount_Without_Promotion criada</w:t>
            </w:r>
          </w:p>
        </w:tc>
        <w:tc>
          <w:tcPr>
            <w:tcW w:type="dxa" w:w="2835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+1 coluna; 2.089 itens marcados</w:t>
            </w:r>
          </w:p>
        </w:tc>
        <w:tc>
          <w:tcPr>
            <w:tcW w:type="dxa" w:w="2324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projeto_data_analytics.ipynb • seção 4, célula D4</w:t>
            </w:r>
          </w:p>
        </w:tc>
      </w:tr>
      <w:tr>
        <w:trPr>
          <w:cantSplit/>
        </w:trPr>
        <w:tc>
          <w:tcPr>
            <w:tcW w:type="dxa" w:w="850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D5</w:t>
            </w:r>
          </w:p>
        </w:tc>
        <w:tc>
          <w:tcPr>
            <w:tcW w:type="dxa" w:w="3458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Date em datetime, Time em HH:MM e Yes/No em booleano</w:t>
            </w:r>
          </w:p>
        </w:tc>
        <w:tc>
          <w:tcPr>
            <w:tcW w:type="dxa" w:w="2835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5 colunas; 5.444 horários ajustados</w:t>
            </w:r>
          </w:p>
        </w:tc>
        <w:tc>
          <w:tcPr>
            <w:tcW w:type="dxa" w:w="2324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projeto_data_analytics.ipynb • seção 4, célula D5</w:t>
            </w:r>
          </w:p>
        </w:tc>
      </w:tr>
      <w:tr>
        <w:trPr>
          <w:cantSplit/>
        </w:trPr>
        <w:tc>
          <w:tcPr>
            <w:tcW w:type="dxa" w:w="850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D6</w:t>
            </w:r>
          </w:p>
        </w:tc>
        <w:tc>
          <w:tcPr>
            <w:tcW w:type="dxa" w:w="3458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Outliers mantidos</w:t>
            </w:r>
          </w:p>
        </w:tc>
        <w:tc>
          <w:tcPr>
            <w:tcW w:type="dxa" w:w="2835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nenhuma alteração</w:t>
            </w:r>
          </w:p>
        </w:tc>
        <w:tc>
          <w:tcPr>
            <w:tcW w:type="dxa" w:w="2324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projeto_data_analytics.ipynb • seção 4, célula D6 a D10</w:t>
            </w:r>
          </w:p>
        </w:tc>
      </w:tr>
      <w:tr>
        <w:trPr>
          <w:cantSplit/>
        </w:trPr>
        <w:tc>
          <w:tcPr>
            <w:tcW w:type="dxa" w:w="850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D7</w:t>
            </w:r>
          </w:p>
        </w:tc>
        <w:tc>
          <w:tcPr>
            <w:tcW w:type="dxa" w:w="3458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Lucros negativos mantidos</w:t>
            </w:r>
          </w:p>
        </w:tc>
        <w:tc>
          <w:tcPr>
            <w:tcW w:type="dxa" w:w="2835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nenhuma alteração (7 linhas)</w:t>
            </w:r>
          </w:p>
        </w:tc>
        <w:tc>
          <w:tcPr>
            <w:tcW w:type="dxa" w:w="2324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projeto_data_analytics.ipynb • seção 4, célula D6 a D10</w:t>
            </w:r>
          </w:p>
        </w:tc>
      </w:tr>
      <w:tr>
        <w:trPr>
          <w:cantSplit/>
        </w:trPr>
        <w:tc>
          <w:tcPr>
            <w:tcW w:type="dxa" w:w="850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D8</w:t>
            </w:r>
          </w:p>
        </w:tc>
        <w:tc>
          <w:tcPr>
            <w:tcW w:type="dxa" w:w="3458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Colunas de lote mantidas e documentadas</w:t>
            </w:r>
          </w:p>
        </w:tc>
        <w:tc>
          <w:tcPr>
            <w:tcW w:type="dxa" w:w="2835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nenhuma alteração</w:t>
            </w:r>
          </w:p>
        </w:tc>
        <w:tc>
          <w:tcPr>
            <w:tcW w:type="dxa" w:w="2324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projeto_data_analytics.ipynb • seção 4, célula D6 a D10</w:t>
            </w:r>
          </w:p>
        </w:tc>
      </w:tr>
      <w:tr>
        <w:trPr>
          <w:cantSplit/>
        </w:trPr>
        <w:tc>
          <w:tcPr>
            <w:tcW w:type="dxa" w:w="850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D9</w:t>
            </w:r>
          </w:p>
        </w:tc>
        <w:tc>
          <w:tcPr>
            <w:tcW w:type="dxa" w:w="3458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Shelf_Life_Days mantido como vida útil do lote</w:t>
            </w:r>
          </w:p>
        </w:tc>
        <w:tc>
          <w:tcPr>
            <w:tcW w:type="dxa" w:w="2835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nenhuma alteração</w:t>
            </w:r>
          </w:p>
        </w:tc>
        <w:tc>
          <w:tcPr>
            <w:tcW w:type="dxa" w:w="2324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projeto_data_analytics.ipynb • seção 3</w:t>
            </w:r>
          </w:p>
        </w:tc>
      </w:tr>
      <w:tr>
        <w:trPr>
          <w:cantSplit/>
        </w:trPr>
        <w:tc>
          <w:tcPr>
            <w:tcW w:type="dxa" w:w="850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D10</w:t>
            </w:r>
          </w:p>
        </w:tc>
        <w:tc>
          <w:tcPr>
            <w:tcW w:type="dxa" w:w="3458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Domínios e categorias verificados, sem problemas</w:t>
            </w:r>
          </w:p>
        </w:tc>
        <w:tc>
          <w:tcPr>
            <w:tcW w:type="dxa" w:w="2835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nenhuma alteração</w:t>
            </w:r>
          </w:p>
        </w:tc>
        <w:tc>
          <w:tcPr>
            <w:tcW w:type="dxa" w:w="2324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projeto_data_analytics.ipynb • seção 3</w:t>
            </w:r>
          </w:p>
        </w:tc>
      </w:tr>
    </w:tbl>
    <w:p>
      <w:pPr>
        <w:spacing w:after="0"/>
      </w:pPr>
    </w:p>
    <w:p>
      <w:pPr>
        <w:pageBreakBefore/>
      </w:pPr>
      <w:r>
        <w:rPr>
          <w:b/>
          <w:color w:val="9B1830"/>
          <w:sz w:val="20"/>
        </w:rPr>
        <w:t>RA1   /   05</w:t>
      </w:r>
    </w:p>
    <w:p>
      <w:pPr>
        <w:pStyle w:val="Heading1"/>
      </w:pPr>
      <w:r>
        <w:t>Conjunto de dados resultante</w:t>
      </w:r>
    </w:p>
    <w:p>
      <w:r>
        <w:t>Identifique a saída do RA1 e demonstre sua consistência para uso nas próximas etapas.</w:t>
      </w:r>
    </w:p>
    <w:p>
      <w:pPr>
        <w:spacing w:after="200"/>
      </w:pPr>
      <w:r>
        <w:rPr>
          <w:b/>
        </w:rPr>
        <w:t xml:space="preserve">Arquivo ou conjunto final  </w:t>
      </w:r>
      <w:r>
        <w:rPr/>
        <w:t>bakery_sales_preparado.csv • data/processed/ • CSV separado por vírgula, UTF-8, 19.321 linhas e 42 colunas</w:t>
      </w:r>
    </w:p>
    <w:p>
      <w:pPr>
        <w:spacing w:after="200"/>
      </w:pPr>
      <w:r>
        <w:rPr>
          <w:b/>
        </w:rPr>
        <w:t xml:space="preserve">Unidade de observação final  </w:t>
      </w:r>
      <w:r>
        <w:rPr/>
        <w:t>Uma linha continua representando um produto dentro de um pedido, com a chave Order_ID + Product.</w:t>
      </w:r>
    </w:p>
    <w:p>
      <w:pPr>
        <w:spacing w:after="200"/>
      </w:pPr>
      <w:r>
        <w:rPr>
          <w:b/>
        </w:rPr>
        <w:t xml:space="preserve">Dicionário atualizado  </w:t>
      </w:r>
      <w:r>
        <w:rPr/>
        <w:t>Dicionário da seção 03 deste documento (e seção 2 do notebook), mais duas colunas novas: Timestamp (data e hora da venda, datetime, criada na seção 5 do notebook) e Discount_Without_Promotion (booleano, verdadeiro quando há desconto sem promoção registrada)</w:t>
      </w:r>
    </w:p>
    <w:p>
      <w:pPr>
        <w:pStyle w:val="Heading2"/>
      </w:pPr>
      <w:r>
        <w:t>Comparação antes e depois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268"/>
        <w:gridCol w:w="1701"/>
        <w:gridCol w:w="1701"/>
        <w:gridCol w:w="3798"/>
      </w:tblGrid>
      <w:tr>
        <w:trPr>
          <w:cantSplit/>
          <w:tblHeader/>
        </w:trPr>
        <w:tc>
          <w:tcPr>
            <w:tcW w:type="dxa" w:w="2268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Medida</w:t>
            </w:r>
          </w:p>
        </w:tc>
        <w:tc>
          <w:tcPr>
            <w:tcW w:type="dxa" w:w="1701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Após ingestão</w:t>
            </w:r>
          </w:p>
        </w:tc>
        <w:tc>
          <w:tcPr>
            <w:tcW w:type="dxa" w:w="1701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Após preparação</w:t>
            </w:r>
          </w:p>
        </w:tc>
        <w:tc>
          <w:tcPr>
            <w:tcW w:type="dxa" w:w="3798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Explicação da diferença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Registros</w:t>
            </w:r>
          </w:p>
        </w:tc>
        <w:tc>
          <w:tcPr>
            <w:tcW w:type="dxa" w:w="170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19.321</w:t>
            </w:r>
          </w:p>
        </w:tc>
        <w:tc>
          <w:tcPr>
            <w:tcW w:type="dxa" w:w="170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19.321</w:t>
            </w:r>
          </w:p>
        </w:tc>
        <w:tc>
          <w:tcPr>
            <w:tcW w:type="dxa" w:w="379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Sem alteração (D1)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Atributos</w:t>
            </w:r>
          </w:p>
        </w:tc>
        <w:tc>
          <w:tcPr>
            <w:tcW w:type="dxa" w:w="1701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40</w:t>
            </w:r>
          </w:p>
        </w:tc>
        <w:tc>
          <w:tcPr>
            <w:tcW w:type="dxa" w:w="1701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42</w:t>
            </w:r>
          </w:p>
        </w:tc>
        <w:tc>
          <w:tcPr>
            <w:tcW w:type="dxa" w:w="3798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Timestamp (seção 5) e Discount_Without_Promotion (D4)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Valores ausentes (todas as células)</w:t>
            </w:r>
          </w:p>
        </w:tc>
        <w:tc>
          <w:tcPr>
            <w:tcW w:type="dxa" w:w="170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29.832</w:t>
            </w:r>
          </w:p>
        </w:tc>
        <w:tc>
          <w:tcPr>
            <w:tcW w:type="dxa" w:w="170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0</w:t>
            </w:r>
          </w:p>
        </w:tc>
        <w:tc>
          <w:tcPr>
            <w:tcW w:type="dxa" w:w="379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Festival e Promotion_Type preenchidos (D2 e D3)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Repetições de Order_ID + Product</w:t>
            </w:r>
          </w:p>
        </w:tc>
        <w:tc>
          <w:tcPr>
            <w:tcW w:type="dxa" w:w="170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0</w:t>
            </w:r>
          </w:p>
        </w:tc>
        <w:tc>
          <w:tcPr>
            <w:tcW w:type="dxa" w:w="170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0</w:t>
            </w:r>
          </w:p>
        </w:tc>
        <w:tc>
          <w:tcPr>
            <w:tcW w:type="dxa" w:w="379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Sem alteração (D1)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Horários fora do formato HH:MM</w:t>
            </w:r>
          </w:p>
        </w:tc>
        <w:tc>
          <w:tcPr>
            <w:tcW w:type="dxa" w:w="170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5.444</w:t>
            </w:r>
          </w:p>
        </w:tc>
        <w:tc>
          <w:tcPr>
            <w:tcW w:type="dxa" w:w="170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0</w:t>
            </w:r>
          </w:p>
        </w:tc>
        <w:tc>
          <w:tcPr>
            <w:tcW w:type="dxa" w:w="379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Time padronizado (D5)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Colunas de data/hora com tipo de data</w:t>
            </w:r>
          </w:p>
        </w:tc>
        <w:tc>
          <w:tcPr>
            <w:tcW w:type="dxa" w:w="170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0</w:t>
            </w:r>
          </w:p>
        </w:tc>
        <w:tc>
          <w:tcPr>
            <w:tcW w:type="dxa" w:w="170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2</w:t>
            </w:r>
          </w:p>
        </w:tc>
        <w:tc>
          <w:tcPr>
            <w:tcW w:type="dxa" w:w="379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Date convertida (D5) e Timestamp criado (seção 5)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Colunas Yes/No como booleano</w:t>
            </w:r>
          </w:p>
        </w:tc>
        <w:tc>
          <w:tcPr>
            <w:tcW w:type="dxa" w:w="170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0</w:t>
            </w:r>
          </w:p>
        </w:tc>
        <w:tc>
          <w:tcPr>
            <w:tcW w:type="dxa" w:w="170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3</w:t>
            </w:r>
          </w:p>
        </w:tc>
        <w:tc>
          <w:tcPr>
            <w:tcW w:type="dxa" w:w="379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Conversão de tipo (D5)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Descontos sem promoção identificados</w:t>
            </w:r>
          </w:p>
        </w:tc>
        <w:tc>
          <w:tcPr>
            <w:tcW w:type="dxa" w:w="170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0</w:t>
            </w:r>
          </w:p>
        </w:tc>
        <w:tc>
          <w:tcPr>
            <w:tcW w:type="dxa" w:w="170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2.089</w:t>
            </w:r>
          </w:p>
        </w:tc>
        <w:tc>
          <w:tcPr>
            <w:tcW w:type="dxa" w:w="379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Nova marcação (D4)</w:t>
            </w:r>
          </w:p>
        </w:tc>
      </w:tr>
    </w:tbl>
    <w:p>
      <w:pPr>
        <w:spacing w:after="0"/>
      </w:pPr>
    </w:p>
    <w:p>
      <w:pPr>
        <w:pStyle w:val="Heading2"/>
      </w:pPr>
      <w:r>
        <w:t>Verificações finais</w:t>
      </w:r>
    </w:p>
    <w:p>
      <w:pPr>
        <w:spacing w:after="160"/>
      </w:pPr>
      <w:r>
        <w:rPr/>
        <w:t>Na seção 6 do notebook, 12 regras são testadas com assert e todas passaram: nenhuma linha perdida; Order_ID + Product único; nenhum valor ausente; Date e Timestamp com tipo de data; colunas Yes/No booleanas; Time em HH:MM; nenhum "nan" como texto; No Promotion coerente com Promotion_Applied; 2.089 descontos sem promoção marcados; Total_Bill = Selling_Price × Quantity; totais de Total_Bill e Profit iguais aos originais; e Timestamp dentro de 2023 e 2024.</w:t>
      </w:r>
    </w:p>
    <w:p>
      <w:pPr>
        <w:spacing w:after="160"/>
      </w:pPr>
      <w:r>
        <w:rPr/>
        <w:t>Depois de salvo, o arquivo é lido de novo e conferido (mesmas dimensões, nenhum ausente e Promotion_Applied ainda booleano), para garantir que o CSV preserva o que foi validado.</w:t>
      </w:r>
    </w:p>
    <w:p>
      <w:pPr>
        <w:spacing w:after="80"/>
        <w:pBdr>
          <w:bottom w:val="single" w:sz="3" w:color="E2E2E2"/>
        </w:pBdr>
      </w:pPr>
      <w:r>
        <w:t xml:space="preserve"> </w:t>
      </w:r>
    </w:p>
    <w:p>
      <w:pPr>
        <w:pStyle w:val="Heading2"/>
      </w:pPr>
      <w:r>
        <w:t>Limitações e pendências</w:t>
      </w:r>
    </w:p>
    <w:p>
      <w:pPr>
        <w:spacing w:after="160"/>
      </w:pPr>
      <w:r>
        <w:rPr/>
        <w:t>Os dados são sintéticos, então padrões encontrados não podem ser tratados como comportamento real de clientes.</w:t>
      </w:r>
    </w:p>
    <w:p>
      <w:pPr>
        <w:spacing w:after="160"/>
      </w:pPr>
      <w:r>
        <w:rPr/>
        <w:t>Units_Produced, Units_Sold, Unsold_Units, Stock_Available e Waste_Pct descrevem o lote do produto, e a base não explica como o lote é definido. Na P4 elas devem ser usadas como medida de sobra do lote e não podem ser somadas por pedido.</w:t>
      </w:r>
    </w:p>
    <w:p>
      <w:pPr>
        <w:spacing w:after="160"/>
      </w:pPr>
      <w:r>
        <w:rPr/>
        <w:t>O clima é diário, o que limita a análise por horário na P2. A moeda e a localização das lojas não são informadas.</w:t>
      </w:r>
    </w:p>
    <w:p>
      <w:pPr>
        <w:spacing w:after="160"/>
      </w:pPr>
      <w:r>
        <w:rPr/>
        <w:t>Os 2.089 descontos sem promoção estão marcados, mas a causa não é conhecida. Na P3 será preciso decidir se eles entram no grupo com promoção, sem promoção ou se ficam de fora.</w:t>
      </w:r>
    </w:p>
    <w:p>
      <w:pPr>
        <w:spacing w:after="160"/>
      </w:pPr>
      <w:r>
        <w:rPr/>
        <w:t>O CSV não guarda tipos: ao ler o arquivo, Date e Timestamp precisam de parse_dates. Os booleanos são reconhecidos automaticamente pelo pandas.</w:t>
      </w:r>
    </w:p>
    <w:p>
      <w:pPr>
        <w:pageBreakBefore/>
      </w:pPr>
      <w:r>
        <w:rPr>
          <w:b/>
          <w:color w:val="9B1830"/>
          <w:sz w:val="20"/>
        </w:rPr>
        <w:t>RA1   /   06</w:t>
      </w:r>
    </w:p>
    <w:p>
      <w:pPr>
        <w:pStyle w:val="Heading1"/>
      </w:pPr>
      <w:r>
        <w:t>Organização e reprodutibilidade</w:t>
      </w:r>
    </w:p>
    <w:p>
      <w:r>
        <w:t>Explique como outra pessoa pode obter os dados e executar o fluxo completo do RA1.</w:t>
      </w:r>
    </w:p>
    <w:p>
      <w:pPr>
        <w:spacing w:after="200"/>
      </w:pPr>
      <w:r>
        <w:rPr>
          <w:b/>
        </w:rPr>
        <w:t xml:space="preserve">Repositório e versão  </w:t>
      </w:r>
      <w:r>
        <w:rPr>
          <w:color w:val="606066"/>
        </w:rPr>
        <w:t>[URL • branch, tag ou commit da entrega]</w:t>
      </w:r>
    </w:p>
    <w:p>
      <w:pPr>
        <w:spacing w:after="200"/>
      </w:pPr>
      <w:r>
        <w:rPr>
          <w:b/>
        </w:rPr>
        <w:t xml:space="preserve">Ambiente  </w:t>
      </w:r>
      <w:r>
        <w:rPr/>
        <w:t>Python 3.12.10 • pandas 2.2.3, numpy e Jupyter • requirements.txt (PySpark 4.0.3 e Java 17 só são necessários para o RA2)</w:t>
      </w:r>
    </w:p>
    <w:p>
      <w:pPr>
        <w:pStyle w:val="Heading2"/>
      </w:pPr>
      <w:r>
        <w:t>Localização dos artefatos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402"/>
        <w:gridCol w:w="6066"/>
      </w:tblGrid>
      <w:tr>
        <w:trPr>
          <w:cantSplit/>
          <w:tblHeader/>
        </w:trPr>
        <w:tc>
          <w:tcPr>
            <w:tcW w:type="dxa" w:w="3402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Artefato</w:t>
            </w:r>
          </w:p>
        </w:tc>
        <w:tc>
          <w:tcPr>
            <w:tcW w:type="dxa" w:w="6066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Caminho ou forma de obtenção</w:t>
            </w:r>
          </w:p>
        </w:tc>
      </w:tr>
      <w:tr>
        <w:trPr>
          <w:cantSplit/>
        </w:trPr>
        <w:tc>
          <w:tcPr>
            <w:tcW w:type="dxa" w:w="3402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Dados brutos</w:t>
            </w:r>
          </w:p>
        </w:tc>
        <w:tc>
          <w:tcPr>
            <w:tcW w:type="dxa" w:w="6066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data/raw/bakery_sales_dataset.csv, cópia sem alteração do Kaggle. Se faltar, o notebook baixa o arquivo do endereço público de download</w:t>
            </w:r>
          </w:p>
        </w:tc>
      </w:tr>
      <w:tr>
        <w:trPr>
          <w:cantSplit/>
        </w:trPr>
        <w:tc>
          <w:tcPr>
            <w:tcW w:type="dxa" w:w="3402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Código de ingestão e preparação</w:t>
            </w:r>
          </w:p>
        </w:tc>
        <w:tc>
          <w:tcPr>
            <w:tcW w:type="dxa" w:w="6066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projeto_data_analytics.ipynb, seções 1 a 7 (o RA2 vem nas seções 8 a 12)</w:t>
            </w:r>
          </w:p>
        </w:tc>
      </w:tr>
      <w:tr>
        <w:trPr>
          <w:cantSplit/>
        </w:trPr>
        <w:tc>
          <w:tcPr>
            <w:tcW w:type="dxa" w:w="3402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Dados preparados</w:t>
            </w:r>
          </w:p>
        </w:tc>
        <w:tc>
          <w:tcPr>
            <w:tcW w:type="dxa" w:w="6066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data/processed/bakery_sales_preparado.csv, gerado na seção 6 do projeto_data_analytics.ipynb</w:t>
            </w:r>
          </w:p>
        </w:tc>
      </w:tr>
      <w:tr>
        <w:trPr>
          <w:cantSplit/>
        </w:trPr>
        <w:tc>
          <w:tcPr>
            <w:tcW w:type="dxa" w:w="3402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Documentação e dependências</w:t>
            </w:r>
          </w:p>
        </w:tc>
        <w:tc>
          <w:tcPr>
            <w:tcW w:type="dxa" w:w="6066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README.md • docs/Documentacao_RA1_Data_Analytics.docx • requirements.txt</w:t>
            </w:r>
          </w:p>
        </w:tc>
      </w:tr>
    </w:tbl>
    <w:p>
      <w:pPr>
        <w:spacing w:after="0"/>
      </w:pPr>
    </w:p>
    <w:p>
      <w:pPr>
        <w:pStyle w:val="Heading2"/>
      </w:pPr>
      <w:r>
        <w:t>Passos para reprodução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737"/>
        <w:gridCol w:w="5329"/>
        <w:gridCol w:w="3402"/>
      </w:tblGrid>
      <w:tr>
        <w:trPr>
          <w:cantSplit/>
          <w:tblHeader/>
        </w:trPr>
        <w:tc>
          <w:tcPr>
            <w:tcW w:type="dxa" w:w="737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Ordem</w:t>
            </w:r>
          </w:p>
        </w:tc>
        <w:tc>
          <w:tcPr>
            <w:tcW w:type="dxa" w:w="5329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Instrução executável</w:t>
            </w:r>
          </w:p>
        </w:tc>
        <w:tc>
          <w:tcPr>
            <w:tcW w:type="dxa" w:w="3402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Resultado esperado</w:t>
            </w:r>
          </w:p>
        </w:tc>
      </w:tr>
      <w:tr>
        <w:trPr>
          <w:cantSplit/>
        </w:trPr>
        <w:tc>
          <w:tcPr>
            <w:tcW w:type="dxa" w:w="737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1</w:t>
            </w:r>
          </w:p>
        </w:tc>
        <w:tc>
          <w:tcPr>
            <w:tcW w:type="dxa" w:w="5329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Instalar Python 3.10 ou mais novo e rodar python -m pip install -r requirements.txt</w:t>
            </w:r>
          </w:p>
        </w:tc>
        <w:tc>
          <w:tcPr>
            <w:tcW w:type="dxa" w:w="3402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python -c "import pandas; print(pandas.__version__)" mostra 2.2.3</w:t>
            </w:r>
          </w:p>
        </w:tc>
      </w:tr>
      <w:tr>
        <w:trPr>
          <w:cantSplit/>
        </w:trPr>
        <w:tc>
          <w:tcPr>
            <w:tcW w:type="dxa" w:w="737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2</w:t>
            </w:r>
          </w:p>
        </w:tc>
        <w:tc>
          <w:tcPr>
            <w:tcW w:type="dxa" w:w="5329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git clone do repositório e entrar na pasta padaria-data-analytics. O CSV bruto já vem em data/raw</w:t>
            </w:r>
          </w:p>
        </w:tc>
        <w:tc>
          <w:tcPr>
            <w:tcW w:type="dxa" w:w="3402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data/raw/bakery_sales_dataset.csv com cerca de 4,2 MB</w:t>
            </w:r>
          </w:p>
        </w:tc>
      </w:tr>
      <w:tr>
        <w:trPr>
          <w:cantSplit/>
        </w:trPr>
        <w:tc>
          <w:tcPr>
            <w:tcW w:type="dxa" w:w="737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3</w:t>
            </w:r>
          </w:p>
        </w:tc>
        <w:tc>
          <w:tcPr>
            <w:tcW w:type="dxa" w:w="5329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Abrir projeto_data_analytics.ipynb com a pasta do repositório como diretório de trabalho e executar todas as células em ordem (Restart &amp; Run All)</w:t>
            </w:r>
          </w:p>
        </w:tc>
        <w:tc>
          <w:tcPr>
            <w:tcW w:type="dxa" w:w="3402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Nenhuma célula com erro; a seção 2 mostra 19.321 linhas e 40 colunas</w:t>
            </w:r>
          </w:p>
        </w:tc>
      </w:tr>
      <w:tr>
        <w:trPr>
          <w:cantSplit/>
        </w:trPr>
        <w:tc>
          <w:tcPr>
            <w:tcW w:type="dxa" w:w="737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4</w:t>
            </w:r>
          </w:p>
        </w:tc>
        <w:tc>
          <w:tcPr>
            <w:tcW w:type="dxa" w:w="5329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Conferir a seção 6 do notebook e a pasta data/processed</w:t>
            </w:r>
          </w:p>
        </w:tc>
        <w:tc>
          <w:tcPr>
            <w:tcW w:type="dxa" w:w="3402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12 validações com OK e bakery_sales_preparado.csv com 19.321 linhas e 42 colunas</w:t>
            </w:r>
          </w:p>
        </w:tc>
      </w:tr>
    </w:tbl>
    <w:p>
      <w:pPr>
        <w:spacing w:after="0"/>
      </w:pPr>
    </w:p>
    <w:p>
      <w:pPr>
        <w:pStyle w:val="Heading2"/>
      </w:pPr>
      <w:r>
        <w:t>Verificação da reprodução</w:t>
      </w:r>
    </w:p>
    <w:p>
      <w:pPr>
        <w:spacing w:after="160"/>
      </w:pPr>
      <w:r>
        <w:rPr/>
        <w:t>Em 20/10/2026, Rafael Sene clonou o repositório em uma pasta nova e executou o notebook do início ao fim com jupyter nbconvert --execute, no Windows 11 com Python 3.12.10. Todas as células rodaram sem erro, as 12 validações da seção 6 terminaram com OK e o arquivo data/processed/bakery_sales_preparado.csv foi gerado com 19.321 linhas e 42 colunas, idêntico ao que está versionado.</w:t>
      </w:r>
    </w:p>
    <w:p>
      <w:pPr>
        <w:pageBreakBefore/>
      </w:pPr>
      <w:r>
        <w:rPr>
          <w:b/>
          <w:color w:val="9B1830"/>
          <w:sz w:val="20"/>
        </w:rPr>
        <w:t>RA1   /   07</w:t>
      </w:r>
    </w:p>
    <w:p>
      <w:pPr>
        <w:pStyle w:val="Heading1"/>
      </w:pPr>
      <w:r>
        <w:t>Referências e anexos</w:t>
      </w:r>
    </w:p>
    <w:p>
      <w:r>
        <w:t>Reúna as fontes utilizadas e os materiais complementares que ajudam a verificar a entrega.</w:t>
      </w:r>
    </w:p>
    <w:p>
      <w:pPr>
        <w:pStyle w:val="Heading2"/>
      </w:pPr>
      <w:r>
        <w:t>Referências</w:t>
      </w:r>
    </w:p>
    <w:p>
      <w:r>
        <w:t>SDCLOUD. Bakery Sales, Customer &amp; Inventory Analytics Dataset. Versão 2. Kaggle, 2026. Disponível em: https://www.kaggle.com/datasets/sdcloud/historical-bakery-sales-dataset. Acesso em: 20 out. 2026.</w:t>
      </w:r>
    </w:p>
    <w:p>
      <w:r>
        <w:t>THE PANDAS DEVELOPMENT TEAM. pandas documentation, versão 2.2. Disponível em: https://pandas.pydata.org/docs/. Acesso em: 20 out. 2026.</w:t>
      </w:r>
    </w:p>
    <w:p>
      <w:r>
        <w:t>PUCPR. Data Analytics: slides de aula e notebooks de exemplo da disciplina. Curitiba, 2026.</w:t>
      </w:r>
    </w:p>
    <w:p>
      <w:pPr>
        <w:pStyle w:val="Heading2"/>
      </w:pPr>
      <w:r>
        <w:t>Anexos opcionais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701"/>
        <w:gridCol w:w="4932"/>
        <w:gridCol w:w="2835"/>
      </w:tblGrid>
      <w:tr>
        <w:trPr>
          <w:cantSplit/>
          <w:tblHeader/>
        </w:trPr>
        <w:tc>
          <w:tcPr>
            <w:tcW w:type="dxa" w:w="1701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Identificação</w:t>
            </w:r>
          </w:p>
        </w:tc>
        <w:tc>
          <w:tcPr>
            <w:tcW w:type="dxa" w:w="4932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Conteúdo</w:t>
            </w:r>
          </w:p>
        </w:tc>
        <w:tc>
          <w:tcPr>
            <w:tcW w:type="dxa" w:w="2835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Localização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Anexo A</w:t>
            </w:r>
          </w:p>
        </w:tc>
        <w:tc>
          <w:tcPr>
            <w:tcW w:type="dxa" w:w="4932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Notebook executado, com as evidências de todas as etapas do RA1 (seções 1 a 7)</w:t>
            </w:r>
          </w:p>
        </w:tc>
        <w:tc>
          <w:tcPr>
            <w:tcW w:type="dxa" w:w="2835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projeto_data_analytics.ipynb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Anexo B</w:t>
            </w:r>
          </w:p>
        </w:tc>
        <w:tc>
          <w:tcPr>
            <w:tcW w:type="dxa" w:w="4932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Base preparada, saída do RA1</w:t>
            </w:r>
          </w:p>
        </w:tc>
        <w:tc>
          <w:tcPr>
            <w:tcW w:type="dxa" w:w="2835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data/processed/bakery_sales_preparado.csv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Anexo C</w:t>
            </w:r>
          </w:p>
        </w:tc>
        <w:tc>
          <w:tcPr>
            <w:tcW w:type="dxa" w:w="4932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Notebook exportado em PDF</w:t>
            </w:r>
          </w:p>
        </w:tc>
        <w:tc>
          <w:tcPr>
            <w:tcW w:type="dxa" w:w="2835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docs/projeto_data_analytics.pdf</w:t>
            </w:r>
          </w:p>
        </w:tc>
      </w:tr>
    </w:tbl>
    <w:p>
      <w:pPr>
        <w:spacing w:after="0"/>
      </w:pPr>
    </w:p>
    <w:p>
      <w:pPr>
        <w:pStyle w:val="Heading2"/>
      </w:pPr>
      <w:r>
        <w:t>Conferência da entrega</w:t>
      </w:r>
    </w:p>
    <w:p>
      <w:r>
        <w:t>☒  Problema, recorte e perguntas analíticas estão definidos.</w:t>
      </w:r>
    </w:p>
    <w:p>
      <w:r>
        <w:t>☒  Fontes e procedimentos de ingestão estão documentados.</w:t>
      </w:r>
    </w:p>
    <w:p>
      <w:r>
        <w:t>☒  A qualidade foi avaliada com evidências verificáveis.</w:t>
      </w:r>
    </w:p>
    <w:p>
      <w:r>
        <w:t>☒  As decisões de limpeza estão justificadas e validadas.</w:t>
      </w:r>
    </w:p>
    <w:p>
      <w:r>
        <w:t>☒  O conjunto de dados preparado está identificado.</w:t>
      </w:r>
    </w:p>
    <w:p>
      <w:r>
        <w:t>☒  O repositório contém instruções suficientes para reprodução.</w:t>
      </w:r>
    </w:p>
    <w:p>
      <w:r>
        <w:t>☒  Os campos-modelo foram preenchidos e os exemplos revisados.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020" w:left="1304" w:header="454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sz w:val="16"/>
      </w:rPr>
      <w:t>RA1   /   INGESTÃO E PREPARAÇÃO DOS DADOS</w:t>
    </w:r>
    <w:r>
      <w:t xml:space="preserve">                                      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b/>
        <w:sz w:val="16"/>
      </w:rPr>
      <w:t>PUCPR   /   DATA ANALYTICS                                               PjBL   •   RA1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64" w:lineRule="auto"/>
    </w:pPr>
    <w:rPr>
      <w:rFonts w:ascii="Calibri" w:hAnsi="Calibri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140"/>
      <w:outlineLvl w:val="0"/>
    </w:pPr>
    <w:rPr>
      <w:rFonts w:asciiTheme="majorHAnsi" w:eastAsiaTheme="majorEastAsia" w:hAnsiTheme="majorHAnsi" w:cstheme="majorBidi" w:ascii="Calibri" w:hAnsi="Calibri"/>
      <w:b/>
      <w:bCs/>
      <w:color w:val="000000"/>
      <w:sz w:val="4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2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40" w:line="240" w:lineRule="auto"/>
      <w:contextualSpacing/>
    </w:pPr>
    <w:rPr>
      <w:rFonts w:asciiTheme="majorHAnsi" w:eastAsiaTheme="majorEastAsia" w:hAnsiTheme="majorHAnsi" w:cstheme="majorBidi" w:ascii="Calibri" w:hAnsi="Calibri"/>
      <w:b/>
      <w:color w:val="000000"/>
      <w:spacing w:val="5"/>
      <w:kern w:val="28"/>
      <w:sz w:val="6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140"/>
    </w:pPr>
    <w:rPr>
      <w:rFonts w:asciiTheme="majorHAnsi" w:eastAsiaTheme="majorEastAsia" w:hAnsiTheme="majorHAnsi" w:cstheme="majorBidi" w:ascii="Calibri" w:hAnsi="Calibri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RA1 — Ingestão e preparação dos dados</dc:title>
  <dc:subject>Template preenchível para Data Analytics</dc:subject>
  <dc:creator/>
  <cp:keywords>RA1, Data Analytics, template, preparação de dados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