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Narrow" w:cs="Arial Narrow" w:eastAsia="Arial Narrow" w:hAnsi="Arial Narrow"/>
          <w:color w:val="000000"/>
          <w:sz w:val="36"/>
          <w:szCs w:val="36"/>
        </w:rPr>
        <w:t xml:space="preserve">Producción anual y diaria de las Reservas 1P de Colombia y regalías esperadas según WTI y Brent</w:t>
      </w:r>
    </w:p>
    <w:p>
      <w:pPr>
        <w:spacing w:after="40" w:line="276"/>
        <w:jc w:val="left"/>
      </w:pPr>
      <w:r>
        <w:rPr>
          <w:rFonts w:ascii="Arial Narrow" w:cs="Arial Narrow" w:eastAsia="Arial Narrow" w:hAnsi="Arial Narrow"/>
          <w:color w:val="404040"/>
          <w:sz w:val="22"/>
          <w:szCs w:val="22"/>
        </w:rPr>
        <w:t xml:space="preserve">Proyecto Final Integrador (PFI) · Informe técnico · Metodología CRISP-DM</w:t>
      </w:r>
    </w:p>
    <w:p>
      <w:pPr>
        <w:spacing w:after="40" w:line="276"/>
        <w:jc w:val="left"/>
      </w:pPr>
      <w:r>
        <w:rPr>
          <w:rFonts w:ascii="Arial Narrow" w:cs="Arial Narrow" w:eastAsia="Arial Narrow" w:hAnsi="Arial Narrow"/>
          <w:color w:val="404040"/>
          <w:sz w:val="22"/>
          <w:szCs w:val="22"/>
        </w:rPr>
        <w:t xml:space="preserve">Integrantes del equipo: Rafael Fajardo Moreno, Sonia Catalina Martinez Herrera y Laura Marcela Garnica Tapia · Bogotá, octubre de 2026</w:t>
      </w:r>
    </w:p>
    <w:p>
      <w:pPr>
        <w:spacing w:after="40" w:line="276"/>
        <w:jc w:val="left"/>
      </w:pPr>
      <w:r>
        <w:rPr>
          <w:rFonts w:ascii="Arial Narrow" w:cs="Arial Narrow" w:eastAsia="Arial Narrow" w:hAnsi="Arial Narrow"/>
          <w:color w:val="404040"/>
          <w:sz w:val="22"/>
          <w:szCs w:val="22"/>
        </w:rPr>
        <w:t xml:space="preserve">Repositorio: https://github.com/rafafajardo-ux/TRABAJO-FINAL </w:t>
      </w:r>
    </w:p>
    <w:p>
      <w:pPr>
        <w:spacing w:after="40" w:line="276"/>
        <w:jc w:val="left"/>
      </w:pPr>
      <w:r>
        <w:rPr>
          <w:rFonts w:ascii="Arial Narrow" w:cs="Arial Narrow" w:eastAsia="Arial Narrow" w:hAnsi="Arial Narrow"/>
          <w:color w:val="404040"/>
          <w:sz w:val="22"/>
          <w:szCs w:val="22"/>
        </w:rPr>
        <w:t xml:space="preserve">Aplicativo en línea: https://rafafajardo-ux.github.io/TRABAJO-FINAL/ (con contraseña) · también local en http://localhost:8501</w:t>
      </w:r>
    </w:p>
    <w:p>
      <w:pPr>
        <w:pStyle w:val="Heading1"/>
        <w:keepNext/>
        <w:spacing w:after="120" w:before="240"/>
      </w:pPr>
      <w:r>
        <w:rPr>
          <w:rFonts w:ascii="Arial Narrow" w:cs="Arial Narrow" w:eastAsia="Arial Narrow" w:hAnsi="Arial Narrow"/>
          <w:b/>
          <w:bCs/>
          <w:color w:val="000000"/>
          <w:sz w:val="30"/>
          <w:szCs w:val="30"/>
        </w:rPr>
        <w:t xml:space="preserve">1. Problema y decisión</w:t>
      </w:r>
    </w:p>
    <w:p>
      <w:pPr>
        <w:spacing w:after="100" w:line="276"/>
        <w:jc w:val="both"/>
      </w:pPr>
      <w:r>
        <w:rPr>
          <w:rFonts w:ascii="Arial Narrow" w:cs="Arial Narrow" w:eastAsia="Arial Narrow" w:hAnsi="Arial Narrow"/>
          <w:b/>
          <w:bCs/>
          <w:sz w:val="22"/>
          <w:szCs w:val="22"/>
        </w:rPr>
        <w:t xml:space="preserve">Pregunta del proyecto:</w:t>
      </w:r>
      <w:r>
        <w:rPr>
          <w:rFonts w:ascii="Arial Narrow" w:cs="Arial Narrow" w:eastAsia="Arial Narrow" w:hAnsi="Arial Narrow"/>
          <w:sz w:val="22"/>
          <w:szCs w:val="22"/>
        </w:rPr>
        <w:t xml:space="preserve"> ¿cómo se comporta la producción anual y diaria de las Reservas Probadas (1P) de petróleo de Colombia y cuánto se espera recibir por regalías cada año, según los indicadores de referencia WTI y Brent?</w:t>
      </w:r>
    </w:p>
    <w:p>
      <w:pPr>
        <w:spacing w:after="100" w:line="276"/>
        <w:jc w:val="both"/>
      </w:pPr>
      <w:r>
        <w:rPr>
          <w:rFonts w:ascii="Arial Narrow" w:cs="Arial Narrow" w:eastAsia="Arial Narrow" w:hAnsi="Arial Narrow"/>
          <w:b/>
          <w:bCs/>
          <w:sz w:val="22"/>
          <w:szCs w:val="22"/>
        </w:rPr>
        <w:t xml:space="preserve">Decisión que se apoya.</w:t>
      </w:r>
      <w:r>
        <w:rPr>
          <w:rFonts w:ascii="Arial Narrow" w:cs="Arial Narrow" w:eastAsia="Arial Narrow" w:hAnsi="Arial Narrow"/>
          <w:sz w:val="22"/>
          <w:szCs w:val="22"/>
        </w:rPr>
        <w:t xml:space="preserve"> El Ministerio de Minas y Energía (MME), la Agencia Nacional de Hidrocarburos (ANH) y el Departamento Nacional de Planeación (DNP) programan la producción esperada y el recaudo del Sistema General de Regalías (SGR) a partir del pronóstico de Reservas 1P que reportan los operadores en el Informe de Recursos y Reservas (IRR). La decisión concreta es </w:t>
      </w:r>
      <w:r>
        <w:rPr>
          <w:rFonts w:ascii="Arial Narrow" w:cs="Arial Narrow" w:eastAsia="Arial Narrow" w:hAnsi="Arial Narrow"/>
          <w:b/>
          <w:bCs/>
          <w:sz w:val="22"/>
          <w:szCs w:val="22"/>
        </w:rPr>
        <w:t xml:space="preserve">cuántos barriles y cuántas regalías incluir por año</w:t>
      </w:r>
      <w:r>
        <w:rPr>
          <w:rFonts w:ascii="Arial Narrow" w:cs="Arial Narrow" w:eastAsia="Arial Narrow" w:hAnsi="Arial Narrow"/>
          <w:sz w:val="22"/>
          <w:szCs w:val="22"/>
        </w:rPr>
        <w:t xml:space="preserve"> en la planeación, y en qué campos, departamentos, municipios, operadoras o tipos de contrato hay riesgo de que la producción quede por debajo de lo proyectado.</w:t>
      </w:r>
    </w:p>
    <w:p>
      <w:pPr>
        <w:spacing w:after="100" w:line="276"/>
        <w:jc w:val="both"/>
      </w:pPr>
      <w:r>
        <w:rPr>
          <w:rFonts w:ascii="Arial Narrow" w:cs="Arial Narrow" w:eastAsia="Arial Narrow" w:hAnsi="Arial Narrow"/>
          <w:b/>
          <w:bCs/>
          <w:sz w:val="22"/>
          <w:szCs w:val="22"/>
        </w:rPr>
        <w:t xml:space="preserve">Quién decide y a quién afecta.</w:t>
      </w:r>
      <w:r>
        <w:rPr>
          <w:rFonts w:ascii="Arial Narrow" w:cs="Arial Narrow" w:eastAsia="Arial Narrow" w:hAnsi="Arial Narrow"/>
          <w:sz w:val="22"/>
          <w:szCs w:val="22"/>
        </w:rPr>
        <w:t xml:space="preserve"> Deciden las áreas de planeación del MME, la ANH y el DNP. Afecta a los departamentos y municipios productores, que reciben asignaciones directas; a las entidades territoriales que formulan proyectos con regalías; y a los operadores, cuya producción se compara con su 1P. Sobreestimar crea presupuestos sin respaldo; subestimar deja recursos sin programar.</w:t>
      </w:r>
    </w:p>
    <w:p>
      <w:pPr>
        <w:spacing w:after="100" w:line="276"/>
        <w:jc w:val="both"/>
      </w:pPr>
      <w:r>
        <w:rPr>
          <w:rFonts w:ascii="Arial Narrow" w:cs="Arial Narrow" w:eastAsia="Arial Narrow" w:hAnsi="Arial Narrow"/>
          <w:b/>
          <w:bCs/>
          <w:sz w:val="22"/>
          <w:szCs w:val="22"/>
        </w:rPr>
        <w:t xml:space="preserve">Enfoque elegido.</w:t>
      </w:r>
      <w:r>
        <w:rPr>
          <w:rFonts w:ascii="Arial Narrow" w:cs="Arial Narrow" w:eastAsia="Arial Narrow" w:hAnsi="Arial Narrow"/>
          <w:sz w:val="22"/>
          <w:szCs w:val="22"/>
        </w:rPr>
        <w:t xml:space="preserve"> Aprendizaje supervisado para pronosticar la producción diaria de cada campo, con tres familias pedidas (árbol de decisión, regresión lineal y red neuronal) más ensambles de árboles para la fase de hiperparámetros. La Reserva 1P se usa como el dato óptimo proyectado: entra como variable y, desde 2027, como tope del pronóstico. Las regalías se calculan con la escala de la Ley 756 de 2002 y se valoran con el precio promedio anual WTI o Brent. Todo se consulta en un aplicativo local con menús de año, desagregación e indicador.</w:t>
      </w:r>
    </w:p>
    <w:p>
      <w:pPr>
        <w:spacing w:after="100" w:line="276"/>
        <w:jc w:val="both"/>
      </w:pPr>
      <w:r>
        <w:rPr>
          <w:rFonts w:ascii="Arial Narrow" w:cs="Arial Narrow" w:eastAsia="Arial Narrow" w:hAnsi="Arial Narrow"/>
          <w:b/>
          <w:bCs/>
          <w:sz w:val="22"/>
          <w:szCs w:val="22"/>
        </w:rPr>
        <w:t xml:space="preserve">Métrica de éxito del negocio.</w:t>
      </w:r>
      <w:r>
        <w:rPr>
          <w:rFonts w:ascii="Arial Narrow" w:cs="Arial Narrow" w:eastAsia="Arial Narrow" w:hAnsi="Arial Narrow"/>
          <w:sz w:val="22"/>
          <w:szCs w:val="22"/>
        </w:rPr>
        <w:t xml:space="preserve"> (1) Error ponderado por barriles (WAPE) por campo menor que el de usar la 1P tal cual; (2) sesgo del total país menor a ±5%; (3) cumplimiento estricto del tope 1P después de 2026. </w:t>
      </w:r>
      <w:r>
        <w:rPr>
          <w:rFonts w:ascii="Arial Narrow" w:cs="Arial Narrow" w:eastAsia="Arial Narrow" w:hAnsi="Arial Narrow"/>
          <w:b/>
          <w:bCs/>
          <w:sz w:val="22"/>
          <w:szCs w:val="22"/>
        </w:rPr>
        <w:t xml:space="preserve">Riesgos:</w:t>
      </w:r>
      <w:r>
        <w:rPr>
          <w:rFonts w:ascii="Arial Narrow" w:cs="Arial Narrow" w:eastAsia="Arial Narrow" w:hAnsi="Arial Narrow"/>
          <w:sz w:val="22"/>
          <w:szCs w:val="22"/>
        </w:rPr>
        <w:t xml:space="preserve"> pocos años observados (2023 a junio de 2026), campos que se unifican o dejan de reportar, choques de precio y de orden público, y un perfil 1P del IRR 2024 (corte al 31 de diciembre de 2023).</w:t>
      </w:r>
    </w:p>
    <w:p>
      <w:pPr>
        <w:spacing w:after="100" w:line="276"/>
        <w:jc w:val="both"/>
      </w:pPr>
      <w:r>
        <w:rPr>
          <w:rFonts w:ascii="Arial Narrow" w:cs="Arial Narrow" w:eastAsia="Arial Narrow" w:hAnsi="Arial Narrow"/>
          <w:b/>
          <w:bCs/>
          <w:sz w:val="22"/>
          <w:szCs w:val="22"/>
        </w:rPr>
        <w:t xml:space="preserve">Alcance y condiciones de uso.</w:t>
      </w:r>
      <w:r>
        <w:rPr>
          <w:rFonts w:ascii="Arial Narrow" w:cs="Arial Narrow" w:eastAsia="Arial Narrow" w:hAnsi="Arial Narrow"/>
          <w:sz w:val="22"/>
          <w:szCs w:val="22"/>
        </w:rPr>
        <w:t xml:space="preserve"> Solo se tiene en cuenta el pronóstico de desarrollo de reservas del IRR 2024; no se contempla la migración de reservas probables (2P) y posibles (3P) a probadas ni la evolución de los recursos contingentes. Los datos son de carácter reservado y su único uso es académico, en el marco de la Especialización en Machine Learning de la Universidad EAN (2026); está prohibido su uso, distribución, copia o mejora, total o parcial. El aplicativo exige aceptar estos términos y condiciones y luego una contraseña, que se solicita a rafajard53009@universidadean.edu.co. Como el repositorio de GitHub es público, los nombres de los campos y de los contratos están anonimizados (Campo_001…, Contrato_001…) sin cambiar ningún resultado.</w:t>
      </w:r>
    </w:p>
    <w:p>
      <w:pPr>
        <w:pStyle w:val="Heading1"/>
        <w:keepNext/>
        <w:spacing w:after="120" w:before="240"/>
      </w:pPr>
      <w:r>
        <w:rPr>
          <w:rFonts w:ascii="Arial Narrow" w:cs="Arial Narrow" w:eastAsia="Arial Narrow" w:hAnsi="Arial Narrow"/>
          <w:b/>
          <w:bCs/>
          <w:color w:val="000000"/>
          <w:sz w:val="30"/>
          <w:szCs w:val="30"/>
        </w:rPr>
        <w:t xml:space="preserve">2. Datos</w:t>
      </w:r>
    </w:p>
    <w:p>
      <w:pPr>
        <w:spacing w:after="100" w:line="276"/>
        <w:jc w:val="both"/>
      </w:pPr>
      <w:r>
        <w:rPr>
          <w:rFonts w:ascii="Arial Narrow" w:cs="Arial Narrow" w:eastAsia="Arial Narrow" w:hAnsi="Arial Narrow"/>
          <w:b/>
          <w:bCs/>
          <w:sz w:val="22"/>
          <w:szCs w:val="22"/>
        </w:rPr>
        <w:t xml:space="preserve">De dónde vienen.</w:t>
      </w:r>
      <w:r>
        <w:rPr>
          <w:rFonts w:ascii="Arial Narrow" w:cs="Arial Narrow" w:eastAsia="Arial Narrow" w:hAnsi="Arial Narrow"/>
          <w:sz w:val="22"/>
          <w:szCs w:val="22"/>
        </w:rPr>
        <w:t xml:space="preserve"> Un único libro de Excel (</w:t>
      </w:r>
      <w:r>
        <w:rPr>
          <w:rFonts w:ascii="Arial Narrow" w:cs="Arial Narrow" w:eastAsia="Arial Narrow" w:hAnsi="Arial Narrow"/>
          <w:b/>
          <w:bCs/>
          <w:sz w:val="22"/>
          <w:szCs w:val="22"/>
        </w:rPr>
        <w:t xml:space="preserve">1_ML_OIL_produccion_reservas.xlsx</w:t>
      </w:r>
      <w:r>
        <w:rPr>
          <w:rFonts w:ascii="Arial Narrow" w:cs="Arial Narrow" w:eastAsia="Arial Narrow" w:hAnsi="Arial Narrow"/>
          <w:sz w:val="22"/>
          <w:szCs w:val="22"/>
        </w:rPr>
        <w:t xml:space="preserve">) con información oficial de la ANH y el MME, en cuatro hojas: (a) la hoja principal, con 390 campos, sus atributos (departamento, municipio, operadora, tipo de contrato), la producción real anual y diaria de 2023, 2024, 2025 y enero a junio de 2026, y las Reservas 1P por año de 2024 a 2060; (b) el pronóstico 1P con operador y contrato; (c) las reservas probables (2P) y (d) las posibles (3P) por campo y año. Los precios Brent y WTI se tomaron de la EIA (promedios de los precios spot mensuales), que son las mismas referencias que publica investing.com; esa página no permite descargar promedios anuales. La ficha completa (licencia, fecha de acceso, tipos y faltantes por columna, cita APA 7) está en </w:t>
      </w:r>
      <w:r>
        <w:rPr>
          <w:rFonts w:ascii="Arial Narrow" w:cs="Arial Narrow" w:eastAsia="Arial Narrow" w:hAnsi="Arial Narrow"/>
          <w:b/>
          <w:bCs/>
          <w:sz w:val="22"/>
          <w:szCs w:val="22"/>
        </w:rPr>
        <w:t xml:space="preserve">ficha_datos.md</w:t>
      </w:r>
      <w:r>
        <w:rPr>
          <w:rFonts w:ascii="Arial Narrow" w:cs="Arial Narrow" w:eastAsia="Arial Narrow" w:hAnsi="Arial Narrow"/>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7"/>
        <w:gridCol w:w="2891"/>
      </w:tblGrid>
      <w:tr>
        <w:trPr>
          <w:tblHeader/>
        </w:trPr>
        <w:tc>
          <w:tcPr>
            <w:tcW w:type="dxa" w:w="674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Indicador de calidad</w:t>
            </w:r>
          </w:p>
        </w:tc>
        <w:tc>
          <w:tcPr>
            <w:tcW w:type="dxa" w:w="289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Valor</w:t>
            </w:r>
          </w:p>
        </w:tc>
      </w:tr>
      <w:tr>
        <w:trPr>
          <w:cantSplit/>
        </w:trPr>
        <w:tc>
          <w:tcPr>
            <w:tcW w:type="dxa" w:w="67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en la hoja principal</w:t>
            </w:r>
          </w:p>
        </w:tc>
        <w:tc>
          <w:tcPr>
            <w:tcW w:type="dxa" w:w="289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390</w:t>
            </w:r>
          </w:p>
        </w:tc>
      </w:tr>
      <w:tr>
        <w:trPr>
          <w:cantSplit/>
        </w:trPr>
        <w:tc>
          <w:tcPr>
            <w:tcW w:type="dxa" w:w="67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con Reservas 1P (presentes en el pronóstico 1P)</w:t>
            </w:r>
          </w:p>
        </w:tc>
        <w:tc>
          <w:tcPr>
            <w:tcW w:type="dxa" w:w="289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320</w:t>
            </w:r>
          </w:p>
        </w:tc>
      </w:tr>
      <w:tr>
        <w:trPr>
          <w:cantSplit/>
        </w:trPr>
        <w:tc>
          <w:tcPr>
            <w:tcW w:type="dxa" w:w="67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con producción y sin Reservas 1P</w:t>
            </w:r>
          </w:p>
        </w:tc>
        <w:tc>
          <w:tcPr>
            <w:tcW w:type="dxa" w:w="289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70</w:t>
            </w:r>
          </w:p>
        </w:tc>
      </w:tr>
      <w:tr>
        <w:trPr>
          <w:cantSplit/>
        </w:trPr>
        <w:tc>
          <w:tcPr>
            <w:tcW w:type="dxa" w:w="67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Nombres de campo duplicados</w:t>
            </w:r>
          </w:p>
        </w:tc>
        <w:tc>
          <w:tcPr>
            <w:tcW w:type="dxa" w:w="289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w:t>
            </w:r>
          </w:p>
        </w:tc>
      </w:tr>
      <w:tr>
        <w:trPr>
          <w:cantSplit/>
        </w:trPr>
        <w:tc>
          <w:tcPr>
            <w:tcW w:type="dxa" w:w="67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1P sin atributos (completados desde la hoja del pronóstico 1P)</w:t>
            </w:r>
          </w:p>
        </w:tc>
        <w:tc>
          <w:tcPr>
            <w:tcW w:type="dxa" w:w="289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5</w:t>
            </w:r>
          </w:p>
        </w:tc>
      </w:tr>
      <w:tr>
        <w:trPr>
          <w:cantSplit/>
        </w:trPr>
        <w:tc>
          <w:tcPr>
            <w:tcW w:type="dxa" w:w="67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Diferencia máxima entre Reservas 1P de la hoja principal y la del pronóstico 1P (bl)</w:t>
            </w:r>
          </w:p>
        </w:tc>
        <w:tc>
          <w:tcPr>
            <w:tcW w:type="dxa" w:w="289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0.0</w:t>
            </w:r>
          </w:p>
        </w:tc>
      </w:tr>
      <w:tr>
        <w:trPr>
          <w:cantSplit/>
        </w:trPr>
        <w:tc>
          <w:tcPr>
            <w:tcW w:type="dxa" w:w="67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Valores de producción negativos o cero</w:t>
            </w:r>
          </w:p>
        </w:tc>
        <w:tc>
          <w:tcPr>
            <w:tcW w:type="dxa" w:w="289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w:t>
            </w:r>
          </w:p>
        </w:tc>
      </w:tr>
      <w:tr>
        <w:trPr>
          <w:cantSplit/>
        </w:trPr>
        <w:tc>
          <w:tcPr>
            <w:tcW w:type="dxa" w:w="67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Celdas de producción vacías (campo sin reporte en el año)</w:t>
            </w:r>
          </w:p>
        </w:tc>
        <w:tc>
          <w:tcPr>
            <w:tcW w:type="dxa" w:w="289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196</w:t>
            </w:r>
          </w:p>
        </w:tc>
      </w:tr>
      <w:tr>
        <w:trPr>
          <w:cantSplit/>
        </w:trPr>
        <w:tc>
          <w:tcPr>
            <w:tcW w:type="dxa" w:w="67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2026 = solo enero-junio (181 días)</w:t>
            </w:r>
          </w:p>
        </w:tc>
        <w:tc>
          <w:tcPr>
            <w:tcW w:type="dxa" w:w="289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Sí (fórmula de la columna diaria = /181)</w:t>
            </w:r>
          </w:p>
        </w:tc>
      </w:tr>
      <w:tr>
        <w:trPr>
          <w:cantSplit/>
        </w:trPr>
        <w:tc>
          <w:tcPr>
            <w:tcW w:type="dxa" w:w="67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Mediana de producción real / Reservas 1P (2024-2025)</w:t>
            </w:r>
          </w:p>
        </w:tc>
        <w:tc>
          <w:tcPr>
            <w:tcW w:type="dxa" w:w="289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0.949</w:t>
            </w:r>
          </w:p>
        </w:tc>
      </w:tr>
      <w:tr>
        <w:trPr>
          <w:cantSplit/>
        </w:trPr>
        <w:tc>
          <w:tcPr>
            <w:tcW w:type="dxa" w:w="67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Casos con producción mayor a 2 veces la 1P del año</w:t>
            </w:r>
          </w:p>
        </w:tc>
        <w:tc>
          <w:tcPr>
            <w:tcW w:type="dxa" w:w="289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23</w:t>
            </w:r>
          </w:p>
        </w:tc>
      </w:tr>
      <w:tr>
        <w:trPr>
          <w:cantSplit/>
        </w:trPr>
        <w:tc>
          <w:tcPr>
            <w:tcW w:type="dxa" w:w="67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nacional 2025 / Reservas 1P 2025</w:t>
            </w:r>
          </w:p>
        </w:tc>
        <w:tc>
          <w:tcPr>
            <w:tcW w:type="dxa" w:w="289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1.029</w:t>
            </w:r>
          </w:p>
        </w:tc>
      </w:tr>
    </w:tbl>
    <w:p>
      <w:pPr>
        <w:spacing w:after="160" w:line="276"/>
        <w:jc w:val="center"/>
      </w:pPr>
      <w:r>
        <w:rPr>
          <w:rFonts w:ascii="Arial Narrow" w:cs="Arial Narrow" w:eastAsia="Arial Narrow" w:hAnsi="Arial Narrow"/>
          <w:i/>
          <w:iCs/>
          <w:color w:val="404040"/>
          <w:sz w:val="22"/>
          <w:szCs w:val="22"/>
        </w:rPr>
        <w:t xml:space="preserve">Tabla 1. Diagnóstico de calidad del conjunto.</w:t>
      </w:r>
    </w:p>
    <w:p>
      <w:pPr>
        <w:spacing w:after="100" w:line="276"/>
        <w:jc w:val="both"/>
      </w:pPr>
      <w:r>
        <w:rPr>
          <w:rFonts w:ascii="Arial Narrow" w:cs="Arial Narrow" w:eastAsia="Arial Narrow" w:hAnsi="Arial Narrow"/>
          <w:b/>
          <w:bCs/>
          <w:sz w:val="22"/>
          <w:szCs w:val="22"/>
        </w:rPr>
        <w:t xml:space="preserve">Qué calidad tienen.</w:t>
      </w:r>
      <w:r>
        <w:rPr>
          <w:rFonts w:ascii="Arial Narrow" w:cs="Arial Narrow" w:eastAsia="Arial Narrow" w:hAnsi="Arial Narrow"/>
          <w:sz w:val="22"/>
          <w:szCs w:val="22"/>
        </w:rPr>
        <w:t xml:space="preserve"> No hay nombres de campo duplicados ni producciones negativas, y la 1P de la hoja principal coincide exactamente con la del pronóstico 1P. Cinco campos con 1P no tenían atributos y se completaron desde la hoja del pronóstico. Hay 196 celdas de producción vacías: campos que no reportaron en algún año (cierres o unificaciones), que se excluyen del entrenamiento en lugar de tratarlas como cero. La producción de 2026 cubre solo enero a junio (181 días), por lo que se compara en barriles por día. Las columnas de producción de 2027 a 2060 del Excel son fórmulas iguales a la 1P, no observaciones, y no se usan para aprender.</w:t>
      </w:r>
    </w:p>
    <w:p>
      <w:pPr>
        <w:spacing w:after="100" w:line="276"/>
        <w:jc w:val="both"/>
      </w:pPr>
      <w:r>
        <w:rPr>
          <w:rFonts w:ascii="Arial Narrow" w:cs="Arial Narrow" w:eastAsia="Arial Narrow" w:hAnsi="Arial Narrow"/>
          <w:b/>
          <w:bCs/>
          <w:sz w:val="22"/>
          <w:szCs w:val="22"/>
        </w:rPr>
        <w:t xml:space="preserve">A quién representan y a quién no.</w:t>
      </w:r>
      <w:r>
        <w:rPr>
          <w:rFonts w:ascii="Arial Narrow" w:cs="Arial Narrow" w:eastAsia="Arial Narrow" w:hAnsi="Arial Narrow"/>
          <w:sz w:val="22"/>
          <w:szCs w:val="22"/>
        </w:rPr>
        <w:t xml:space="preserve"> Representan los 320 campos de petróleo con Reservas 1P y 70 campos con producción sin 1P (2,5% del volumen). No representan el gas natural, los campos descubiertos después de 2023, la migración de reservas 2P y 3P a probadas ni los recursos contingentes. La producción está muy concentrada: nueve campos producen más de 20 mil barriles diarios y concentran casi la mitad del volumen, mientras 181 campos producen menos de mil.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3"/>
        <w:gridCol w:w="1522"/>
        <w:gridCol w:w="1522"/>
        <w:gridCol w:w="1521"/>
      </w:tblGrid>
      <w:tr>
        <w:trPr>
          <w:tblHeader/>
        </w:trPr>
        <w:tc>
          <w:tcPr>
            <w:tcW w:type="dxa" w:w="507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Columna</w:t>
            </w:r>
          </w:p>
        </w:tc>
        <w:tc>
          <w:tcPr>
            <w:tcW w:type="dxa" w:w="152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Tipo</w:t>
            </w:r>
          </w:p>
        </w:tc>
        <w:tc>
          <w:tcPr>
            <w:tcW w:type="dxa" w:w="152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Faltantes</w:t>
            </w:r>
          </w:p>
        </w:tc>
        <w:tc>
          <w:tcPr>
            <w:tcW w:type="dxa" w:w="152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 faltantes</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Cod. Dane Departamento</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19,2</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Departamento</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str</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19,2</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Cod. Dane Municipio</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19,2</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Municipio</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str</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19,2</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Operadora</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str</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19,2</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Tipo Contrato</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str</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19,2</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Bls 2023</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36</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9,2</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Bls 2024</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37</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9,5</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Bls 2025</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45</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11,5</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Bls 2026</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78</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20,0</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(bl) 2024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70</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17,9</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(bl) 2026</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70</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17,9</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(bl) 2030</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70</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17,9</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(bl) 2040</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70</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17,9</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(bl) 2060</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70</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17,9</w:t>
            </w:r>
          </w:p>
        </w:tc>
      </w:tr>
    </w:tbl>
    <w:p>
      <w:pPr>
        <w:spacing w:after="160" w:line="276"/>
        <w:jc w:val="center"/>
      </w:pPr>
      <w:r>
        <w:rPr>
          <w:rFonts w:ascii="Arial Narrow" w:cs="Arial Narrow" w:eastAsia="Arial Narrow" w:hAnsi="Arial Narrow"/>
          <w:i/>
          <w:iCs/>
          <w:color w:val="404040"/>
          <w:sz w:val="22"/>
          <w:szCs w:val="22"/>
        </w:rPr>
        <w:t xml:space="preserve">Tabla 2. Columnas con faltantes en la hoja principal (las 70 filas sin 1P explican los faltantes de atributos y de 1P).</w:t>
      </w:r>
    </w:p>
    <w:p>
      <w:pPr>
        <w:keepNext/>
        <w:spacing w:after="40"/>
        <w:jc w:val="center"/>
      </w:pPr>
      <w:r>
        <w:drawing>
          <wp:inline distT="0" distB="0" distL="0" distR="0">
            <wp:extent cx="5400675" cy="2228850"/>
            <wp:effectExtent t="0" r="0" b="0" l="0"/>
            <wp:docPr id="1" name="figura" descr="Figura 1. Producción real del país y perfil de Reservas 1P. En 2025 la producción superó la 1P en 2,9%." title="Figura 1. Producción real del país y perfil de Reservas 1P. En 2025 la producción superó la 1P 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22288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1. Producción real del país y perfil de Reservas 1P. En 2025 la producción superó la 1P en 2,9%.</w:t>
      </w:r>
    </w:p>
    <w:p>
      <w:pPr>
        <w:keepNext/>
        <w:spacing w:after="40"/>
        <w:jc w:val="center"/>
      </w:pPr>
      <w:r>
        <w:drawing>
          <wp:inline distT="0" distB="0" distL="0" distR="0">
            <wp:extent cx="5400675" cy="1924050"/>
            <wp:effectExtent t="0" r="0" b="0" l="0"/>
            <wp:docPr id="1" name="figura" descr="Figura 2. Tamaño de los campos (escala logarítmica) y razón entre producción real y Reservas 1P en 2024-2025 (mediana 0,95)." title="Figura 2. Tamaño de los campos (escala logarítmica) y razón entre producción real y Reservas 1P en 2024-2025 (mediana 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9240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2. Tamaño de los campos (escala logarítmica) y razón entre producción real y Reservas 1P en 2024-2025 (mediana 0,95).</w:t>
      </w:r>
    </w:p>
    <w:p>
      <w:pPr>
        <w:pStyle w:val="Heading1"/>
        <w:keepNext/>
        <w:spacing w:after="120" w:before="240"/>
      </w:pPr>
      <w:r>
        <w:rPr>
          <w:rFonts w:ascii="Arial Narrow" w:cs="Arial Narrow" w:eastAsia="Arial Narrow" w:hAnsi="Arial Narrow"/>
          <w:b/>
          <w:bCs/>
          <w:color w:val="000000"/>
          <w:sz w:val="30"/>
          <w:szCs w:val="30"/>
        </w:rPr>
        <w:t xml:space="preserve">3. Preparación y diseño experimental</w:t>
      </w:r>
    </w:p>
    <w:p>
      <w:pPr>
        <w:spacing w:after="100" w:line="276"/>
        <w:jc w:val="both"/>
      </w:pPr>
      <w:r>
        <w:rPr>
          <w:rFonts w:ascii="Arial Narrow" w:cs="Arial Narrow" w:eastAsia="Arial Narrow" w:hAnsi="Arial Narrow"/>
          <w:b/>
          <w:bCs/>
          <w:sz w:val="22"/>
          <w:szCs w:val="22"/>
        </w:rPr>
        <w:t xml:space="preserve">Unidad y objetivo.</w:t>
      </w:r>
      <w:r>
        <w:rPr>
          <w:rFonts w:ascii="Arial Narrow" w:cs="Arial Narrow" w:eastAsia="Arial Narrow" w:hAnsi="Arial Narrow"/>
          <w:sz w:val="22"/>
          <w:szCs w:val="22"/>
        </w:rPr>
        <w:t xml:space="preserve"> Cada fila es un campo en un año objetivo t (2024, 2025 o 2026), siempre que tenga 1P en t y producción en t-1: 302 filas para 2024, 284 para 2025 y 257 para 2026. El objetivo es el </w:t>
      </w:r>
      <w:r>
        <w:rPr>
          <w:rFonts w:ascii="Arial Narrow" w:cs="Arial Narrow" w:eastAsia="Arial Narrow" w:hAnsi="Arial Narrow"/>
          <w:b/>
          <w:bCs/>
          <w:sz w:val="22"/>
          <w:szCs w:val="22"/>
        </w:rPr>
        <w:t xml:space="preserve">cambio logarítmico de la producción diaria frente al año anterior</w:t>
      </w:r>
      <w:r>
        <w:rPr>
          <w:rFonts w:ascii="Arial Narrow" w:cs="Arial Narrow" w:eastAsia="Arial Narrow" w:hAnsi="Arial Narrow"/>
          <w:sz w:val="22"/>
          <w:szCs w:val="22"/>
        </w:rPr>
        <w:t xml:space="preserve">, log(bpd_t / bpd_t-1). Se modela el cambio y no el nivel porque el nivel de un campo es muy persistente: al predecir el nivel, los modelos se equivocaban más que repetir el año anterior. El pronóstico en barriles por día se obtiene multiplicando la producción del año anterior por la exponencial de la predicción y por un factor de retransformación (smearing de Duan) que corrige el sesgo de volver de la escala logarítmica.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907"/>
        <w:gridCol w:w="2803"/>
      </w:tblGrid>
      <w:tr>
        <w:trPr>
          <w:tblHeader/>
        </w:trPr>
        <w:tc>
          <w:tcPr>
            <w:tcW w:type="dxa" w:w="192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Grupo</w:t>
            </w:r>
          </w:p>
        </w:tc>
        <w:tc>
          <w:tcPr>
            <w:tcW w:type="dxa" w:w="490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Variables</w:t>
            </w:r>
          </w:p>
        </w:tc>
        <w:tc>
          <w:tcPr>
            <w:tcW w:type="dxa" w:w="280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Por qué</w:t>
            </w:r>
          </w:p>
        </w:tc>
      </w:tr>
      <w:tr>
        <w:trPr>
          <w:cantSplit/>
        </w:trPr>
        <w:tc>
          <w:tcPr>
            <w:tcW w:type="dxa" w:w="192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previa</w:t>
            </w:r>
          </w:p>
        </w:tc>
        <w:tc>
          <w:tcPr>
            <w:tcW w:type="dxa" w:w="49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bpd del año anterior</w:t>
            </w:r>
          </w:p>
        </w:tc>
        <w:tc>
          <w:tcPr>
            <w:tcW w:type="dxa" w:w="28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Nivel y persistencia del campo</w:t>
            </w:r>
          </w:p>
        </w:tc>
      </w:tr>
      <w:tr>
        <w:trPr>
          <w:cantSplit/>
        </w:trPr>
        <w:tc>
          <w:tcPr>
            <w:tcW w:type="dxa" w:w="192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Perfil 1P</w:t>
            </w:r>
          </w:p>
        </w:tc>
        <w:tc>
          <w:tcPr>
            <w:tcW w:type="dxa" w:w="49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1P del año; 1P año siguiente / 1P año; años restantes de 1P; reservas 1P restantes / 1P del año; brecha año anterior vs 1P</w:t>
            </w:r>
          </w:p>
        </w:tc>
        <w:tc>
          <w:tcPr>
            <w:tcW w:type="dxa" w:w="28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Dato óptimo proyectado y su declive (información ex ante)</w:t>
            </w:r>
          </w:p>
        </w:tc>
      </w:tr>
      <w:tr>
        <w:trPr>
          <w:cantSplit/>
        </w:trPr>
        <w:tc>
          <w:tcPr>
            <w:tcW w:type="dxa" w:w="192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Potencial adicional</w:t>
            </w:r>
          </w:p>
        </w:tc>
        <w:tc>
          <w:tcPr>
            <w:tcW w:type="dxa" w:w="49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reservas probables y posibles del año</w:t>
            </w:r>
          </w:p>
        </w:tc>
        <w:tc>
          <w:tcPr>
            <w:tcW w:type="dxa" w:w="28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Indican desarrollo adicional posible</w:t>
            </w:r>
          </w:p>
        </w:tc>
      </w:tr>
      <w:tr>
        <w:trPr>
          <w:cantSplit/>
        </w:trPr>
        <w:tc>
          <w:tcPr>
            <w:tcW w:type="dxa" w:w="192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Categóricas</w:t>
            </w:r>
          </w:p>
        </w:tc>
        <w:tc>
          <w:tcPr>
            <w:tcW w:type="dxa" w:w="49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tipo de contrato, departamento, operadora (8 mayores + otras)</w:t>
            </w:r>
          </w:p>
        </w:tc>
        <w:tc>
          <w:tcPr>
            <w:tcW w:type="dxa" w:w="28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Diferencias contractuales y geológicas</w:t>
            </w:r>
          </w:p>
        </w:tc>
      </w:tr>
    </w:tbl>
    <w:p>
      <w:pPr>
        <w:spacing w:after="160" w:line="276"/>
        <w:jc w:val="center"/>
      </w:pPr>
      <w:r>
        <w:rPr>
          <w:rFonts w:ascii="Arial Narrow" w:cs="Arial Narrow" w:eastAsia="Arial Narrow" w:hAnsi="Arial Narrow"/>
          <w:i/>
          <w:iCs/>
          <w:color w:val="404040"/>
          <w:sz w:val="22"/>
          <w:szCs w:val="22"/>
        </w:rPr>
        <w:t xml:space="preserve">Tabla 3. Variables explicativas (8 numéricas y 3 categóricas).</w:t>
      </w:r>
    </w:p>
    <w:p>
      <w:pPr>
        <w:spacing w:after="100" w:line="276"/>
        <w:jc w:val="both"/>
      </w:pPr>
      <w:r>
        <w:rPr>
          <w:rFonts w:ascii="Arial Narrow" w:cs="Arial Narrow" w:eastAsia="Arial Narrow" w:hAnsi="Arial Narrow"/>
          <w:b/>
          <w:bCs/>
          <w:sz w:val="22"/>
          <w:szCs w:val="22"/>
        </w:rPr>
        <w:t xml:space="preserve">Cómo se evitó la fuga.</w:t>
      </w:r>
      <w:r>
        <w:rPr>
          <w:rFonts w:ascii="Arial Narrow" w:cs="Arial Narrow" w:eastAsia="Arial Narrow" w:hAnsi="Arial Narrow"/>
          <w:sz w:val="22"/>
          <w:szCs w:val="22"/>
        </w:rPr>
        <w:t xml:space="preserve"> (1) La producción del año objetivo nunca entra como variable; solo la del año anterior. (2) La 1P, 2P y 3P provienen del IRR 2024, con corte al 31 de diciembre de 2023, antes de todos los años objetivo, así que son información ex ante. (3) La validación cruzada agrupa por campo (GroupKFold): un mismo campo nunca está a la vez en entrenamiento y validación, lo que evita que el modelo «recuerde» campos. (4) El escalado y la codificación de categorías se ajustan dentro de cada </w:t>
      </w:r>
      <w:r>
        <w:rPr>
          <w:rFonts w:ascii="Arial Narrow" w:cs="Arial Narrow" w:eastAsia="Arial Narrow" w:hAnsi="Arial Narrow"/>
          <w:i/>
          <w:iCs/>
          <w:sz w:val="22"/>
          <w:szCs w:val="22"/>
        </w:rPr>
        <w:t xml:space="preserve">pipeline</w:t>
      </w:r>
      <w:r>
        <w:rPr>
          <w:rFonts w:ascii="Arial Narrow" w:cs="Arial Narrow" w:eastAsia="Arial Narrow" w:hAnsi="Arial Narrow"/>
          <w:sz w:val="22"/>
          <w:szCs w:val="22"/>
        </w:rPr>
        <w:t xml:space="preserve"> solo con los datos de entrenamiento del pliegue.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2"/>
        <w:gridCol w:w="2410"/>
        <w:gridCol w:w="2485"/>
        <w:gridCol w:w="2861"/>
      </w:tblGrid>
      <w:tr>
        <w:trPr>
          <w:tblHeader/>
        </w:trPr>
        <w:tc>
          <w:tcPr>
            <w:tcW w:type="dxa" w:w="188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Partición</w:t>
            </w:r>
          </w:p>
        </w:tc>
        <w:tc>
          <w:tcPr>
            <w:tcW w:type="dxa" w:w="241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Entrenamiento</w:t>
            </w:r>
          </w:p>
        </w:tc>
        <w:tc>
          <w:tcPr>
            <w:tcW w:type="dxa" w:w="248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Evaluación</w:t>
            </w:r>
          </w:p>
        </w:tc>
        <w:tc>
          <w:tcPr>
            <w:tcW w:type="dxa" w:w="286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Uso</w:t>
            </w:r>
          </w:p>
        </w:tc>
      </w:tr>
      <w:tr>
        <w:trPr>
          <w:cantSplit/>
        </w:trPr>
        <w:tc>
          <w:tcPr>
            <w:tcW w:type="dxa" w:w="18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Validación cruzada</w:t>
            </w:r>
          </w:p>
        </w:tc>
        <w:tc>
          <w:tcPr>
            <w:tcW w:type="dxa" w:w="24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2024-2025, 4/5 de los campos</w:t>
            </w:r>
          </w:p>
        </w:tc>
        <w:tc>
          <w:tcPr>
            <w:tcW w:type="dxa" w:w="24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1/5 de los campos (5 pliegues)</w:t>
            </w:r>
          </w:p>
        </w:tc>
        <w:tc>
          <w:tcPr>
            <w:tcW w:type="dxa" w:w="286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Hiperparámetros y elección del modelo</w:t>
            </w:r>
          </w:p>
        </w:tc>
      </w:tr>
      <w:tr>
        <w:trPr>
          <w:cantSplit/>
        </w:trPr>
        <w:tc>
          <w:tcPr>
            <w:tcW w:type="dxa" w:w="18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Validación temporal</w:t>
            </w:r>
          </w:p>
        </w:tc>
        <w:tc>
          <w:tcPr>
            <w:tcW w:type="dxa" w:w="24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w:t>
            </w:r>
          </w:p>
        </w:tc>
        <w:tc>
          <w:tcPr>
            <w:tcW w:type="dxa" w:w="24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2025</w:t>
            </w:r>
          </w:p>
        </w:tc>
        <w:tc>
          <w:tcPr>
            <w:tcW w:type="dxa" w:w="286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Estabilidad en el tiempo; elección del umbral</w:t>
            </w:r>
          </w:p>
        </w:tc>
      </w:tr>
      <w:tr>
        <w:trPr>
          <w:cantSplit/>
        </w:trPr>
        <w:tc>
          <w:tcPr>
            <w:tcW w:type="dxa" w:w="18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Prueba final</w:t>
            </w:r>
          </w:p>
        </w:tc>
        <w:tc>
          <w:tcPr>
            <w:tcW w:type="dxa" w:w="24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2024-2025</w:t>
            </w:r>
          </w:p>
        </w:tc>
        <w:tc>
          <w:tcPr>
            <w:tcW w:type="dxa" w:w="24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2026 (enero-junio)</w:t>
            </w:r>
          </w:p>
        </w:tc>
        <w:tc>
          <w:tcPr>
            <w:tcW w:type="dxa" w:w="286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Una sola vez, con el modelo ya elegido</w:t>
            </w:r>
          </w:p>
        </w:tc>
      </w:tr>
      <w:tr>
        <w:trPr>
          <w:cantSplit/>
        </w:trPr>
        <w:tc>
          <w:tcPr>
            <w:tcW w:type="dxa" w:w="18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Pronóstico</w:t>
            </w:r>
          </w:p>
        </w:tc>
        <w:tc>
          <w:tcPr>
            <w:tcW w:type="dxa" w:w="24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2024-2026</w:t>
            </w:r>
          </w:p>
        </w:tc>
        <w:tc>
          <w:tcPr>
            <w:tcW w:type="dxa" w:w="24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2026 (jul-dic) a 2060</w:t>
            </w:r>
          </w:p>
        </w:tc>
        <w:tc>
          <w:tcPr>
            <w:tcW w:type="dxa" w:w="286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Aplicativo y respuesta a la pregunta</w:t>
            </w:r>
          </w:p>
        </w:tc>
      </w:tr>
    </w:tbl>
    <w:p>
      <w:pPr>
        <w:spacing w:after="160" w:line="276"/>
        <w:jc w:val="center"/>
      </w:pPr>
      <w:r>
        <w:rPr>
          <w:rFonts w:ascii="Arial Narrow" w:cs="Arial Narrow" w:eastAsia="Arial Narrow" w:hAnsi="Arial Narrow"/>
          <w:i/>
          <w:iCs/>
          <w:color w:val="404040"/>
          <w:sz w:val="22"/>
          <w:szCs w:val="22"/>
        </w:rPr>
        <w:t xml:space="preserve">Tabla 4. Diseño experimental sin fuga.</w:t>
      </w:r>
    </w:p>
    <w:p>
      <w:pPr>
        <w:spacing w:after="100" w:line="276"/>
        <w:jc w:val="both"/>
      </w:pPr>
      <w:r>
        <w:rPr>
          <w:rFonts w:ascii="Arial Narrow" w:cs="Arial Narrow" w:eastAsia="Arial Narrow" w:hAnsi="Arial Narrow"/>
          <w:b/>
          <w:bCs/>
          <w:sz w:val="22"/>
          <w:szCs w:val="22"/>
        </w:rPr>
        <w:t xml:space="preserve">Desbalance.</w:t>
      </w:r>
      <w:r>
        <w:rPr>
          <w:rFonts w:ascii="Arial Narrow" w:cs="Arial Narrow" w:eastAsia="Arial Narrow" w:hAnsi="Arial Narrow"/>
          <w:sz w:val="22"/>
          <w:szCs w:val="22"/>
        </w:rPr>
        <w:t xml:space="preserve"> No hay clases, pero sí un desbalance de tamaño: pocos campos concentran la producción. Por eso se pondera cada fila por la raíz de su producción previa, se mide el error en barriles (WAPE) y se reporta el error por tamaño de campo. </w:t>
      </w:r>
      <w:r>
        <w:rPr>
          <w:rFonts w:ascii="Arial Narrow" w:cs="Arial Narrow" w:eastAsia="Arial Narrow" w:hAnsi="Arial Narrow"/>
          <w:b/>
          <w:bCs/>
          <w:sz w:val="22"/>
          <w:szCs w:val="22"/>
        </w:rPr>
        <w:t xml:space="preserve">Uso del conjunto de prueba:</w:t>
      </w:r>
      <w:r>
        <w:rPr>
          <w:rFonts w:ascii="Arial Narrow" w:cs="Arial Narrow" w:eastAsia="Arial Narrow" w:hAnsi="Arial Narrow"/>
          <w:sz w:val="22"/>
          <w:szCs w:val="22"/>
        </w:rPr>
        <w:t xml:space="preserve"> 2026 no se usó para elegir hiperparámetros, modelo ni umbral; se evaluó una sola vez al final.</w:t>
      </w:r>
    </w:p>
    <w:p>
      <w:pPr>
        <w:spacing w:after="100" w:line="276"/>
        <w:jc w:val="both"/>
      </w:pPr>
      <w:r>
        <w:rPr>
          <w:rFonts w:ascii="Arial Narrow" w:cs="Arial Narrow" w:eastAsia="Arial Narrow" w:hAnsi="Arial Narrow"/>
          <w:b/>
          <w:bCs/>
          <w:sz w:val="22"/>
          <w:szCs w:val="22"/>
        </w:rPr>
        <w:t xml:space="preserve">Flujo de preparación.</w:t>
      </w:r>
      <w:r>
        <w:rPr>
          <w:rFonts w:ascii="Arial Narrow" w:cs="Arial Narrow" w:eastAsia="Arial Narrow" w:hAnsi="Arial Narrow"/>
          <w:sz w:val="22"/>
          <w:szCs w:val="22"/>
        </w:rPr>
        <w:t xml:space="preserve"> (1) Lectura de las cuatro hojas; (2) conversión a formato largo campo-año; (3) cálculo de barriles por día con la convención de días del archivo (366 en 2024, 181 en el primer semestre de 2026, 365 en los demás años); (4) construcción de variables con la función </w:t>
      </w:r>
      <w:r>
        <w:rPr>
          <w:rFonts w:ascii="Arial Narrow" w:cs="Arial Narrow" w:eastAsia="Arial Narrow" w:hAnsi="Arial Narrow"/>
          <w:b/>
          <w:bCs/>
          <w:sz w:val="22"/>
          <w:szCs w:val="22"/>
        </w:rPr>
        <w:t xml:space="preserve">variables()</w:t>
      </w:r>
      <w:r>
        <w:rPr>
          <w:rFonts w:ascii="Arial Narrow" w:cs="Arial Narrow" w:eastAsia="Arial Narrow" w:hAnsi="Arial Narrow"/>
          <w:sz w:val="22"/>
          <w:szCs w:val="22"/>
        </w:rPr>
        <w:t xml:space="preserve">, la misma que se usa después para pronosticar, para que entrenamiento y uso sean idénticos; (5) codificación one-hot de categorías con agrupación de las poco frecuentes (menos de 5 casos) y escalado estándar de las numéricas para la regresión lineal y la red neuronal (los árboles usan las variables sin escalar para que sus reglas se lean en unidades reales).</w:t>
      </w:r>
    </w:p>
    <w:p>
      <w:pPr>
        <w:spacing w:after="100" w:line="276"/>
        <w:jc w:val="both"/>
      </w:pPr>
      <w:r>
        <w:rPr>
          <w:rFonts w:ascii="Arial Narrow" w:cs="Arial Narrow" w:eastAsia="Arial Narrow" w:hAnsi="Arial Narrow"/>
          <w:b/>
          <w:bCs/>
          <w:sz w:val="22"/>
          <w:szCs w:val="22"/>
        </w:rPr>
        <w:t xml:space="preserve">Líneas base.</w:t>
      </w:r>
      <w:r>
        <w:rPr>
          <w:rFonts w:ascii="Arial Narrow" w:cs="Arial Narrow" w:eastAsia="Arial Narrow" w:hAnsi="Arial Narrow"/>
          <w:sz w:val="22"/>
          <w:szCs w:val="22"/>
        </w:rPr>
        <w:t xml:space="preserve"> (1) </w:t>
      </w:r>
      <w:r>
        <w:rPr>
          <w:rFonts w:ascii="Arial Narrow" w:cs="Arial Narrow" w:eastAsia="Arial Narrow" w:hAnsi="Arial Narrow"/>
          <w:b/>
          <w:bCs/>
          <w:sz w:val="22"/>
          <w:szCs w:val="22"/>
        </w:rPr>
        <w:t xml:space="preserve">Reservas 1P del año</w:t>
      </w:r>
      <w:r>
        <w:rPr>
          <w:rFonts w:ascii="Arial Narrow" w:cs="Arial Narrow" w:eastAsia="Arial Narrow" w:hAnsi="Arial Narrow"/>
          <w:sz w:val="22"/>
          <w:szCs w:val="22"/>
        </w:rPr>
        <w:t xml:space="preserve"> (el pronóstico oficial); (2) </w:t>
      </w:r>
      <w:r>
        <w:rPr>
          <w:rFonts w:ascii="Arial Narrow" w:cs="Arial Narrow" w:eastAsia="Arial Narrow" w:hAnsi="Arial Narrow"/>
          <w:b/>
          <w:bCs/>
          <w:sz w:val="22"/>
          <w:szCs w:val="22"/>
        </w:rPr>
        <w:t xml:space="preserve">persistencia</w:t>
      </w:r>
      <w:r>
        <w:rPr>
          <w:rFonts w:ascii="Arial Narrow" w:cs="Arial Narrow" w:eastAsia="Arial Narrow" w:hAnsi="Arial Narrow"/>
          <w:sz w:val="22"/>
          <w:szCs w:val="22"/>
        </w:rPr>
        <w:t xml:space="preserve"> (repetir el año anterior); (3) persistencia ajustada por la pendiente de la 1P. La primera es la referencia de negocio; la segunda es la referencia técnica, muy difícil de batir en producción petrolera.</w:t>
      </w:r>
    </w:p>
    <w:p>
      <w:pPr>
        <w:pStyle w:val="Heading1"/>
        <w:keepNext/>
        <w:spacing w:after="120" w:before="240"/>
      </w:pPr>
      <w:r>
        <w:rPr>
          <w:rFonts w:ascii="Arial Narrow" w:cs="Arial Narrow" w:eastAsia="Arial Narrow" w:hAnsi="Arial Narrow"/>
          <w:b/>
          <w:bCs/>
          <w:color w:val="000000"/>
          <w:sz w:val="30"/>
          <w:szCs w:val="30"/>
        </w:rPr>
        <w:t xml:space="preserve">4. Modelado</w:t>
      </w:r>
    </w:p>
    <w:p>
      <w:pPr>
        <w:spacing w:after="100" w:line="276"/>
        <w:jc w:val="both"/>
      </w:pPr>
      <w:r>
        <w:rPr>
          <w:rFonts w:ascii="Arial Narrow" w:cs="Arial Narrow" w:eastAsia="Arial Narrow" w:hAnsi="Arial Narrow"/>
          <w:sz w:val="22"/>
          <w:szCs w:val="22"/>
        </w:rPr>
        <w:t xml:space="preserve">Se compararon seis modelos con búsqueda en malla de hiperparámetros sobre los mismos cinco pliegues: </w:t>
      </w:r>
      <w:r>
        <w:rPr>
          <w:rFonts w:ascii="Arial Narrow" w:cs="Arial Narrow" w:eastAsia="Arial Narrow" w:hAnsi="Arial Narrow"/>
          <w:b/>
          <w:bCs/>
          <w:sz w:val="22"/>
          <w:szCs w:val="22"/>
        </w:rPr>
        <w:t xml:space="preserve">regresión lineal</w:t>
      </w:r>
      <w:r>
        <w:rPr>
          <w:rFonts w:ascii="Arial Narrow" w:cs="Arial Narrow" w:eastAsia="Arial Narrow" w:hAnsi="Arial Narrow"/>
          <w:sz w:val="22"/>
          <w:szCs w:val="22"/>
        </w:rPr>
        <w:t xml:space="preserve"> por mínimos cuadrados y regularizada (Ridge, α en {0,1; 1; 10; 30}); </w:t>
      </w:r>
      <w:r>
        <w:rPr>
          <w:rFonts w:ascii="Arial Narrow" w:cs="Arial Narrow" w:eastAsia="Arial Narrow" w:hAnsi="Arial Narrow"/>
          <w:b/>
          <w:bCs/>
          <w:sz w:val="22"/>
          <w:szCs w:val="22"/>
        </w:rPr>
        <w:t xml:space="preserve">árbol de decisión</w:t>
      </w:r>
      <w:r>
        <w:rPr>
          <w:rFonts w:ascii="Arial Narrow" w:cs="Arial Narrow" w:eastAsia="Arial Narrow" w:hAnsi="Arial Narrow"/>
          <w:sz w:val="22"/>
          <w:szCs w:val="22"/>
        </w:rPr>
        <w:t xml:space="preserve"> (profundidad 3 a 8; mínimo de 5 a 20 casos por hoja); </w:t>
      </w:r>
      <w:r>
        <w:rPr>
          <w:rFonts w:ascii="Arial Narrow" w:cs="Arial Narrow" w:eastAsia="Arial Narrow" w:hAnsi="Arial Narrow"/>
          <w:b/>
          <w:bCs/>
          <w:sz w:val="22"/>
          <w:szCs w:val="22"/>
        </w:rPr>
        <w:t xml:space="preserve">Random Forest</w:t>
      </w:r>
      <w:r>
        <w:rPr>
          <w:rFonts w:ascii="Arial Narrow" w:cs="Arial Narrow" w:eastAsia="Arial Narrow" w:hAnsi="Arial Narrow"/>
          <w:sz w:val="22"/>
          <w:szCs w:val="22"/>
        </w:rPr>
        <w:t xml:space="preserve"> y </w:t>
      </w:r>
      <w:r>
        <w:rPr>
          <w:rFonts w:ascii="Arial Narrow" w:cs="Arial Narrow" w:eastAsia="Arial Narrow" w:hAnsi="Arial Narrow"/>
          <w:b/>
          <w:bCs/>
          <w:sz w:val="22"/>
          <w:szCs w:val="22"/>
        </w:rPr>
        <w:t xml:space="preserve">Gradient Boosting</w:t>
      </w:r>
      <w:r>
        <w:rPr>
          <w:rFonts w:ascii="Arial Narrow" w:cs="Arial Narrow" w:eastAsia="Arial Narrow" w:hAnsi="Arial Narrow"/>
          <w:sz w:val="22"/>
          <w:szCs w:val="22"/>
        </w:rPr>
        <w:t xml:space="preserve"> como ensambles de árboles (profundidad, tamaño de hoja, variables por división, tasa de aprendizaje y número de árboles); y </w:t>
      </w:r>
      <w:r>
        <w:rPr>
          <w:rFonts w:ascii="Arial Narrow" w:cs="Arial Narrow" w:eastAsia="Arial Narrow" w:hAnsi="Arial Narrow"/>
          <w:b/>
          <w:bCs/>
          <w:sz w:val="22"/>
          <w:szCs w:val="22"/>
        </w:rPr>
        <w:t xml:space="preserve">red neuronal</w:t>
      </w:r>
      <w:r>
        <w:rPr>
          <w:rFonts w:ascii="Arial Narrow" w:cs="Arial Narrow" w:eastAsia="Arial Narrow" w:hAnsi="Arial Narrow"/>
          <w:sz w:val="22"/>
          <w:szCs w:val="22"/>
        </w:rPr>
        <w:t xml:space="preserve"> (perceptrón multicapa de una o dos capas ocultas de 16 a 64 neuronas, regularización α en {0,001; 0,01; 0,1} y parada temprana). Semilla fija: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3067"/>
        <w:gridCol w:w="949"/>
        <w:gridCol w:w="949"/>
        <w:gridCol w:w="949"/>
        <w:gridCol w:w="1095"/>
      </w:tblGrid>
      <w:tr>
        <w:trPr>
          <w:tblHeader/>
        </w:trPr>
        <w:tc>
          <w:tcPr>
            <w:tcW w:type="dxa" w:w="262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Modelo</w:t>
            </w:r>
          </w:p>
        </w:tc>
        <w:tc>
          <w:tcPr>
            <w:tcW w:type="dxa" w:w="306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Hiperparámetros elegidos</w:t>
            </w:r>
          </w:p>
        </w:tc>
        <w:tc>
          <w:tcPr>
            <w:tcW w:type="dxa" w:w="94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CV</w:t>
            </w:r>
          </w:p>
        </w:tc>
        <w:tc>
          <w:tcPr>
            <w:tcW w:type="dxa" w:w="94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Desv. CV</w:t>
            </w:r>
          </w:p>
        </w:tc>
        <w:tc>
          <w:tcPr>
            <w:tcW w:type="dxa" w:w="94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Sesgo CV</w:t>
            </w:r>
          </w:p>
        </w:tc>
        <w:tc>
          <w:tcPr>
            <w:tcW w:type="dxa" w:w="109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temporal</w:t>
            </w:r>
          </w:p>
        </w:tc>
      </w:tr>
      <w:tr>
        <w:trPr>
          <w:cantSplit/>
        </w:trPr>
        <w:tc>
          <w:tcPr>
            <w:tcW w:type="dxa" w:w="26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Random Forest (ensamble de árboles)</w:t>
            </w:r>
          </w:p>
        </w:tc>
        <w:tc>
          <w:tcPr>
            <w:tcW w:type="dxa" w:w="306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{'max_depth': 8, 'max_features': 1.0, 'min_samples_leaf': 5}</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9,6%</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2,0%</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w:t>
            </w:r>
          </w:p>
        </w:tc>
        <w:tc>
          <w:tcPr>
            <w:tcW w:type="dxa" w:w="10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12,8%</w:t>
            </w:r>
          </w:p>
        </w:tc>
      </w:tr>
      <w:tr>
        <w:trPr>
          <w:cantSplit/>
        </w:trPr>
        <w:tc>
          <w:tcPr>
            <w:tcW w:type="dxa" w:w="26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Gradient Boosting (ensamble de árboles)</w:t>
            </w:r>
          </w:p>
        </w:tc>
        <w:tc>
          <w:tcPr>
            <w:tcW w:type="dxa" w:w="306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{'learning_rate': 0.03, 'max_depth': 3, 'n_estimators': 200}</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10,3%</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2,7%</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w:t>
            </w:r>
          </w:p>
        </w:tc>
        <w:tc>
          <w:tcPr>
            <w:tcW w:type="dxa" w:w="109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12,6%</w:t>
            </w:r>
          </w:p>
        </w:tc>
      </w:tr>
      <w:tr>
        <w:trPr>
          <w:cantSplit/>
        </w:trPr>
        <w:tc>
          <w:tcPr>
            <w:tcW w:type="dxa" w:w="26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Árbol de decisión</w:t>
            </w:r>
          </w:p>
        </w:tc>
        <w:tc>
          <w:tcPr>
            <w:tcW w:type="dxa" w:w="306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{'max_depth': 3, 'min_samples_leaf': 20}</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11,2%</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3,2%</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-0,8%</w:t>
            </w:r>
          </w:p>
        </w:tc>
        <w:tc>
          <w:tcPr>
            <w:tcW w:type="dxa" w:w="10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17,1%</w:t>
            </w:r>
          </w:p>
        </w:tc>
      </w:tr>
      <w:tr>
        <w:trPr>
          <w:cantSplit/>
        </w:trPr>
        <w:tc>
          <w:tcPr>
            <w:tcW w:type="dxa" w:w="26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persistencia (año anterior)</w:t>
            </w:r>
          </w:p>
        </w:tc>
        <w:tc>
          <w:tcPr>
            <w:tcW w:type="dxa" w:w="306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11,9%</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2,2%</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3,5%</w:t>
            </w:r>
          </w:p>
        </w:tc>
        <w:tc>
          <w:tcPr>
            <w:tcW w:type="dxa" w:w="109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12,3%</w:t>
            </w:r>
          </w:p>
        </w:tc>
      </w:tr>
      <w:tr>
        <w:trPr>
          <w:cantSplit/>
        </w:trPr>
        <w:tc>
          <w:tcPr>
            <w:tcW w:type="dxa" w:w="26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persistencia × pendiente 1P</w:t>
            </w:r>
          </w:p>
        </w:tc>
        <w:tc>
          <w:tcPr>
            <w:tcW w:type="dxa" w:w="306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12,6%</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w:t>
            </w:r>
          </w:p>
        </w:tc>
        <w:tc>
          <w:tcPr>
            <w:tcW w:type="dxa" w:w="10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r>
      <w:tr>
        <w:trPr>
          <w:cantSplit/>
        </w:trPr>
        <w:tc>
          <w:tcPr>
            <w:tcW w:type="dxa" w:w="26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 regularizada (Ridge)</w:t>
            </w:r>
          </w:p>
        </w:tc>
        <w:tc>
          <w:tcPr>
            <w:tcW w:type="dxa" w:w="306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{'alpha': 30}</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w:t>
            </w:r>
          </w:p>
        </w:tc>
        <w:tc>
          <w:tcPr>
            <w:tcW w:type="dxa" w:w="109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r>
      <w:tr>
        <w:trPr>
          <w:cantSplit/>
        </w:trPr>
        <w:tc>
          <w:tcPr>
            <w:tcW w:type="dxa" w:w="26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 (MCO)</w:t>
            </w:r>
          </w:p>
        </w:tc>
        <w:tc>
          <w:tcPr>
            <w:tcW w:type="dxa" w:w="306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w:t>
            </w:r>
          </w:p>
        </w:tc>
        <w:tc>
          <w:tcPr>
            <w:tcW w:type="dxa" w:w="10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r>
      <w:tr>
        <w:trPr>
          <w:cantSplit/>
        </w:trPr>
        <w:tc>
          <w:tcPr>
            <w:tcW w:type="dxa" w:w="26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Red neuronal (perceptrón multicapa)</w:t>
            </w:r>
          </w:p>
        </w:tc>
        <w:tc>
          <w:tcPr>
            <w:tcW w:type="dxa" w:w="306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{'alpha': 0.001, 'hidden_layer_sizes': (64, 32)}</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13,4%</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w:t>
            </w:r>
          </w:p>
        </w:tc>
        <w:tc>
          <w:tcPr>
            <w:tcW w:type="dxa" w:w="109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12,4%</w:t>
            </w:r>
          </w:p>
        </w:tc>
      </w:tr>
      <w:tr>
        <w:trPr>
          <w:cantSplit/>
        </w:trPr>
        <w:tc>
          <w:tcPr>
            <w:tcW w:type="dxa" w:w="26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Reservas 1P del año</w:t>
            </w:r>
          </w:p>
        </w:tc>
        <w:tc>
          <w:tcPr>
            <w:tcW w:type="dxa" w:w="306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16,5%</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4,2%</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w:t>
            </w:r>
          </w:p>
        </w:tc>
        <w:tc>
          <w:tcPr>
            <w:tcW w:type="dxa" w:w="10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19,3%</w:t>
            </w:r>
          </w:p>
        </w:tc>
      </w:tr>
    </w:tbl>
    <w:p>
      <w:pPr>
        <w:spacing w:after="160" w:line="276"/>
        <w:jc w:val="center"/>
      </w:pPr>
      <w:r>
        <w:rPr>
          <w:rFonts w:ascii="Arial Narrow" w:cs="Arial Narrow" w:eastAsia="Arial Narrow" w:hAnsi="Arial Narrow"/>
          <w:i/>
          <w:iCs/>
          <w:color w:val="404040"/>
          <w:sz w:val="22"/>
          <w:szCs w:val="22"/>
        </w:rPr>
        <w:t xml:space="preserve">Tabla 5. Validación cruzada agrupada por campo (2024-2025) y validación temporal (entrenar 2024 → evaluar 2025). Ordenado por WAPE CV.</w:t>
      </w:r>
    </w:p>
    <w:p>
      <w:pPr>
        <w:spacing w:after="100" w:line="276"/>
        <w:jc w:val="both"/>
      </w:pPr>
      <w:r>
        <w:rPr>
          <w:rFonts w:ascii="Arial Narrow" w:cs="Arial Narrow" w:eastAsia="Arial Narrow" w:hAnsi="Arial Narrow"/>
          <w:b/>
          <w:bCs/>
          <w:sz w:val="22"/>
          <w:szCs w:val="22"/>
        </w:rPr>
        <w:t xml:space="preserve">Cómo se eligió el final.</w:t>
      </w:r>
      <w:r>
        <w:rPr>
          <w:rFonts w:ascii="Arial Narrow" w:cs="Arial Narrow" w:eastAsia="Arial Narrow" w:hAnsi="Arial Narrow"/>
          <w:sz w:val="22"/>
          <w:szCs w:val="22"/>
        </w:rPr>
        <w:t xml:space="preserve"> Por el menor WAPE de validación cruzada: </w:t>
      </w:r>
      <w:r>
        <w:rPr>
          <w:rFonts w:ascii="Arial Narrow" w:cs="Arial Narrow" w:eastAsia="Arial Narrow" w:hAnsi="Arial Narrow"/>
          <w:b/>
          <w:bCs/>
          <w:sz w:val="22"/>
          <w:szCs w:val="22"/>
        </w:rPr>
        <w:t xml:space="preserve">Random Forest (ensamble de árboles)</w:t>
      </w:r>
      <w:r>
        <w:rPr>
          <w:rFonts w:ascii="Arial Narrow" w:cs="Arial Narrow" w:eastAsia="Arial Narrow" w:hAnsi="Arial Narrow"/>
          <w:sz w:val="22"/>
          <w:szCs w:val="22"/>
        </w:rPr>
        <w:t xml:space="preserve">, con 9,6% ± 2,0%, frente a 11,9% de la persistencia y 16,5% de usar la 1P tal cual. Los dos ensambles de árboles y el árbol de decisión individual superaron a las tres líneas base. La regresión lineal (13,1%) y la red neuronal (13,4%) quedaron por encima de la persistencia en validación cruzada, aunque la regresión lineal fue la mejor en la validación temporal (9,9%). Ridge eligió α = 30 y dio prácticamente el mismo resultado que mínimos cuadrados: la regularización no mejoró el error.</w:t>
      </w:r>
    </w:p>
    <w:p>
      <w:pPr>
        <w:spacing w:after="100" w:line="276"/>
        <w:jc w:val="both"/>
      </w:pPr>
      <w:r>
        <w:rPr>
          <w:rFonts w:ascii="Arial Narrow" w:cs="Arial Narrow" w:eastAsia="Arial Narrow" w:hAnsi="Arial Narrow"/>
          <w:b/>
          <w:bCs/>
          <w:sz w:val="22"/>
          <w:szCs w:val="22"/>
        </w:rPr>
        <w:t xml:space="preserve">Regresión lineal: qué dice.</w:t>
      </w:r>
      <w:r>
        <w:rPr>
          <w:rFonts w:ascii="Arial Narrow" w:cs="Arial Narrow" w:eastAsia="Arial Narrow" w:hAnsi="Arial Narrow"/>
          <w:sz w:val="22"/>
          <w:szCs w:val="22"/>
        </w:rPr>
        <w:t xml:space="preserve"> Los coeficientes estandarizados muestran que el cambio esperado es mayor (menos caída) cuando el campo tiene más reservas probables, cuando la 1P del año siguiente cae menos y cuando le quedan más años de 1P; y es menor cuando las reservas 1P restantes son grandes frente a la 1P del año (campos maduros de declive lento pero sostenido) y cuando hay muchas reservas posibles aún no desarrolladas. Las categorías de operadora y departamento capturan diferencias adicionales (anexo C).</w:t>
      </w:r>
    </w:p>
    <w:p>
      <w:pPr>
        <w:keepNext/>
        <w:spacing w:after="40"/>
        <w:jc w:val="center"/>
      </w:pPr>
      <w:r>
        <w:drawing>
          <wp:inline distT="0" distB="0" distL="0" distR="0">
            <wp:extent cx="4676775" cy="2266950"/>
            <wp:effectExtent t="0" r="0" b="0" l="0"/>
            <wp:docPr id="1" name="figura" descr="Figura 3. Curva de aprendizaje de la red neuronal (64 y 32 neuronas): error época a época en entrenamiento, validación (campos no vistos) y prueba 2026. La mejor época en validación es la 21." title="Figura 3. Curva de aprendizaje de la red neuronal (64 y 32 neuronas): error época a época en entrenamiento, validación (campos no vistos) y prueba 2026. La mejor época en validación es l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22669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3. Curva de aprendizaje de la red neuronal (64 y 32 neuronas): error época a época en entrenamiento, validación (campos no vistos) y prueba 2026. La mejor época en validación es la 21.</w:t>
      </w:r>
    </w:p>
    <w:p>
      <w:pPr>
        <w:spacing w:after="100" w:line="276"/>
        <w:jc w:val="both"/>
      </w:pPr>
      <w:r>
        <w:rPr>
          <w:rFonts w:ascii="Arial Narrow" w:cs="Arial Narrow" w:eastAsia="Arial Narrow" w:hAnsi="Arial Narrow"/>
          <w:b/>
          <w:bCs/>
          <w:sz w:val="22"/>
          <w:szCs w:val="22"/>
        </w:rPr>
        <w:t xml:space="preserve">Red neuronal: qué pasó.</w:t>
      </w:r>
      <w:r>
        <w:rPr>
          <w:rFonts w:ascii="Arial Narrow" w:cs="Arial Narrow" w:eastAsia="Arial Narrow" w:hAnsi="Arial Narrow"/>
          <w:sz w:val="22"/>
          <w:szCs w:val="22"/>
        </w:rPr>
        <w:t xml:space="preserve"> La curva de aprendizaje compara el entrenamiento con la prueba. Hasta la época 21 los tres errores bajan juntos (validación 0,128; prueba 0,101). Después el error de entrenamiento sigue cayendo hasta 0,006 en la época 400, mientras validación y prueba suben a 0,194 y 0,206: la red memoriza los campos de entrenamiento (sobreajuste). Por eso se entrena con parada temprana; aun así, con 586 filas, no supera a la regresión lineal ni a los árboles. La mejor arquitectura fue la de dos capas (64 y 32 neuronas) con regularización baja. La curva de prueba solo se muestra; la mejor época se fija con la validación.</w:t>
      </w:r>
    </w:p>
    <w:p>
      <w:pPr>
        <w:spacing w:after="100" w:line="276"/>
        <w:jc w:val="both"/>
      </w:pPr>
      <w:r>
        <w:rPr>
          <w:rFonts w:ascii="Arial Narrow" w:cs="Arial Narrow" w:eastAsia="Arial Narrow" w:hAnsi="Arial Narrow"/>
          <w:b/>
          <w:bCs/>
          <w:sz w:val="22"/>
          <w:szCs w:val="22"/>
        </w:rPr>
        <w:t xml:space="preserve">Por qué ganan los árboles.</w:t>
      </w:r>
      <w:r>
        <w:rPr>
          <w:rFonts w:ascii="Arial Narrow" w:cs="Arial Narrow" w:eastAsia="Arial Narrow" w:hAnsi="Arial Narrow"/>
          <w:sz w:val="22"/>
          <w:szCs w:val="22"/>
        </w:rPr>
        <w:t xml:space="preserve"> La relación entre producción previa, 1P y cambio no es lineal: los campos pequeños (menos de unos 100 bpd) caen mucho más rápido, y los campos que vienen por encima de su 1P tienden a volver hacia ella. Los árboles capturan esos cortes; la regresión lineal impone una pendiente única; y la red neuronal, con solo 586 filas, probablemente no tiene datos suficientes para aprender esa forma sin sobreajustar.</w:t>
      </w:r>
    </w:p>
    <w:p>
      <w:pPr>
        <w:keepNext/>
        <w:spacing w:after="40"/>
        <w:jc w:val="center"/>
      </w:pPr>
      <w:r>
        <w:drawing>
          <wp:inline distT="0" distB="0" distL="0" distR="0">
            <wp:extent cx="5943600" cy="3067050"/>
            <wp:effectExtent t="0" r="0" b="0" l="0"/>
            <wp:docPr id="1" name="figura" descr="Figura 4. Árbol de decisión (profundidad 3 elegida por validación cruzada). Cada hoja da el cambio esperado frente al año anterior; tono más oscuro = crecimiento, más claro = caída." title="Figura 4. Árbol de decisión (profundidad 3 elegida por validación cruzada). Cada hoja da el cambio esperado frente al año anterior; tono más oscuro = crecimiento, más claro = caí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0670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4. Árbol de decisión (profundidad 3 elegida por validación cruzada). Cada hoja da el cambio esperado frente al año anterior; tono más oscuro = crecimiento, más claro = caída.</w:t>
      </w:r>
    </w:p>
    <w:p>
      <w:pPr>
        <w:spacing w:after="100" w:line="276"/>
        <w:jc w:val="both"/>
      </w:pPr>
      <w:r>
        <w:rPr>
          <w:rFonts w:ascii="Arial Narrow" w:cs="Arial Narrow" w:eastAsia="Arial Narrow" w:hAnsi="Arial Narrow"/>
          <w:b/>
          <w:bCs/>
          <w:sz w:val="22"/>
          <w:szCs w:val="22"/>
        </w:rPr>
        <w:t xml:space="preserve">Interpretación inicial del árbol.</w:t>
      </w:r>
      <w:r>
        <w:rPr>
          <w:rFonts w:ascii="Arial Narrow" w:cs="Arial Narrow" w:eastAsia="Arial Narrow" w:hAnsi="Arial Narrow"/>
          <w:sz w:val="22"/>
          <w:szCs w:val="22"/>
        </w:rPr>
        <w:t xml:space="preserve"> La primera división separa los campos con menos de unos 105 bpd el año anterior (log ≤ 4,67): en ellos la caída esperada es de 11% a 65%, y es mayor si la 1P del año siguiente cae más de 17%. En los campos más grandes, la variable clave es la brecha con la 1P: los que vienen por debajo de su 1P y producen más de unos 1.300 bpd tienden a recuperarse (+13%); el resto declina entre 6% y 16% al año.</w:t>
      </w:r>
    </w:p>
    <w:p>
      <w:pPr>
        <w:spacing w:after="100" w:line="276"/>
        <w:jc w:val="both"/>
      </w:pPr>
      <w:r>
        <w:rPr>
          <w:rFonts w:ascii="Arial Narrow" w:cs="Arial Narrow" w:eastAsia="Arial Narrow" w:hAnsi="Arial Narrow"/>
          <w:b/>
          <w:bCs/>
          <w:sz w:val="22"/>
          <w:szCs w:val="22"/>
        </w:rPr>
        <w:t xml:space="preserve">Informe del mejor modelo.</w:t>
      </w:r>
      <w:r>
        <w:rPr>
          <w:rFonts w:ascii="Arial Narrow" w:cs="Arial Narrow" w:eastAsia="Arial Narrow" w:hAnsi="Arial Narrow"/>
          <w:sz w:val="22"/>
          <w:szCs w:val="22"/>
        </w:rPr>
        <w:t xml:space="preserve"> La regla de elección, fijada antes de ver la prueba, es el menor WAPE en la validación cruzada agrupada por campo. El mejor de cada familia y el veredicto se resumen en la tabla 5b; el aplicativo lo presenta en la página Modelos.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262"/>
        <w:gridCol w:w="1038"/>
        <w:gridCol w:w="1186"/>
        <w:gridCol w:w="1112"/>
        <w:gridCol w:w="1112"/>
      </w:tblGrid>
      <w:tr>
        <w:trPr>
          <w:tblHeader/>
        </w:trPr>
        <w:tc>
          <w:tcPr>
            <w:tcW w:type="dxa" w:w="192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Familia</w:t>
            </w:r>
          </w:p>
        </w:tc>
        <w:tc>
          <w:tcPr>
            <w:tcW w:type="dxa" w:w="326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Mejor modelo de la familia</w:t>
            </w:r>
          </w:p>
        </w:tc>
        <w:tc>
          <w:tcPr>
            <w:tcW w:type="dxa" w:w="103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CV</w:t>
            </w:r>
          </w:p>
        </w:tc>
        <w:tc>
          <w:tcPr>
            <w:tcW w:type="dxa" w:w="1186"/>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temporal</w:t>
            </w:r>
          </w:p>
        </w:tc>
        <w:tc>
          <w:tcPr>
            <w:tcW w:type="dxa" w:w="111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prueba</w:t>
            </w:r>
          </w:p>
        </w:tc>
        <w:tc>
          <w:tcPr>
            <w:tcW w:type="dxa" w:w="111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Sesgo prueba</w:t>
            </w:r>
          </w:p>
        </w:tc>
      </w:tr>
      <w:tr>
        <w:trPr>
          <w:cantSplit/>
        </w:trPr>
        <w:tc>
          <w:tcPr>
            <w:tcW w:type="dxa" w:w="192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Árboles de decisión</w:t>
            </w:r>
          </w:p>
        </w:tc>
        <w:tc>
          <w:tcPr>
            <w:tcW w:type="dxa" w:w="326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Random Forest (ensamble de árboles)</w:t>
            </w:r>
          </w:p>
        </w:tc>
        <w:tc>
          <w:tcPr>
            <w:tcW w:type="dxa" w:w="103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9,6%</w:t>
            </w:r>
          </w:p>
        </w:tc>
        <w:tc>
          <w:tcPr>
            <w:tcW w:type="dxa" w:w="118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12,8%</w:t>
            </w:r>
          </w:p>
        </w:tc>
        <w:tc>
          <w:tcPr>
            <w:tcW w:type="dxa" w:w="111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w:t>
            </w:r>
          </w:p>
        </w:tc>
        <w:tc>
          <w:tcPr>
            <w:tcW w:type="dxa" w:w="111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-3,1%</w:t>
            </w:r>
          </w:p>
        </w:tc>
      </w:tr>
      <w:tr>
        <w:trPr>
          <w:cantSplit/>
        </w:trPr>
        <w:tc>
          <w:tcPr>
            <w:tcW w:type="dxa" w:w="192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w:t>
            </w:r>
          </w:p>
        </w:tc>
        <w:tc>
          <w:tcPr>
            <w:tcW w:type="dxa" w:w="326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Regresión lineal regularizada (Ridge)</w:t>
            </w:r>
          </w:p>
        </w:tc>
        <w:tc>
          <w:tcPr>
            <w:tcW w:type="dxa" w:w="103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118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c>
          <w:tcPr>
            <w:tcW w:type="dxa" w:w="111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10,0%</w:t>
            </w:r>
          </w:p>
        </w:tc>
        <w:tc>
          <w:tcPr>
            <w:tcW w:type="dxa" w:w="111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-0,1%</w:t>
            </w:r>
          </w:p>
        </w:tc>
      </w:tr>
      <w:tr>
        <w:trPr>
          <w:cantSplit/>
        </w:trPr>
        <w:tc>
          <w:tcPr>
            <w:tcW w:type="dxa" w:w="192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Redes neuronales</w:t>
            </w:r>
          </w:p>
        </w:tc>
        <w:tc>
          <w:tcPr>
            <w:tcW w:type="dxa" w:w="326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Red neuronal (perceptrón multicapa)</w:t>
            </w:r>
          </w:p>
        </w:tc>
        <w:tc>
          <w:tcPr>
            <w:tcW w:type="dxa" w:w="103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13,4%</w:t>
            </w:r>
          </w:p>
        </w:tc>
        <w:tc>
          <w:tcPr>
            <w:tcW w:type="dxa" w:w="118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12,4%</w:t>
            </w:r>
          </w:p>
        </w:tc>
        <w:tc>
          <w:tcPr>
            <w:tcW w:type="dxa" w:w="111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10,6%</w:t>
            </w:r>
          </w:p>
        </w:tc>
        <w:tc>
          <w:tcPr>
            <w:tcW w:type="dxa" w:w="111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-0,7%</w:t>
            </w:r>
          </w:p>
        </w:tc>
      </w:tr>
    </w:tbl>
    <w:p>
      <w:pPr>
        <w:spacing w:after="160" w:line="276"/>
        <w:jc w:val="center"/>
      </w:pPr>
      <w:r>
        <w:rPr>
          <w:rFonts w:ascii="Arial Narrow" w:cs="Arial Narrow" w:eastAsia="Arial Narrow" w:hAnsi="Arial Narrow"/>
          <w:i/>
          <w:iCs/>
          <w:color w:val="404040"/>
          <w:sz w:val="22"/>
          <w:szCs w:val="22"/>
        </w:rPr>
        <w:t xml:space="preserve">Tabla 5b. Mejor modelo por familia. Veredicto: Random Forest (ensamble de árboles), el menor error en validación cruzada, confirmado en la prueba 2026.</w:t>
      </w:r>
    </w:p>
    <w:p>
      <w:pPr>
        <w:pStyle w:val="Heading1"/>
        <w:keepNext/>
        <w:spacing w:after="120" w:before="240"/>
      </w:pPr>
      <w:r>
        <w:rPr>
          <w:rFonts w:ascii="Arial Narrow" w:cs="Arial Narrow" w:eastAsia="Arial Narrow" w:hAnsi="Arial Narrow"/>
          <w:b/>
          <w:bCs/>
          <w:color w:val="000000"/>
          <w:sz w:val="30"/>
          <w:szCs w:val="30"/>
        </w:rPr>
        <w:t xml:space="preserve">5. Evaluación</w:t>
      </w:r>
    </w:p>
    <w:p>
      <w:pPr>
        <w:spacing w:after="100" w:line="276"/>
        <w:jc w:val="both"/>
      </w:pPr>
      <w:r>
        <w:rPr>
          <w:rFonts w:ascii="Arial Narrow" w:cs="Arial Narrow" w:eastAsia="Arial Narrow" w:hAnsi="Arial Narrow"/>
          <w:b/>
          <w:bCs/>
          <w:sz w:val="22"/>
          <w:szCs w:val="22"/>
        </w:rPr>
        <w:t xml:space="preserve">Qué métricas importan por el costo del error.</w:t>
      </w:r>
      <w:r>
        <w:rPr>
          <w:rFonts w:ascii="Arial Narrow" w:cs="Arial Narrow" w:eastAsia="Arial Narrow" w:hAnsi="Arial Narrow"/>
          <w:sz w:val="22"/>
          <w:szCs w:val="22"/>
        </w:rPr>
        <w:t xml:space="preserve"> Para el presupuesto de regalías importa el </w:t>
      </w:r>
      <w:r>
        <w:rPr>
          <w:rFonts w:ascii="Arial Narrow" w:cs="Arial Narrow" w:eastAsia="Arial Narrow" w:hAnsi="Arial Narrow"/>
          <w:b/>
          <w:bCs/>
          <w:sz w:val="22"/>
          <w:szCs w:val="22"/>
        </w:rPr>
        <w:t xml:space="preserve">sesgo del total país</w:t>
      </w:r>
      <w:r>
        <w:rPr>
          <w:rFonts w:ascii="Arial Narrow" w:cs="Arial Narrow" w:eastAsia="Arial Narrow" w:hAnsi="Arial Narrow"/>
          <w:sz w:val="22"/>
          <w:szCs w:val="22"/>
        </w:rPr>
        <w:t xml:space="preserve">: un sesgo positivo promete recursos que no llegan. Para la asignación territorial importa el </w:t>
      </w:r>
      <w:r>
        <w:rPr>
          <w:rFonts w:ascii="Arial Narrow" w:cs="Arial Narrow" w:eastAsia="Arial Narrow" w:hAnsi="Arial Narrow"/>
          <w:b/>
          <w:bCs/>
          <w:sz w:val="22"/>
          <w:szCs w:val="22"/>
        </w:rPr>
        <w:t xml:space="preserve">WAPE por campo</w:t>
      </w:r>
      <w:r>
        <w:rPr>
          <w:rFonts w:ascii="Arial Narrow" w:cs="Arial Narrow" w:eastAsia="Arial Narrow" w:hAnsi="Arial Narrow"/>
          <w:sz w:val="22"/>
          <w:szCs w:val="22"/>
        </w:rPr>
        <w:t xml:space="preserve">, porque cada campo alimenta a sus municipios. Para el seguimiento importa el </w:t>
      </w:r>
      <w:r>
        <w:rPr>
          <w:rFonts w:ascii="Arial Narrow" w:cs="Arial Narrow" w:eastAsia="Arial Narrow" w:hAnsi="Arial Narrow"/>
          <w:b/>
          <w:bCs/>
          <w:sz w:val="22"/>
          <w:szCs w:val="22"/>
        </w:rPr>
        <w:t xml:space="preserve">porcentaje de campos con error mayor al 20%</w:t>
      </w:r>
      <w:r>
        <w:rPr>
          <w:rFonts w:ascii="Arial Narrow" w:cs="Arial Narrow" w:eastAsia="Arial Narrow" w:hAnsi="Arial Narrow"/>
          <w:sz w:val="22"/>
          <w:szCs w:val="22"/>
        </w:rPr>
        <w:t xml:space="preserve">. El R² en escala logarítmica se reporta como referencia estadística.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1"/>
        <w:gridCol w:w="1460"/>
        <w:gridCol w:w="1460"/>
        <w:gridCol w:w="1168"/>
        <w:gridCol w:w="1899"/>
      </w:tblGrid>
      <w:tr>
        <w:trPr>
          <w:tblHeader/>
        </w:trPr>
        <w:tc>
          <w:tcPr>
            <w:tcW w:type="dxa" w:w="365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Modelo</w:t>
            </w:r>
          </w:p>
        </w:tc>
        <w:tc>
          <w:tcPr>
            <w:tcW w:type="dxa" w:w="146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prueba</w:t>
            </w:r>
          </w:p>
        </w:tc>
        <w:tc>
          <w:tcPr>
            <w:tcW w:type="dxa" w:w="146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Sesgo total</w:t>
            </w:r>
          </w:p>
        </w:tc>
        <w:tc>
          <w:tcPr>
            <w:tcW w:type="dxa" w:w="116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R² (log)</w:t>
            </w:r>
          </w:p>
        </w:tc>
        <w:tc>
          <w:tcPr>
            <w:tcW w:type="dxa" w:w="189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Campos con error &gt; 20%</w:t>
            </w:r>
          </w:p>
        </w:tc>
      </w:tr>
      <w:tr>
        <w:trPr>
          <w:cantSplit/>
        </w:trPr>
        <w:tc>
          <w:tcPr>
            <w:tcW w:type="dxa" w:w="365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persistencia (año anterior)</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8,1%</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2,9%</w:t>
            </w:r>
          </w:p>
        </w:tc>
        <w:tc>
          <w:tcPr>
            <w:tcW w:type="dxa" w:w="11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0,930</w:t>
            </w:r>
          </w:p>
        </w:tc>
        <w:tc>
          <w:tcPr>
            <w:tcW w:type="dxa" w:w="18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33%</w:t>
            </w:r>
          </w:p>
        </w:tc>
      </w:tr>
      <w:tr>
        <w:trPr>
          <w:cantSplit/>
        </w:trPr>
        <w:tc>
          <w:tcPr>
            <w:tcW w:type="dxa" w:w="365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Random Forest (ensamble de árboles)</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-3,1%</w:t>
            </w:r>
          </w:p>
        </w:tc>
        <w:tc>
          <w:tcPr>
            <w:tcW w:type="dxa" w:w="11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0,926</w:t>
            </w:r>
          </w:p>
        </w:tc>
        <w:tc>
          <w:tcPr>
            <w:tcW w:type="dxa" w:w="18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42%</w:t>
            </w:r>
          </w:p>
        </w:tc>
      </w:tr>
      <w:tr>
        <w:trPr>
          <w:cantSplit/>
        </w:trPr>
        <w:tc>
          <w:tcPr>
            <w:tcW w:type="dxa" w:w="365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Árbol de decisión</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8,5%</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w:t>
            </w:r>
          </w:p>
        </w:tc>
        <w:tc>
          <w:tcPr>
            <w:tcW w:type="dxa" w:w="11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0,926</w:t>
            </w:r>
          </w:p>
        </w:tc>
        <w:tc>
          <w:tcPr>
            <w:tcW w:type="dxa" w:w="18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38%</w:t>
            </w:r>
          </w:p>
        </w:tc>
      </w:tr>
      <w:tr>
        <w:trPr>
          <w:cantSplit/>
        </w:trPr>
        <w:tc>
          <w:tcPr>
            <w:tcW w:type="dxa" w:w="365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Gradient Boosting (ensamble de árboles)</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9,7%</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-5,1%</w:t>
            </w:r>
          </w:p>
        </w:tc>
        <w:tc>
          <w:tcPr>
            <w:tcW w:type="dxa" w:w="11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0,926</w:t>
            </w:r>
          </w:p>
        </w:tc>
        <w:tc>
          <w:tcPr>
            <w:tcW w:type="dxa" w:w="18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44%</w:t>
            </w:r>
          </w:p>
        </w:tc>
      </w:tr>
      <w:tr>
        <w:trPr>
          <w:cantSplit/>
        </w:trPr>
        <w:tc>
          <w:tcPr>
            <w:tcW w:type="dxa" w:w="365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 (MCO)</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-0,1%</w:t>
            </w:r>
          </w:p>
        </w:tc>
        <w:tc>
          <w:tcPr>
            <w:tcW w:type="dxa" w:w="11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0,933</w:t>
            </w:r>
          </w:p>
        </w:tc>
        <w:tc>
          <w:tcPr>
            <w:tcW w:type="dxa" w:w="18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36%</w:t>
            </w:r>
          </w:p>
        </w:tc>
      </w:tr>
      <w:tr>
        <w:trPr>
          <w:cantSplit/>
        </w:trPr>
        <w:tc>
          <w:tcPr>
            <w:tcW w:type="dxa" w:w="365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 regularizada (Ridge)</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10,0%</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-0,1%</w:t>
            </w:r>
          </w:p>
        </w:tc>
        <w:tc>
          <w:tcPr>
            <w:tcW w:type="dxa" w:w="11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0,933</w:t>
            </w:r>
          </w:p>
        </w:tc>
        <w:tc>
          <w:tcPr>
            <w:tcW w:type="dxa" w:w="18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36%</w:t>
            </w:r>
          </w:p>
        </w:tc>
      </w:tr>
      <w:tr>
        <w:trPr>
          <w:cantSplit/>
        </w:trPr>
        <w:tc>
          <w:tcPr>
            <w:tcW w:type="dxa" w:w="365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Red neuronal (perceptrón multicapa)</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10,6%</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-0,7%</w:t>
            </w:r>
          </w:p>
        </w:tc>
        <w:tc>
          <w:tcPr>
            <w:tcW w:type="dxa" w:w="11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0,923</w:t>
            </w:r>
          </w:p>
        </w:tc>
        <w:tc>
          <w:tcPr>
            <w:tcW w:type="dxa" w:w="18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42%</w:t>
            </w:r>
          </w:p>
        </w:tc>
      </w:tr>
      <w:tr>
        <w:trPr>
          <w:cantSplit/>
        </w:trPr>
        <w:tc>
          <w:tcPr>
            <w:tcW w:type="dxa" w:w="365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persistencia × pendiente 1P</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14,1%</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-8,2%</w:t>
            </w:r>
          </w:p>
        </w:tc>
        <w:tc>
          <w:tcPr>
            <w:tcW w:type="dxa" w:w="11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0,910</w:t>
            </w:r>
          </w:p>
        </w:tc>
        <w:tc>
          <w:tcPr>
            <w:tcW w:type="dxa" w:w="18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49%</w:t>
            </w:r>
          </w:p>
        </w:tc>
      </w:tr>
      <w:tr>
        <w:trPr>
          <w:cantSplit/>
        </w:trPr>
        <w:tc>
          <w:tcPr>
            <w:tcW w:type="dxa" w:w="365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Reservas 1P del año</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25,4%</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-8,7%</w:t>
            </w:r>
          </w:p>
        </w:tc>
        <w:tc>
          <w:tcPr>
            <w:tcW w:type="dxa" w:w="11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0,706</w:t>
            </w:r>
          </w:p>
        </w:tc>
        <w:tc>
          <w:tcPr>
            <w:tcW w:type="dxa" w:w="18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68%</w:t>
            </w:r>
          </w:p>
        </w:tc>
      </w:tr>
    </w:tbl>
    <w:p>
      <w:pPr>
        <w:spacing w:after="160" w:line="276"/>
        <w:jc w:val="center"/>
      </w:pPr>
      <w:r>
        <w:rPr>
          <w:rFonts w:ascii="Arial Narrow" w:cs="Arial Narrow" w:eastAsia="Arial Narrow" w:hAnsi="Arial Narrow"/>
          <w:i/>
          <w:iCs/>
          <w:color w:val="404040"/>
          <w:sz w:val="22"/>
          <w:szCs w:val="22"/>
        </w:rPr>
        <w:t xml:space="preserve">Tabla 6. Prueba final: año 2026 (enero-junio), 257 campos, evaluada una sola vez.</w:t>
      </w:r>
    </w:p>
    <w:p>
      <w:pPr>
        <w:spacing w:after="100" w:line="276"/>
        <w:jc w:val="both"/>
      </w:pPr>
      <w:r>
        <w:rPr>
          <w:rFonts w:ascii="Arial Narrow" w:cs="Arial Narrow" w:eastAsia="Arial Narrow" w:hAnsi="Arial Narrow"/>
          <w:sz w:val="22"/>
          <w:szCs w:val="22"/>
        </w:rPr>
        <w:t xml:space="preserve">En la prueba, el modelo final tuvo WAPE de </w:t>
      </w:r>
      <w:r>
        <w:rPr>
          <w:rFonts w:ascii="Arial Narrow" w:cs="Arial Narrow" w:eastAsia="Arial Narrow" w:hAnsi="Arial Narrow"/>
          <w:b/>
          <w:bCs/>
          <w:sz w:val="22"/>
          <w:szCs w:val="22"/>
        </w:rPr>
        <w:t xml:space="preserve">8,4%</w:t>
      </w:r>
      <w:r>
        <w:rPr>
          <w:rFonts w:ascii="Arial Narrow" w:cs="Arial Narrow" w:eastAsia="Arial Narrow" w:hAnsi="Arial Narrow"/>
          <w:sz w:val="22"/>
          <w:szCs w:val="22"/>
        </w:rPr>
        <w:t xml:space="preserve"> y sesgo de </w:t>
      </w:r>
      <w:r>
        <w:rPr>
          <w:rFonts w:ascii="Arial Narrow" w:cs="Arial Narrow" w:eastAsia="Arial Narrow" w:hAnsi="Arial Narrow"/>
          <w:b/>
          <w:bCs/>
          <w:sz w:val="22"/>
          <w:szCs w:val="22"/>
        </w:rPr>
        <w:t xml:space="preserve">-3,1%</w:t>
      </w:r>
      <w:r>
        <w:rPr>
          <w:rFonts w:ascii="Arial Narrow" w:cs="Arial Narrow" w:eastAsia="Arial Narrow" w:hAnsi="Arial Narrow"/>
          <w:sz w:val="22"/>
          <w:szCs w:val="22"/>
        </w:rPr>
        <w:t xml:space="preserve"> en el total país, frente a 25,4% y -8,7% de la 1P: reduce el error por campo a la tercera parte y cumple la meta de sesgo menor a ±5%. La persistencia obtuvo 8,1% en esta prueba, un resultado muy cercano: en un solo semestre de prueba la diferencia entre ambos está dentro de la variabilidad observada entre pliegues (±2,0%). La conclusión honesta es que el modelo final iguala a la persistencia en el corto plazo, la supera en la validación cruzada y, a diferencia de ella, incorpora el declive de la 1P, que es lo que importa para los años siguientes.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5"/>
        <w:gridCol w:w="1185"/>
        <w:gridCol w:w="2054"/>
        <w:gridCol w:w="1896"/>
        <w:gridCol w:w="1738"/>
      </w:tblGrid>
      <w:tr>
        <w:trPr>
          <w:tblHeader/>
        </w:trPr>
        <w:tc>
          <w:tcPr>
            <w:tcW w:type="dxa" w:w="276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Tamaño del campo (bpd año anterior)</w:t>
            </w:r>
          </w:p>
        </w:tc>
        <w:tc>
          <w:tcPr>
            <w:tcW w:type="dxa" w:w="118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Campos</w:t>
            </w:r>
          </w:p>
        </w:tc>
        <w:tc>
          <w:tcPr>
            <w:tcW w:type="dxa" w:w="205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Producción real 2026 (bpd)</w:t>
            </w:r>
          </w:p>
        </w:tc>
        <w:tc>
          <w:tcPr>
            <w:tcW w:type="dxa" w:w="1896"/>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Random Forest</w:t>
            </w:r>
          </w:p>
        </w:tc>
        <w:tc>
          <w:tcPr>
            <w:tcW w:type="dxa" w:w="173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Reservas 1P</w:t>
            </w:r>
          </w:p>
        </w:tc>
      </w:tr>
      <w:tr>
        <w:trPr>
          <w:cantSplit/>
        </w:trPr>
        <w:tc>
          <w:tcPr>
            <w:tcW w:type="dxa" w:w="276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&lt; 1.000 bpd</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181</w:t>
            </w:r>
          </w:p>
        </w:tc>
        <w:tc>
          <w:tcPr>
            <w:tcW w:type="dxa" w:w="20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46.147</w:t>
            </w:r>
          </w:p>
        </w:tc>
        <w:tc>
          <w:tcPr>
            <w:tcW w:type="dxa" w:w="189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22,4%</w:t>
            </w:r>
          </w:p>
        </w:tc>
        <w:tc>
          <w:tcPr>
            <w:tcW w:type="dxa" w:w="173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85,4%</w:t>
            </w:r>
          </w:p>
        </w:tc>
      </w:tr>
      <w:tr>
        <w:trPr>
          <w:cantSplit/>
        </w:trPr>
        <w:tc>
          <w:tcPr>
            <w:tcW w:type="dxa" w:w="276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1.000-5.000</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49</w:t>
            </w:r>
          </w:p>
        </w:tc>
        <w:tc>
          <w:tcPr>
            <w:tcW w:type="dxa" w:w="20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115.760</w:t>
            </w:r>
          </w:p>
        </w:tc>
        <w:tc>
          <w:tcPr>
            <w:tcW w:type="dxa" w:w="189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15,4%</w:t>
            </w:r>
          </w:p>
        </w:tc>
        <w:tc>
          <w:tcPr>
            <w:tcW w:type="dxa" w:w="173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37,1%</w:t>
            </w:r>
          </w:p>
        </w:tc>
      </w:tr>
      <w:tr>
        <w:trPr>
          <w:cantSplit/>
        </w:trPr>
        <w:tc>
          <w:tcPr>
            <w:tcW w:type="dxa" w:w="276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5.000-20.000</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w:t>
            </w:r>
          </w:p>
        </w:tc>
        <w:tc>
          <w:tcPr>
            <w:tcW w:type="dxa" w:w="20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170.235</w:t>
            </w:r>
          </w:p>
        </w:tc>
        <w:tc>
          <w:tcPr>
            <w:tcW w:type="dxa" w:w="189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11,4%</w:t>
            </w:r>
          </w:p>
        </w:tc>
        <w:tc>
          <w:tcPr>
            <w:tcW w:type="dxa" w:w="173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26,6%</w:t>
            </w:r>
          </w:p>
        </w:tc>
      </w:tr>
      <w:tr>
        <w:trPr>
          <w:cantSplit/>
        </w:trPr>
        <w:tc>
          <w:tcPr>
            <w:tcW w:type="dxa" w:w="276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&gt; 20.000</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w:t>
            </w:r>
          </w:p>
        </w:tc>
        <w:tc>
          <w:tcPr>
            <w:tcW w:type="dxa" w:w="20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365.089</w:t>
            </w:r>
          </w:p>
        </w:tc>
        <w:tc>
          <w:tcPr>
            <w:tcW w:type="dxa" w:w="189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3,1%</w:t>
            </w:r>
          </w:p>
        </w:tc>
        <w:tc>
          <w:tcPr>
            <w:tcW w:type="dxa" w:w="173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13,5%</w:t>
            </w:r>
          </w:p>
        </w:tc>
      </w:tr>
    </w:tbl>
    <w:p>
      <w:pPr>
        <w:spacing w:after="160" w:line="276"/>
        <w:jc w:val="center"/>
      </w:pPr>
      <w:r>
        <w:rPr>
          <w:rFonts w:ascii="Arial Narrow" w:cs="Arial Narrow" w:eastAsia="Arial Narrow" w:hAnsi="Arial Narrow"/>
          <w:i/>
          <w:iCs/>
          <w:color w:val="404040"/>
          <w:sz w:val="22"/>
          <w:szCs w:val="22"/>
        </w:rPr>
        <w:t xml:space="preserve">Tabla 7. Error de la prueba 2026 por tamaño de campo.</w:t>
      </w:r>
    </w:p>
    <w:p>
      <w:pPr>
        <w:spacing w:after="100" w:line="276"/>
        <w:jc w:val="both"/>
      </w:pPr>
      <w:r>
        <w:rPr>
          <w:rFonts w:ascii="Arial Narrow" w:cs="Arial Narrow" w:eastAsia="Arial Narrow" w:hAnsi="Arial Narrow"/>
          <w:b/>
          <w:bCs/>
          <w:sz w:val="22"/>
          <w:szCs w:val="22"/>
        </w:rPr>
        <w:t xml:space="preserve">Estabilidad.</w:t>
      </w:r>
      <w:r>
        <w:rPr>
          <w:rFonts w:ascii="Arial Narrow" w:cs="Arial Narrow" w:eastAsia="Arial Narrow" w:hAnsi="Arial Narrow"/>
          <w:sz w:val="22"/>
          <w:szCs w:val="22"/>
        </w:rPr>
        <w:t xml:space="preserve"> La desviación entre pliegues es de unos dos puntos de WAPE; el error es mucho menor en los campos grandes (3% en los de más de 20 mil bpd) que en los pequeños (22% en los de menos de mil), que pesan poco en el total. La 1P tiene errores mucho mayores en todos los tamaños.</w:t>
      </w:r>
    </w:p>
    <w:p>
      <w:pPr>
        <w:keepNext/>
        <w:spacing w:after="40"/>
        <w:jc w:val="center"/>
      </w:pPr>
      <w:r>
        <w:drawing>
          <wp:inline distT="0" distB="0" distL="0" distR="0">
            <wp:extent cx="5400675" cy="2162175"/>
            <wp:effectExtent t="0" r="0" b="0" l="0"/>
            <wp:docPr id="1" name="figura" descr="Figura 5. Prueba 2026: pronóstico frente a producción real por campo (escala logarítmica)." title="Figura 5. Prueba 2026: pronóstico frente a producción real por campo (escala logarít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16217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5. Prueba 2026: pronóstico frente a producción real por campo (escala logarítmica).</w:t>
      </w:r>
    </w:p>
    <w:p>
      <w:pPr>
        <w:keepNext/>
        <w:spacing w:after="40"/>
        <w:jc w:val="center"/>
      </w:pPr>
      <w:r>
        <w:drawing>
          <wp:inline distT="0" distB="0" distL="0" distR="0">
            <wp:extent cx="4324350" cy="2219325"/>
            <wp:effectExtent t="0" r="0" b="0" l="0"/>
            <wp:docPr id="1" name="figura" descr="Figura 6. Importancia por permutación del modelo final en la prueba: la producción previa y la 1P del año dominan." title="Figura 6. Importancia por permutación del modelo final en la prueba: la producción previa y la 1P del año domi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221932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6. Importancia por permutación del modelo final en la prueba: la producción previa y la 1P del año dominan.</w:t>
      </w:r>
    </w:p>
    <w:p>
      <w:pPr>
        <w:spacing w:after="100" w:line="276"/>
        <w:jc w:val="both"/>
      </w:pPr>
      <w:r>
        <w:rPr>
          <w:rFonts w:ascii="Arial Narrow" w:cs="Arial Narrow" w:eastAsia="Arial Narrow" w:hAnsi="Arial Narrow"/>
          <w:b/>
          <w:bCs/>
          <w:sz w:val="22"/>
          <w:szCs w:val="22"/>
        </w:rPr>
        <w:t xml:space="preserve">Umbral recomendado.</w:t>
      </w:r>
      <w:r>
        <w:rPr>
          <w:rFonts w:ascii="Arial Narrow" w:cs="Arial Narrow" w:eastAsia="Arial Narrow" w:hAnsi="Arial Narrow"/>
          <w:sz w:val="22"/>
          <w:szCs w:val="22"/>
        </w:rPr>
        <w:t xml:space="preserve"> Para alertar campos en riesgo de producir menos del 90% de su 1P, se compara el cumplimiento pronosticado (pronóstico / 1P) con un umbral elegido en la validación temporal 2025 minimizando un costo en el que </w:t>
      </w:r>
      <w:r>
        <w:rPr>
          <w:rFonts w:ascii="Arial Narrow" w:cs="Arial Narrow" w:eastAsia="Arial Narrow" w:hAnsi="Arial Narrow"/>
          <w:b/>
          <w:bCs/>
          <w:sz w:val="22"/>
          <w:szCs w:val="22"/>
        </w:rPr>
        <w:t xml:space="preserve">no detectar un incumplimiento cuesta tres veces una falsa alarma</w:t>
      </w:r>
      <w:r>
        <w:rPr>
          <w:rFonts w:ascii="Arial Narrow" w:cs="Arial Narrow" w:eastAsia="Arial Narrow" w:hAnsi="Arial Narrow"/>
          <w:sz w:val="22"/>
          <w:szCs w:val="22"/>
        </w:rPr>
        <w:t xml:space="preserve"> (porque se traduce en regalías sobreestimadas). El umbral óptimo fue </w:t>
      </w:r>
      <w:r>
        <w:rPr>
          <w:rFonts w:ascii="Arial Narrow" w:cs="Arial Narrow" w:eastAsia="Arial Narrow" w:hAnsi="Arial Narrow"/>
          <w:b/>
          <w:bCs/>
          <w:sz w:val="22"/>
          <w:szCs w:val="22"/>
        </w:rPr>
        <w:t xml:space="preserve">1.00</w:t>
      </w:r>
      <w:r>
        <w:rPr>
          <w:rFonts w:ascii="Arial Narrow" w:cs="Arial Narrow" w:eastAsia="Arial Narrow" w:hAnsi="Arial Narrow"/>
          <w:sz w:val="22"/>
          <w:szCs w:val="22"/>
        </w:rPr>
        <w:t xml:space="preserve">: alertar todo campo cuyo pronóstico no alcance su 1P. En la prueba 2026 detectó 94% de los incumplimientos con precisión de 69% (AUC 0.93); el umbral ingenuo de 0,90 detecta menos (84%) y tiene mayor costo.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6"/>
        <w:gridCol w:w="826"/>
        <w:gridCol w:w="757"/>
        <w:gridCol w:w="1101"/>
        <w:gridCol w:w="1033"/>
        <w:gridCol w:w="895"/>
        <w:gridCol w:w="1308"/>
        <w:gridCol w:w="1102"/>
      </w:tblGrid>
      <w:tr>
        <w:trPr>
          <w:tblHeader/>
        </w:trPr>
        <w:tc>
          <w:tcPr>
            <w:tcW w:type="dxa" w:w="2616"/>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Conjunto</w:t>
            </w:r>
          </w:p>
        </w:tc>
        <w:tc>
          <w:tcPr>
            <w:tcW w:type="dxa" w:w="826"/>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Umbral</w:t>
            </w:r>
          </w:p>
        </w:tc>
        <w:tc>
          <w:tcPr>
            <w:tcW w:type="dxa" w:w="75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AUC</w:t>
            </w:r>
          </w:p>
        </w:tc>
        <w:tc>
          <w:tcPr>
            <w:tcW w:type="dxa" w:w="110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Sensibilidad</w:t>
            </w:r>
          </w:p>
        </w:tc>
        <w:tc>
          <w:tcPr>
            <w:tcW w:type="dxa" w:w="103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Precisión</w:t>
            </w:r>
          </w:p>
        </w:tc>
        <w:tc>
          <w:tcPr>
            <w:tcW w:type="dxa" w:w="89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Alertas</w:t>
            </w:r>
          </w:p>
        </w:tc>
        <w:tc>
          <w:tcPr>
            <w:tcW w:type="dxa" w:w="130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Incumplimientos</w:t>
            </w:r>
          </w:p>
        </w:tc>
        <w:tc>
          <w:tcPr>
            <w:tcW w:type="dxa" w:w="110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Costo medio</w:t>
            </w:r>
          </w:p>
        </w:tc>
      </w:tr>
      <w:tr>
        <w:trPr>
          <w:cantSplit/>
        </w:trPr>
        <w:tc>
          <w:tcPr>
            <w:tcW w:type="dxa" w:w="261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Validación 2025 (elección)</w:t>
            </w:r>
          </w:p>
        </w:tc>
        <w:tc>
          <w:tcPr>
            <w:tcW w:type="dxa" w:w="82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1.00</w:t>
            </w:r>
          </w:p>
        </w:tc>
        <w:tc>
          <w:tcPr>
            <w:tcW w:type="dxa" w:w="75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0.84</w:t>
            </w:r>
          </w:p>
        </w:tc>
        <w:tc>
          <w:tcPr>
            <w:tcW w:type="dxa" w:w="110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88%</w:t>
            </w:r>
          </w:p>
        </w:tc>
        <w:tc>
          <w:tcPr>
            <w:tcW w:type="dxa" w:w="103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61%</w:t>
            </w:r>
          </w:p>
        </w:tc>
        <w:tc>
          <w:tcPr>
            <w:tcW w:type="dxa" w:w="8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179</w:t>
            </w:r>
          </w:p>
        </w:tc>
        <w:tc>
          <w:tcPr>
            <w:tcW w:type="dxa" w:w="130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125</w:t>
            </w:r>
          </w:p>
        </w:tc>
        <w:tc>
          <w:tcPr>
            <w:tcW w:type="dxa" w:w="110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0.401</w:t>
            </w:r>
          </w:p>
        </w:tc>
      </w:tr>
      <w:tr>
        <w:trPr>
          <w:cantSplit/>
        </w:trPr>
        <w:tc>
          <w:tcPr>
            <w:tcW w:type="dxa" w:w="261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Prueba 2026</w:t>
            </w:r>
          </w:p>
        </w:tc>
        <w:tc>
          <w:tcPr>
            <w:tcW w:type="dxa" w:w="82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1.00</w:t>
            </w:r>
          </w:p>
        </w:tc>
        <w:tc>
          <w:tcPr>
            <w:tcW w:type="dxa" w:w="75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0.93</w:t>
            </w:r>
          </w:p>
        </w:tc>
        <w:tc>
          <w:tcPr>
            <w:tcW w:type="dxa" w:w="110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94%</w:t>
            </w:r>
          </w:p>
        </w:tc>
        <w:tc>
          <w:tcPr>
            <w:tcW w:type="dxa" w:w="103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69%</w:t>
            </w:r>
          </w:p>
        </w:tc>
        <w:tc>
          <w:tcPr>
            <w:tcW w:type="dxa" w:w="89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140</w:t>
            </w:r>
          </w:p>
        </w:tc>
        <w:tc>
          <w:tcPr>
            <w:tcW w:type="dxa" w:w="130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103</w:t>
            </w:r>
          </w:p>
        </w:tc>
        <w:tc>
          <w:tcPr>
            <w:tcW w:type="dxa" w:w="110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0.237</w:t>
            </w:r>
          </w:p>
        </w:tc>
      </w:tr>
      <w:tr>
        <w:trPr>
          <w:cantSplit/>
        </w:trPr>
        <w:tc>
          <w:tcPr>
            <w:tcW w:type="dxa" w:w="261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Prueba 2026 con umbral ingenuo 0,90</w:t>
            </w:r>
          </w:p>
        </w:tc>
        <w:tc>
          <w:tcPr>
            <w:tcW w:type="dxa" w:w="82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0.90</w:t>
            </w:r>
          </w:p>
        </w:tc>
        <w:tc>
          <w:tcPr>
            <w:tcW w:type="dxa" w:w="75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0.93</w:t>
            </w:r>
          </w:p>
        </w:tc>
        <w:tc>
          <w:tcPr>
            <w:tcW w:type="dxa" w:w="110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w:t>
            </w:r>
          </w:p>
        </w:tc>
        <w:tc>
          <w:tcPr>
            <w:tcW w:type="dxa" w:w="103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83%</w:t>
            </w:r>
          </w:p>
        </w:tc>
        <w:tc>
          <w:tcPr>
            <w:tcW w:type="dxa" w:w="8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105</w:t>
            </w:r>
          </w:p>
        </w:tc>
        <w:tc>
          <w:tcPr>
            <w:tcW w:type="dxa" w:w="130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103</w:t>
            </w:r>
          </w:p>
        </w:tc>
        <w:tc>
          <w:tcPr>
            <w:tcW w:type="dxa" w:w="110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0.257</w:t>
            </w:r>
          </w:p>
        </w:tc>
      </w:tr>
    </w:tbl>
    <w:p>
      <w:pPr>
        <w:spacing w:after="160" w:line="276"/>
        <w:jc w:val="center"/>
      </w:pPr>
      <w:r>
        <w:rPr>
          <w:rFonts w:ascii="Arial Narrow" w:cs="Arial Narrow" w:eastAsia="Arial Narrow" w:hAnsi="Arial Narrow"/>
          <w:i/>
          <w:iCs/>
          <w:color w:val="404040"/>
          <w:sz w:val="22"/>
          <w:szCs w:val="22"/>
        </w:rPr>
        <w:t xml:space="preserve">Tabla 8. Umbral de alerta de bajo cumplimiento de la 1P.</w:t>
      </w:r>
    </w:p>
    <w:p>
      <w:pPr>
        <w:spacing w:after="100" w:line="276"/>
        <w:jc w:val="both"/>
      </w:pPr>
      <w:r>
        <w:rPr>
          <w:rFonts w:ascii="Arial Narrow" w:cs="Arial Narrow" w:eastAsia="Arial Narrow" w:hAnsi="Arial Narrow"/>
          <w:b/>
          <w:bCs/>
          <w:sz w:val="22"/>
          <w:szCs w:val="22"/>
        </w:rPr>
        <w:t xml:space="preserve">Estructura latente (no supervisado).</w:t>
      </w:r>
      <w:r>
        <w:rPr>
          <w:rFonts w:ascii="Arial Narrow" w:cs="Arial Narrow" w:eastAsia="Arial Narrow" w:hAnsi="Arial Narrow"/>
          <w:sz w:val="22"/>
          <w:szCs w:val="22"/>
        </w:rPr>
        <w:t xml:space="preserve"> Con seis variables por campo (tamaño, cambio 2025/2024, cumplimiento de la 1P, declive de la 1P 2026-2030, años restantes de 1P y peso de las reservas probables) se compararon K-medias y jerárquico de Ward para k = 2 a 7. Se eligió k = 5 (silueta 0.33). Segmentos: </w:t>
      </w:r>
      <w:r>
        <w:rPr>
          <w:rFonts w:ascii="Arial Narrow" w:cs="Arial Narrow" w:eastAsia="Arial Narrow" w:hAnsi="Arial Narrow"/>
          <w:b/>
          <w:bCs/>
          <w:sz w:val="22"/>
          <w:szCs w:val="22"/>
        </w:rPr>
        <w:t xml:space="preserve">S1: Grandes de vida 1P larga</w:t>
      </w:r>
      <w:r>
        <w:rPr>
          <w:rFonts w:ascii="Arial Narrow" w:cs="Arial Narrow" w:eastAsia="Arial Narrow" w:hAnsi="Arial Narrow"/>
          <w:sz w:val="22"/>
          <w:szCs w:val="22"/>
        </w:rPr>
        <w:t xml:space="preserve"> (50 campos); </w:t>
      </w:r>
      <w:r>
        <w:rPr>
          <w:rFonts w:ascii="Arial Narrow" w:cs="Arial Narrow" w:eastAsia="Arial Narrow" w:hAnsi="Arial Narrow"/>
          <w:b/>
          <w:bCs/>
          <w:sz w:val="22"/>
          <w:szCs w:val="22"/>
        </w:rPr>
        <w:t xml:space="preserve">S2: Medianos de vida 1P corta</w:t>
      </w:r>
      <w:r>
        <w:rPr>
          <w:rFonts w:ascii="Arial Narrow" w:cs="Arial Narrow" w:eastAsia="Arial Narrow" w:hAnsi="Arial Narrow"/>
          <w:sz w:val="22"/>
          <w:szCs w:val="22"/>
        </w:rPr>
        <w:t xml:space="preserve"> (76 campos); </w:t>
      </w:r>
      <w:r>
        <w:rPr>
          <w:rFonts w:ascii="Arial Narrow" w:cs="Arial Narrow" w:eastAsia="Arial Narrow" w:hAnsi="Arial Narrow"/>
          <w:b/>
          <w:bCs/>
          <w:sz w:val="22"/>
          <w:szCs w:val="22"/>
        </w:rPr>
        <w:t xml:space="preserve">S3: Medianos con potencial probable</w:t>
      </w:r>
      <w:r>
        <w:rPr>
          <w:rFonts w:ascii="Arial Narrow" w:cs="Arial Narrow" w:eastAsia="Arial Narrow" w:hAnsi="Arial Narrow"/>
          <w:sz w:val="22"/>
          <w:szCs w:val="22"/>
        </w:rPr>
        <w:t xml:space="preserve"> (21 campos); </w:t>
      </w:r>
      <w:r>
        <w:rPr>
          <w:rFonts w:ascii="Arial Narrow" w:cs="Arial Narrow" w:eastAsia="Arial Narrow" w:hAnsi="Arial Narrow"/>
          <w:b/>
          <w:bCs/>
          <w:sz w:val="22"/>
          <w:szCs w:val="22"/>
        </w:rPr>
        <w:t xml:space="preserve">S4: Pequeños por debajo de su 1P en declive</w:t>
      </w:r>
      <w:r>
        <w:rPr>
          <w:rFonts w:ascii="Arial Narrow" w:cs="Arial Narrow" w:eastAsia="Arial Narrow" w:hAnsi="Arial Narrow"/>
          <w:sz w:val="22"/>
          <w:szCs w:val="22"/>
        </w:rPr>
        <w:t xml:space="preserve"> (19 campos); </w:t>
      </w:r>
      <w:r>
        <w:rPr>
          <w:rFonts w:ascii="Arial Narrow" w:cs="Arial Narrow" w:eastAsia="Arial Narrow" w:hAnsi="Arial Narrow"/>
          <w:b/>
          <w:bCs/>
          <w:sz w:val="22"/>
          <w:szCs w:val="22"/>
        </w:rPr>
        <w:t xml:space="preserve">S5: Medianos</w:t>
      </w:r>
      <w:r>
        <w:rPr>
          <w:rFonts w:ascii="Arial Narrow" w:cs="Arial Narrow" w:eastAsia="Arial Narrow" w:hAnsi="Arial Narrow"/>
          <w:sz w:val="22"/>
          <w:szCs w:val="22"/>
        </w:rPr>
        <w:t xml:space="preserve"> (121 campos). El segmento S2 explica la caída de la producción después de 2027 (su 1P se agota en unos tres años) y S4 concentra el riesgo de incumplimiento.</w:t>
      </w:r>
    </w:p>
    <w:p>
      <w:pPr>
        <w:keepNext/>
        <w:spacing w:after="40"/>
        <w:jc w:val="center"/>
      </w:pPr>
      <w:r>
        <w:drawing>
          <wp:inline distT="0" distB="0" distL="0" distR="0">
            <wp:extent cx="4676775" cy="2686050"/>
            <wp:effectExtent t="0" r="0" b="0" l="0"/>
            <wp:docPr id="1" name="figura" descr="Figura 7. Segmentos de campos en dos componentes principales." title="Figura 7. Segmentos de campos en dos componente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26860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7. Segmentos de campos en dos componentes principales.</w:t>
      </w:r>
    </w:p>
    <w:p>
      <w:pPr>
        <w:spacing w:after="100" w:line="276"/>
        <w:jc w:val="both"/>
      </w:pPr>
      <w:r>
        <w:rPr>
          <w:rFonts w:ascii="Arial Narrow" w:cs="Arial Narrow" w:eastAsia="Arial Narrow" w:hAnsi="Arial Narrow"/>
          <w:b/>
          <w:bCs/>
          <w:sz w:val="22"/>
          <w:szCs w:val="22"/>
        </w:rPr>
        <w:t xml:space="preserve">Qué significan los componentes.</w:t>
      </w:r>
      <w:r>
        <w:rPr>
          <w:rFonts w:ascii="Arial Narrow" w:cs="Arial Narrow" w:eastAsia="Arial Narrow" w:hAnsi="Arial Narrow"/>
          <w:sz w:val="22"/>
          <w:szCs w:val="22"/>
        </w:rPr>
        <w:t xml:space="preserve"> El componente 1 (35% de la variación) resume </w:t>
      </w:r>
      <w:r>
        <w:rPr>
          <w:rFonts w:ascii="Arial Narrow" w:cs="Arial Narrow" w:eastAsia="Arial Narrow" w:hAnsi="Arial Narrow"/>
          <w:b/>
          <w:bCs/>
          <w:sz w:val="22"/>
          <w:szCs w:val="22"/>
        </w:rPr>
        <w:t xml:space="preserve">tamaño y desempeño frente a la 1P</w:t>
      </w:r>
      <w:r>
        <w:rPr>
          <w:rFonts w:ascii="Arial Narrow" w:cs="Arial Narrow" w:eastAsia="Arial Narrow" w:hAnsi="Arial Narrow"/>
          <w:sz w:val="22"/>
          <w:szCs w:val="22"/>
        </w:rPr>
        <w:t xml:space="preserve">: crece con el tamaño del campo, su cambio 2025/2024 y su cumplimiento de la 1P. El componente 2 (26%) resume el </w:t>
      </w:r>
      <w:r>
        <w:rPr>
          <w:rFonts w:ascii="Arial Narrow" w:cs="Arial Narrow" w:eastAsia="Arial Narrow" w:hAnsi="Arial Narrow"/>
          <w:b/>
          <w:bCs/>
          <w:sz w:val="22"/>
          <w:szCs w:val="22"/>
        </w:rPr>
        <w:t xml:space="preserve">horizonte de la 1P</w:t>
      </w:r>
      <w:r>
        <w:rPr>
          <w:rFonts w:ascii="Arial Narrow" w:cs="Arial Narrow" w:eastAsia="Arial Narrow" w:hAnsi="Arial Narrow"/>
          <w:sz w:val="22"/>
          <w:szCs w:val="22"/>
        </w:rPr>
        <w:t xml:space="preserve">: crece con los años restantes de 1P y un declive suave, y baja con el cumplimiento actual. Ejemplo: Campo_075 queda arriba a la derecha (grande, cumple su 1P y le quedan más de 20 años de 1P); Campo_068 queda en el extremo izquierdo (pequeño, en caída y con cumplimiento casi nulo).</w:t>
      </w:r>
    </w:p>
    <w:p>
      <w:pPr>
        <w:pStyle w:val="Heading2"/>
        <w:keepNext/>
        <w:spacing w:after="80" w:before="160"/>
      </w:pPr>
      <w:r>
        <w:rPr>
          <w:rFonts w:ascii="Arial Narrow" w:cs="Arial Narrow" w:eastAsia="Arial Narrow" w:hAnsi="Arial Narrow"/>
          <w:b/>
          <w:bCs/>
          <w:color w:val="000000"/>
          <w:sz w:val="24"/>
          <w:szCs w:val="24"/>
        </w:rPr>
        <w:t xml:space="preserve">Respuesta a la pregunta: producción y regalías por 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1027"/>
        <w:gridCol w:w="869"/>
        <w:gridCol w:w="1027"/>
        <w:gridCol w:w="1264"/>
        <w:gridCol w:w="1106"/>
        <w:gridCol w:w="1264"/>
        <w:gridCol w:w="1264"/>
        <w:gridCol w:w="1185"/>
      </w:tblGrid>
      <w:tr>
        <w:trPr>
          <w:tblHeader/>
        </w:trPr>
        <w:tc>
          <w:tcPr>
            <w:tcW w:type="dxa" w:w="63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Año</w:t>
            </w:r>
          </w:p>
        </w:tc>
        <w:tc>
          <w:tcPr>
            <w:tcW w:type="dxa" w:w="102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Producción (M bl)</w:t>
            </w:r>
          </w:p>
        </w:tc>
        <w:tc>
          <w:tcPr>
            <w:tcW w:type="dxa" w:w="86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Miles bpd</w:t>
            </w:r>
          </w:p>
        </w:tc>
        <w:tc>
          <w:tcPr>
            <w:tcW w:type="dxa" w:w="102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Reservas 1P (M bl)</w:t>
            </w:r>
          </w:p>
        </w:tc>
        <w:tc>
          <w:tcPr>
            <w:tcW w:type="dxa" w:w="126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por producción (M bl)</w:t>
            </w:r>
          </w:p>
        </w:tc>
        <w:tc>
          <w:tcPr>
            <w:tcW w:type="dxa" w:w="1106"/>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1P (M bl)</w:t>
            </w:r>
          </w:p>
        </w:tc>
        <w:tc>
          <w:tcPr>
            <w:tcW w:type="dxa" w:w="126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prod. WTI (M USD)</w:t>
            </w:r>
          </w:p>
        </w:tc>
        <w:tc>
          <w:tcPr>
            <w:tcW w:type="dxa" w:w="126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prod. Brent (M USD)</w:t>
            </w:r>
          </w:p>
        </w:tc>
        <w:tc>
          <w:tcPr>
            <w:tcW w:type="dxa" w:w="118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1P × WTI (M USD)</w:t>
            </w:r>
          </w:p>
        </w:tc>
      </w:tr>
      <w:tr>
        <w:trPr>
          <w:cantSplit/>
        </w:trPr>
        <w:tc>
          <w:tcPr>
            <w:tcW w:type="dxa" w:w="63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2023</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283,3</w:t>
            </w:r>
          </w:p>
        </w:tc>
        <w:tc>
          <w:tcPr>
            <w:tcW w:type="dxa" w:w="8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776</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30,18</w:t>
            </w:r>
          </w:p>
        </w:tc>
        <w:tc>
          <w:tcPr>
            <w:tcW w:type="dxa" w:w="110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2.343</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2.489</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r>
      <w:tr>
        <w:trPr>
          <w:cantSplit/>
        </w:trPr>
        <w:tc>
          <w:tcPr>
            <w:tcW w:type="dxa" w:w="63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282,8</w:t>
            </w:r>
          </w:p>
        </w:tc>
        <w:tc>
          <w:tcPr>
            <w:tcW w:type="dxa" w:w="8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773</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286,7</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29,82</w:t>
            </w:r>
          </w:p>
        </w:tc>
        <w:tc>
          <w:tcPr>
            <w:tcW w:type="dxa" w:w="110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30,16</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2.283</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2.401</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21.945</w:t>
            </w:r>
          </w:p>
        </w:tc>
      </w:tr>
      <w:tr>
        <w:trPr>
          <w:cantSplit/>
        </w:trPr>
        <w:tc>
          <w:tcPr>
            <w:tcW w:type="dxa" w:w="63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2025</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272,5</w:t>
            </w:r>
          </w:p>
        </w:tc>
        <w:tc>
          <w:tcPr>
            <w:tcW w:type="dxa" w:w="8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746</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264,9</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28,80</w:t>
            </w:r>
          </w:p>
        </w:tc>
        <w:tc>
          <w:tcPr>
            <w:tcW w:type="dxa" w:w="110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27,44</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1.885</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1.990</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17.340</w:t>
            </w:r>
          </w:p>
        </w:tc>
      </w:tr>
      <w:tr>
        <w:trPr>
          <w:cantSplit/>
        </w:trPr>
        <w:tc>
          <w:tcPr>
            <w:tcW w:type="dxa" w:w="63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2026</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264,2</w:t>
            </w:r>
          </w:p>
        </w:tc>
        <w:tc>
          <w:tcPr>
            <w:tcW w:type="dxa" w:w="8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724</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238,9</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27,87</w:t>
            </w:r>
          </w:p>
        </w:tc>
        <w:tc>
          <w:tcPr>
            <w:tcW w:type="dxa" w:w="110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24,46</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2.368</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2.599</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20.301</w:t>
            </w:r>
          </w:p>
        </w:tc>
      </w:tr>
      <w:tr>
        <w:trPr>
          <w:cantSplit/>
        </w:trPr>
        <w:tc>
          <w:tcPr>
            <w:tcW w:type="dxa" w:w="63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2027</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195,3</w:t>
            </w:r>
          </w:p>
        </w:tc>
        <w:tc>
          <w:tcPr>
            <w:tcW w:type="dxa" w:w="8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535</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212,5</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20,23</w:t>
            </w:r>
          </w:p>
        </w:tc>
        <w:tc>
          <w:tcPr>
            <w:tcW w:type="dxa" w:w="110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21,72</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1.615</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1.699</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16.964</w:t>
            </w:r>
          </w:p>
        </w:tc>
      </w:tr>
      <w:tr>
        <w:trPr>
          <w:cantSplit/>
        </w:trPr>
        <w:tc>
          <w:tcPr>
            <w:tcW w:type="dxa" w:w="63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2028</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170,1</w:t>
            </w:r>
          </w:p>
        </w:tc>
        <w:tc>
          <w:tcPr>
            <w:tcW w:type="dxa" w:w="8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466</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183,0</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17,39</w:t>
            </w:r>
          </w:p>
        </w:tc>
        <w:tc>
          <w:tcPr>
            <w:tcW w:type="dxa" w:w="110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18,49</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1.388</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1.460</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14.615</w:t>
            </w:r>
          </w:p>
        </w:tc>
      </w:tr>
      <w:tr>
        <w:trPr>
          <w:cantSplit/>
        </w:trPr>
        <w:tc>
          <w:tcPr>
            <w:tcW w:type="dxa" w:w="63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2029</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143,5</w:t>
            </w:r>
          </w:p>
        </w:tc>
        <w:tc>
          <w:tcPr>
            <w:tcW w:type="dxa" w:w="8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393</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151,5</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14,39</w:t>
            </w:r>
          </w:p>
        </w:tc>
        <w:tc>
          <w:tcPr>
            <w:tcW w:type="dxa" w:w="110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15,04</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1.149</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1.209</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12.101</w:t>
            </w:r>
          </w:p>
        </w:tc>
      </w:tr>
      <w:tr>
        <w:trPr>
          <w:cantSplit/>
        </w:trPr>
        <w:tc>
          <w:tcPr>
            <w:tcW w:type="dxa" w:w="63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2030</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119,5</w:t>
            </w:r>
          </w:p>
        </w:tc>
        <w:tc>
          <w:tcPr>
            <w:tcW w:type="dxa" w:w="8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328</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124,7</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11,73</w:t>
            </w:r>
          </w:p>
        </w:tc>
        <w:tc>
          <w:tcPr>
            <w:tcW w:type="dxa" w:w="110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12,14</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936</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985</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9.961</w:t>
            </w:r>
          </w:p>
        </w:tc>
      </w:tr>
      <w:tr>
        <w:trPr>
          <w:cantSplit/>
        </w:trPr>
        <w:tc>
          <w:tcPr>
            <w:tcW w:type="dxa" w:w="63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2032</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75,7</w:t>
            </w:r>
          </w:p>
        </w:tc>
        <w:tc>
          <w:tcPr>
            <w:tcW w:type="dxa" w:w="8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207</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78,7</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6,88</w:t>
            </w:r>
          </w:p>
        </w:tc>
        <w:tc>
          <w:tcPr>
            <w:tcW w:type="dxa" w:w="110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7,12</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549</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578</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6.286</w:t>
            </w:r>
          </w:p>
        </w:tc>
      </w:tr>
      <w:tr>
        <w:trPr>
          <w:cantSplit/>
        </w:trPr>
        <w:tc>
          <w:tcPr>
            <w:tcW w:type="dxa" w:w="63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2035</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44,7</w:t>
            </w:r>
          </w:p>
        </w:tc>
        <w:tc>
          <w:tcPr>
            <w:tcW w:type="dxa" w:w="8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123</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48,2</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4,08</w:t>
            </w:r>
          </w:p>
        </w:tc>
        <w:tc>
          <w:tcPr>
            <w:tcW w:type="dxa" w:w="110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4,46</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326</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343</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3.849</w:t>
            </w:r>
          </w:p>
        </w:tc>
      </w:tr>
      <w:tr>
        <w:trPr>
          <w:cantSplit/>
        </w:trPr>
        <w:tc>
          <w:tcPr>
            <w:tcW w:type="dxa" w:w="63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2040</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12,8</w:t>
            </w:r>
          </w:p>
        </w:tc>
        <w:tc>
          <w:tcPr>
            <w:tcW w:type="dxa" w:w="8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35</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1,09</w:t>
            </w:r>
          </w:p>
        </w:tc>
        <w:tc>
          <w:tcPr>
            <w:tcW w:type="dxa" w:w="110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1,12</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87</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91</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1.049</w:t>
            </w:r>
          </w:p>
        </w:tc>
      </w:tr>
      <w:tr>
        <w:trPr>
          <w:cantSplit/>
        </w:trPr>
        <w:tc>
          <w:tcPr>
            <w:tcW w:type="dxa" w:w="63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2045</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3,2</w:t>
            </w:r>
          </w:p>
        </w:tc>
        <w:tc>
          <w:tcPr>
            <w:tcW w:type="dxa" w:w="8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3,4</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0,26</w:t>
            </w:r>
          </w:p>
        </w:tc>
        <w:tc>
          <w:tcPr>
            <w:tcW w:type="dxa" w:w="110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0,27</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22</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269</w:t>
            </w:r>
          </w:p>
        </w:tc>
      </w:tr>
    </w:tbl>
    <w:p>
      <w:pPr>
        <w:spacing w:after="160" w:line="276"/>
        <w:jc w:val="center"/>
      </w:pPr>
      <w:r>
        <w:rPr>
          <w:rFonts w:ascii="Arial Narrow" w:cs="Arial Narrow" w:eastAsia="Arial Narrow" w:hAnsi="Arial Narrow"/>
          <w:i/>
          <w:iCs/>
          <w:color w:val="404040"/>
          <w:sz w:val="22"/>
          <w:szCs w:val="22"/>
        </w:rPr>
        <w:t xml:space="preserve">Tabla 9. Total país. 2023-2025 real; 2026 real enero-junio + pronóstico; 2027 en adelante pronóstico con tope 1P. Regalías con la escala de la Ley 756 de 2002. Precios: promedio anual EIA (2026 = enero-septiembre; 2027 en adelante = EIA STEO 2027).</w:t>
      </w:r>
    </w:p>
    <w:p>
      <w:pPr>
        <w:keepNext/>
        <w:spacing w:after="40"/>
        <w:jc w:val="center"/>
      </w:pPr>
      <w:r>
        <w:drawing>
          <wp:inline distT="0" distB="0" distL="0" distR="0">
            <wp:extent cx="5400675" cy="2219325"/>
            <wp:effectExtent t="0" r="0" b="0" l="0"/>
            <wp:docPr id="1" name="figura" descr="Figura 8. Producción nacional real y pronosticada frente a la Reserva 1P." title="Figura 8. Producción nacional real y pronosticada frente a la Reserva 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1932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8. Producción nacional real y pronosticada frente a la Reserva 1P.</w:t>
      </w:r>
    </w:p>
    <w:p>
      <w:pPr>
        <w:spacing w:after="100" w:line="276"/>
        <w:jc w:val="both"/>
      </w:pPr>
      <w:r>
        <w:rPr>
          <w:rFonts w:ascii="Arial Narrow" w:cs="Arial Narrow" w:eastAsia="Arial Narrow" w:hAnsi="Arial Narrow"/>
          <w:sz w:val="22"/>
          <w:szCs w:val="22"/>
        </w:rPr>
        <w:t xml:space="preserve">La producción pasa de 746 mil bpd en 2025 a 724 mil en 2026, 535 mil en 2027 y 328 mil en 2030. En 2026 la producción supera a la 1P en 10,6%; desde 2027 el tope y el declive de la 1P dominan y el pronóstico queda alrededor de 92% de la 1P. Las regalías a partir de la producción de 2026 suman 27,9 millones de barriles, equivalentes a USD 2.368 millones a WTI (84,98 USD/bl) o USD 2.599 millones a Brent (93,27 USD/bl). Para 2027 bajan a USD 1.615 millones (WTI).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1"/>
        <w:gridCol w:w="1345"/>
        <w:gridCol w:w="971"/>
        <w:gridCol w:w="1420"/>
        <w:gridCol w:w="1121"/>
        <w:gridCol w:w="1270"/>
        <w:gridCol w:w="1270"/>
      </w:tblGrid>
      <w:tr>
        <w:trPr>
          <w:tblHeader/>
        </w:trPr>
        <w:tc>
          <w:tcPr>
            <w:tcW w:type="dxa" w:w="224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Departamento</w:t>
            </w:r>
          </w:p>
        </w:tc>
        <w:tc>
          <w:tcPr>
            <w:tcW w:type="dxa" w:w="134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Producción 2026 (M bl)</w:t>
            </w:r>
          </w:p>
        </w:tc>
        <w:tc>
          <w:tcPr>
            <w:tcW w:type="dxa" w:w="97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Miles bpd</w:t>
            </w:r>
          </w:p>
        </w:tc>
        <w:tc>
          <w:tcPr>
            <w:tcW w:type="dxa" w:w="142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Reservas 1P 2026 (M bl)</w:t>
            </w:r>
          </w:p>
        </w:tc>
        <w:tc>
          <w:tcPr>
            <w:tcW w:type="dxa" w:w="112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(M bl)</w:t>
            </w:r>
          </w:p>
        </w:tc>
        <w:tc>
          <w:tcPr>
            <w:tcW w:type="dxa" w:w="127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WTI (M USD)</w:t>
            </w:r>
          </w:p>
        </w:tc>
        <w:tc>
          <w:tcPr>
            <w:tcW w:type="dxa" w:w="127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Brent (M USD)</w:t>
            </w:r>
          </w:p>
        </w:tc>
      </w:tr>
      <w:tr>
        <w:trPr>
          <w:cantSplit/>
        </w:trPr>
        <w:tc>
          <w:tcPr>
            <w:tcW w:type="dxa" w:w="224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Meta</w:t>
            </w:r>
          </w:p>
        </w:tc>
        <w:tc>
          <w:tcPr>
            <w:tcW w:type="dxa" w:w="134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150,3</w:t>
            </w:r>
          </w:p>
        </w:tc>
        <w:tc>
          <w:tcPr>
            <w:tcW w:type="dxa" w:w="9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411,9</w:t>
            </w:r>
          </w:p>
        </w:tc>
        <w:tc>
          <w:tcPr>
            <w:tcW w:type="dxa" w:w="142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134,2</w:t>
            </w:r>
          </w:p>
        </w:tc>
        <w:tc>
          <w:tcPr>
            <w:tcW w:type="dxa" w:w="11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18,35</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1.559</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1.712</w:t>
            </w:r>
          </w:p>
        </w:tc>
      </w:tr>
      <w:tr>
        <w:trPr>
          <w:cantSplit/>
        </w:trPr>
        <w:tc>
          <w:tcPr>
            <w:tcW w:type="dxa" w:w="224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Casanare</w:t>
            </w:r>
          </w:p>
        </w:tc>
        <w:tc>
          <w:tcPr>
            <w:tcW w:type="dxa" w:w="134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33,8</w:t>
            </w:r>
          </w:p>
        </w:tc>
        <w:tc>
          <w:tcPr>
            <w:tcW w:type="dxa" w:w="9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92,5</w:t>
            </w:r>
          </w:p>
        </w:tc>
        <w:tc>
          <w:tcPr>
            <w:tcW w:type="dxa" w:w="142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32,8</w:t>
            </w:r>
          </w:p>
        </w:tc>
        <w:tc>
          <w:tcPr>
            <w:tcW w:type="dxa" w:w="11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2,86</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243</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266</w:t>
            </w:r>
          </w:p>
        </w:tc>
      </w:tr>
      <w:tr>
        <w:trPr>
          <w:cantSplit/>
        </w:trPr>
        <w:tc>
          <w:tcPr>
            <w:tcW w:type="dxa" w:w="224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Arauca</w:t>
            </w:r>
          </w:p>
        </w:tc>
        <w:tc>
          <w:tcPr>
            <w:tcW w:type="dxa" w:w="134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17,0</w:t>
            </w:r>
          </w:p>
        </w:tc>
        <w:tc>
          <w:tcPr>
            <w:tcW w:type="dxa" w:w="9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46,5</w:t>
            </w:r>
          </w:p>
        </w:tc>
        <w:tc>
          <w:tcPr>
            <w:tcW w:type="dxa" w:w="142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13,2</w:t>
            </w:r>
          </w:p>
        </w:tc>
        <w:tc>
          <w:tcPr>
            <w:tcW w:type="dxa" w:w="11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1,43</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122</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134</w:t>
            </w:r>
          </w:p>
        </w:tc>
      </w:tr>
      <w:tr>
        <w:trPr>
          <w:cantSplit/>
        </w:trPr>
        <w:tc>
          <w:tcPr>
            <w:tcW w:type="dxa" w:w="224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Santander</w:t>
            </w:r>
          </w:p>
        </w:tc>
        <w:tc>
          <w:tcPr>
            <w:tcW w:type="dxa" w:w="134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13,0</w:t>
            </w:r>
          </w:p>
        </w:tc>
        <w:tc>
          <w:tcPr>
            <w:tcW w:type="dxa" w:w="9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35,7</w:t>
            </w:r>
          </w:p>
        </w:tc>
        <w:tc>
          <w:tcPr>
            <w:tcW w:type="dxa" w:w="142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15,3</w:t>
            </w:r>
          </w:p>
        </w:tc>
        <w:tc>
          <w:tcPr>
            <w:tcW w:type="dxa" w:w="11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1,14</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97</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106</w:t>
            </w:r>
          </w:p>
        </w:tc>
      </w:tr>
      <w:tr>
        <w:trPr>
          <w:cantSplit/>
        </w:trPr>
        <w:tc>
          <w:tcPr>
            <w:tcW w:type="dxa" w:w="224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Sin dato (campos sin 1P)</w:t>
            </w:r>
          </w:p>
        </w:tc>
        <w:tc>
          <w:tcPr>
            <w:tcW w:type="dxa" w:w="134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10,2</w:t>
            </w:r>
          </w:p>
        </w:tc>
        <w:tc>
          <w:tcPr>
            <w:tcW w:type="dxa" w:w="9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27,9</w:t>
            </w:r>
          </w:p>
        </w:tc>
        <w:tc>
          <w:tcPr>
            <w:tcW w:type="dxa" w:w="142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0,8</w:t>
            </w:r>
          </w:p>
        </w:tc>
        <w:tc>
          <w:tcPr>
            <w:tcW w:type="dxa" w:w="11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0,81</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69</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76</w:t>
            </w:r>
          </w:p>
        </w:tc>
      </w:tr>
      <w:tr>
        <w:trPr>
          <w:cantSplit/>
        </w:trPr>
        <w:tc>
          <w:tcPr>
            <w:tcW w:type="dxa" w:w="224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Boyaca</w:t>
            </w:r>
          </w:p>
        </w:tc>
        <w:tc>
          <w:tcPr>
            <w:tcW w:type="dxa" w:w="134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8,7</w:t>
            </w:r>
          </w:p>
        </w:tc>
        <w:tc>
          <w:tcPr>
            <w:tcW w:type="dxa" w:w="9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23,9</w:t>
            </w:r>
          </w:p>
        </w:tc>
        <w:tc>
          <w:tcPr>
            <w:tcW w:type="dxa" w:w="142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9,4</w:t>
            </w:r>
          </w:p>
        </w:tc>
        <w:tc>
          <w:tcPr>
            <w:tcW w:type="dxa" w:w="11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0,71</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60</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66</w:t>
            </w:r>
          </w:p>
        </w:tc>
      </w:tr>
      <w:tr>
        <w:trPr>
          <w:cantSplit/>
        </w:trPr>
        <w:tc>
          <w:tcPr>
            <w:tcW w:type="dxa" w:w="224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Putumayo</w:t>
            </w:r>
          </w:p>
        </w:tc>
        <w:tc>
          <w:tcPr>
            <w:tcW w:type="dxa" w:w="134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6,6</w:t>
            </w:r>
          </w:p>
        </w:tc>
        <w:tc>
          <w:tcPr>
            <w:tcW w:type="dxa" w:w="9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18,2</w:t>
            </w:r>
          </w:p>
        </w:tc>
        <w:tc>
          <w:tcPr>
            <w:tcW w:type="dxa" w:w="142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8,6</w:t>
            </w:r>
          </w:p>
        </w:tc>
        <w:tc>
          <w:tcPr>
            <w:tcW w:type="dxa" w:w="11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0,53</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45</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50</w:t>
            </w:r>
          </w:p>
        </w:tc>
      </w:tr>
      <w:tr>
        <w:trPr>
          <w:cantSplit/>
        </w:trPr>
        <w:tc>
          <w:tcPr>
            <w:tcW w:type="dxa" w:w="224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Huila</w:t>
            </w:r>
          </w:p>
        </w:tc>
        <w:tc>
          <w:tcPr>
            <w:tcW w:type="dxa" w:w="134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5,9</w:t>
            </w:r>
          </w:p>
        </w:tc>
        <w:tc>
          <w:tcPr>
            <w:tcW w:type="dxa" w:w="9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16,1</w:t>
            </w:r>
          </w:p>
        </w:tc>
        <w:tc>
          <w:tcPr>
            <w:tcW w:type="dxa" w:w="142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5,1</w:t>
            </w:r>
          </w:p>
        </w:tc>
        <w:tc>
          <w:tcPr>
            <w:tcW w:type="dxa" w:w="11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0,47</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40</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44</w:t>
            </w:r>
          </w:p>
        </w:tc>
      </w:tr>
      <w:tr>
        <w:trPr>
          <w:cantSplit/>
        </w:trPr>
        <w:tc>
          <w:tcPr>
            <w:tcW w:type="dxa" w:w="224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Cesar</w:t>
            </w:r>
          </w:p>
        </w:tc>
        <w:tc>
          <w:tcPr>
            <w:tcW w:type="dxa" w:w="134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5,0</w:t>
            </w:r>
          </w:p>
        </w:tc>
        <w:tc>
          <w:tcPr>
            <w:tcW w:type="dxa" w:w="9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13,6</w:t>
            </w:r>
          </w:p>
        </w:tc>
        <w:tc>
          <w:tcPr>
            <w:tcW w:type="dxa" w:w="142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6,5</w:t>
            </w:r>
          </w:p>
        </w:tc>
        <w:tc>
          <w:tcPr>
            <w:tcW w:type="dxa" w:w="11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0,42</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36</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39</w:t>
            </w:r>
          </w:p>
        </w:tc>
      </w:tr>
      <w:tr>
        <w:trPr>
          <w:cantSplit/>
        </w:trPr>
        <w:tc>
          <w:tcPr>
            <w:tcW w:type="dxa" w:w="224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Bolivar</w:t>
            </w:r>
          </w:p>
        </w:tc>
        <w:tc>
          <w:tcPr>
            <w:tcW w:type="dxa" w:w="134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4,8</w:t>
            </w:r>
          </w:p>
        </w:tc>
        <w:tc>
          <w:tcPr>
            <w:tcW w:type="dxa" w:w="9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13,0</w:t>
            </w:r>
          </w:p>
        </w:tc>
        <w:tc>
          <w:tcPr>
            <w:tcW w:type="dxa" w:w="142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4,4</w:t>
            </w:r>
          </w:p>
        </w:tc>
        <w:tc>
          <w:tcPr>
            <w:tcW w:type="dxa" w:w="11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0,42</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35</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39</w:t>
            </w:r>
          </w:p>
        </w:tc>
      </w:tr>
    </w:tbl>
    <w:p>
      <w:pPr>
        <w:spacing w:after="160" w:line="276"/>
        <w:jc w:val="center"/>
      </w:pPr>
      <w:r>
        <w:rPr>
          <w:rFonts w:ascii="Arial Narrow" w:cs="Arial Narrow" w:eastAsia="Arial Narrow" w:hAnsi="Arial Narrow"/>
          <w:i/>
          <w:iCs/>
          <w:color w:val="404040"/>
          <w:sz w:val="22"/>
          <w:szCs w:val="22"/>
        </w:rPr>
        <w:t xml:space="preserve">Tabla 10. Diez mayores departamentos en 2026 (real enero-junio + pronóstico). Ejemplo de la desagregación que ofrece el aplicativo.</w:t>
      </w:r>
    </w:p>
    <w:p>
      <w:pPr>
        <w:pStyle w:val="Heading1"/>
        <w:keepNext/>
        <w:spacing w:after="120" w:before="240"/>
      </w:pPr>
      <w:r>
        <w:rPr>
          <w:rFonts w:ascii="Arial Narrow" w:cs="Arial Narrow" w:eastAsia="Arial Narrow" w:hAnsi="Arial Narrow"/>
          <w:b/>
          <w:bCs/>
          <w:color w:val="000000"/>
          <w:sz w:val="30"/>
          <w:szCs w:val="30"/>
        </w:rPr>
        <w:t xml:space="preserve">6. Decisión, límites y gobernanza</w:t>
      </w:r>
    </w:p>
    <w:p>
      <w:pPr>
        <w:spacing w:after="100" w:line="276"/>
        <w:jc w:val="both"/>
      </w:pPr>
      <w:r>
        <w:rPr>
          <w:rFonts w:ascii="Arial Narrow" w:cs="Arial Narrow" w:eastAsia="Arial Narrow" w:hAnsi="Arial Narrow"/>
          <w:b/>
          <w:bCs/>
          <w:sz w:val="22"/>
          <w:szCs w:val="22"/>
        </w:rPr>
        <w:t xml:space="preserve">Qué se recomienda.</w:t>
      </w:r>
      <w:r>
        <w:rPr>
          <w:rFonts w:ascii="Arial Narrow" w:cs="Arial Narrow" w:eastAsia="Arial Narrow" w:hAnsi="Arial Narrow"/>
          <w:sz w:val="22"/>
          <w:szCs w:val="22"/>
        </w:rPr>
        <w:t xml:space="preserve"> (1) Usar el pronóstico del modelo final para la programación de 12 a 24 meses y la 1P solo como tope, porque la 1P tiene un error por campo tres veces mayor. (2) Tratar la trayectoria desde 2027 como </w:t>
      </w:r>
      <w:r>
        <w:rPr>
          <w:rFonts w:ascii="Arial Narrow" w:cs="Arial Narrow" w:eastAsia="Arial Narrow" w:hAnsi="Arial Narrow"/>
          <w:b/>
          <w:bCs/>
          <w:sz w:val="22"/>
          <w:szCs w:val="22"/>
        </w:rPr>
        <w:t xml:space="preserve">escenario conservador</w:t>
      </w:r>
      <w:r>
        <w:rPr>
          <w:rFonts w:ascii="Arial Narrow" w:cs="Arial Narrow" w:eastAsia="Arial Narrow" w:hAnsi="Arial Narrow"/>
          <w:sz w:val="22"/>
          <w:szCs w:val="22"/>
        </w:rPr>
        <w:t xml:space="preserve">: el tope 1P la limita y la 1P (reservas probadas) excluye el desarrollo de reservas probables y posibles. (3) Revisar con los operadores los campos que el umbral marca en riesgo antes de programar sus regalías. (4) Actualizar el perfil con el IRR más reciente cada año.</w:t>
      </w:r>
    </w:p>
    <w:p>
      <w:pPr>
        <w:spacing w:after="100" w:line="276"/>
        <w:jc w:val="both"/>
      </w:pPr>
      <w:r>
        <w:rPr>
          <w:rFonts w:ascii="Arial Narrow" w:cs="Arial Narrow" w:eastAsia="Arial Narrow" w:hAnsi="Arial Narrow"/>
          <w:b/>
          <w:bCs/>
          <w:sz w:val="22"/>
          <w:szCs w:val="22"/>
        </w:rPr>
        <w:t xml:space="preserve">Cuándo deja de valer.</w:t>
      </w:r>
      <w:r>
        <w:rPr>
          <w:rFonts w:ascii="Arial Narrow" w:cs="Arial Narrow" w:eastAsia="Arial Narrow" w:hAnsi="Arial Narrow"/>
          <w:sz w:val="22"/>
          <w:szCs w:val="22"/>
        </w:rPr>
        <w:t xml:space="preserve"> Ante choques que no están en los datos (paros, bloqueos, cierres por orden público o ambientales), cambios regulatorios o contractuales, nuevas unificaciones o cambios de nombre de campos, descubrimientos posteriores a 2023, o cuando la 1P se actualice. Los precios de 2028 en adelante son un supuesto constante; el modelo no pronostica precios. La escala de regalías no aplica el descuento del 25% para crudos pesados (API ≤ 15) porque el archivo no trae la gravedad API, y la Ley 756 se aplica sobre la producción promedio anual y no mensual; el aplicativo permite cambiar la tasa.</w:t>
      </w:r>
    </w:p>
    <w:p>
      <w:pPr>
        <w:spacing w:after="100" w:line="276"/>
        <w:jc w:val="both"/>
      </w:pPr>
      <w:r>
        <w:rPr>
          <w:rFonts w:ascii="Arial Narrow" w:cs="Arial Narrow" w:eastAsia="Arial Narrow" w:hAnsi="Arial Narrow"/>
          <w:b/>
          <w:bCs/>
          <w:sz w:val="22"/>
          <w:szCs w:val="22"/>
        </w:rPr>
        <w:t xml:space="preserve">A quién podría perjudicar.</w:t>
      </w:r>
      <w:r>
        <w:rPr>
          <w:rFonts w:ascii="Arial Narrow" w:cs="Arial Narrow" w:eastAsia="Arial Narrow" w:hAnsi="Arial Narrow"/>
          <w:sz w:val="22"/>
          <w:szCs w:val="22"/>
        </w:rPr>
        <w:t xml:space="preserve"> Un sesgo al alza perjudicaría a municipios productores pequeños que programen proyectos con regalías que no llegan; un sesgo a la baja dejaría recursos sin programar en esos mismos territorios. Los campos pequeños tienen errores mayores (22%), y los 70 campos sin 1P quedan fuera del pronóstico después de 2026, lo que subestima levemente a sus municipios.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5"/>
        <w:gridCol w:w="1234"/>
        <w:gridCol w:w="1079"/>
        <w:gridCol w:w="4010"/>
      </w:tblGrid>
      <w:tr>
        <w:trPr>
          <w:tblHeader/>
        </w:trPr>
        <w:tc>
          <w:tcPr>
            <w:tcW w:type="dxa" w:w="331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Riesgo</w:t>
            </w:r>
          </w:p>
        </w:tc>
        <w:tc>
          <w:tcPr>
            <w:tcW w:type="dxa" w:w="123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Probabilidad</w:t>
            </w:r>
          </w:p>
        </w:tc>
        <w:tc>
          <w:tcPr>
            <w:tcW w:type="dxa" w:w="107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Impacto</w:t>
            </w:r>
          </w:p>
        </w:tc>
        <w:tc>
          <w:tcPr>
            <w:tcW w:type="dxa" w:w="401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Mitigación</w:t>
            </w:r>
          </w:p>
        </w:tc>
      </w:tr>
      <w:tr>
        <w:trPr>
          <w:cantSplit/>
        </w:trPr>
        <w:tc>
          <w:tcPr>
            <w:tcW w:type="dxa" w:w="331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Choque operativo (paros, bloqueos, orden público)</w:t>
            </w:r>
          </w:p>
        </w:tc>
        <w:tc>
          <w:tcPr>
            <w:tcW w:type="dxa" w:w="123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Media</w:t>
            </w:r>
          </w:p>
        </w:tc>
        <w:tc>
          <w:tcPr>
            <w:tcW w:type="dxa" w:w="107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Alto</w:t>
            </w:r>
          </w:p>
        </w:tc>
        <w:tc>
          <w:tcPr>
            <w:tcW w:type="dxa" w:w="40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Seguimiento mensual y reentrenamiento; escenario con tope 1P</w:t>
            </w:r>
          </w:p>
        </w:tc>
      </w:tr>
      <w:tr>
        <w:trPr>
          <w:cantSplit/>
        </w:trPr>
        <w:tc>
          <w:tcPr>
            <w:tcW w:type="dxa" w:w="331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Unificación o cambio de nombre de campos</w:t>
            </w:r>
          </w:p>
        </w:tc>
        <w:tc>
          <w:tcPr>
            <w:tcW w:type="dxa" w:w="123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Media</w:t>
            </w:r>
          </w:p>
        </w:tc>
        <w:tc>
          <w:tcPr>
            <w:tcW w:type="dxa" w:w="107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Medio</w:t>
            </w:r>
          </w:p>
        </w:tc>
        <w:tc>
          <w:tcPr>
            <w:tcW w:type="dxa" w:w="40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Revisar la llave de campo antes de cada corrida</w:t>
            </w:r>
          </w:p>
        </w:tc>
      </w:tr>
      <w:tr>
        <w:trPr>
          <w:cantSplit/>
        </w:trPr>
        <w:tc>
          <w:tcPr>
            <w:tcW w:type="dxa" w:w="331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Perfil 1P desactualizado (IRR 2024)</w:t>
            </w:r>
          </w:p>
        </w:tc>
        <w:tc>
          <w:tcPr>
            <w:tcW w:type="dxa" w:w="123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Alta</w:t>
            </w:r>
          </w:p>
        </w:tc>
        <w:tc>
          <w:tcPr>
            <w:tcW w:type="dxa" w:w="107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Alto</w:t>
            </w:r>
          </w:p>
        </w:tc>
        <w:tc>
          <w:tcPr>
            <w:tcW w:type="dxa" w:w="40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Actualizar con el IRR más reciente cada año</w:t>
            </w:r>
          </w:p>
        </w:tc>
      </w:tr>
      <w:tr>
        <w:trPr>
          <w:cantSplit/>
        </w:trPr>
        <w:tc>
          <w:tcPr>
            <w:tcW w:type="dxa" w:w="331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Sin migración 2P/3P ni recursos contingentes</w:t>
            </w:r>
          </w:p>
        </w:tc>
        <w:tc>
          <w:tcPr>
            <w:tcW w:type="dxa" w:w="123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Alta</w:t>
            </w:r>
          </w:p>
        </w:tc>
        <w:tc>
          <w:tcPr>
            <w:tcW w:type="dxa" w:w="107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Medio</w:t>
            </w:r>
          </w:p>
        </w:tc>
        <w:tc>
          <w:tcPr>
            <w:tcW w:type="dxa" w:w="40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Leer 2027+ como piso conservador; escenarios con 2P/3P en trabajo futuro</w:t>
            </w:r>
          </w:p>
        </w:tc>
      </w:tr>
      <w:tr>
        <w:trPr>
          <w:cantSplit/>
        </w:trPr>
        <w:tc>
          <w:tcPr>
            <w:tcW w:type="dxa" w:w="331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Volatilidad del precio</w:t>
            </w:r>
          </w:p>
        </w:tc>
        <w:tc>
          <w:tcPr>
            <w:tcW w:type="dxa" w:w="123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Alta</w:t>
            </w:r>
          </w:p>
        </w:tc>
        <w:tc>
          <w:tcPr>
            <w:tcW w:type="dxa" w:w="107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Alto</w:t>
            </w:r>
          </w:p>
        </w:tc>
        <w:tc>
          <w:tcPr>
            <w:tcW w:type="dxa" w:w="40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Precios editables; comparar escenarios WTI/Brent</w:t>
            </w:r>
          </w:p>
        </w:tc>
      </w:tr>
      <w:tr>
        <w:trPr>
          <w:cantSplit/>
        </w:trPr>
        <w:tc>
          <w:tcPr>
            <w:tcW w:type="dxa" w:w="331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Error alto en campos pequeños</w:t>
            </w:r>
          </w:p>
        </w:tc>
        <w:tc>
          <w:tcPr>
            <w:tcW w:type="dxa" w:w="123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Alta</w:t>
            </w:r>
          </w:p>
        </w:tc>
        <w:tc>
          <w:tcPr>
            <w:tcW w:type="dxa" w:w="107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Bajo</w:t>
            </w:r>
          </w:p>
        </w:tc>
        <w:tc>
          <w:tcPr>
            <w:tcW w:type="dxa" w:w="40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Reportar agregados; usar umbral de alerta por campo</w:t>
            </w:r>
          </w:p>
        </w:tc>
      </w:tr>
      <w:tr>
        <w:trPr>
          <w:cantSplit/>
        </w:trPr>
        <w:tc>
          <w:tcPr>
            <w:tcW w:type="dxa" w:w="331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Tasa de regalías simplificada (sin API, anual)</w:t>
            </w:r>
          </w:p>
        </w:tc>
        <w:tc>
          <w:tcPr>
            <w:tcW w:type="dxa" w:w="123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Media</w:t>
            </w:r>
          </w:p>
        </w:tc>
        <w:tc>
          <w:tcPr>
            <w:tcW w:type="dxa" w:w="107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Medio</w:t>
            </w:r>
          </w:p>
        </w:tc>
        <w:tc>
          <w:tcPr>
            <w:tcW w:type="dxa" w:w="40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Opciones de tasa en el aplicativo; validar con liquidación ANH</w:t>
            </w:r>
          </w:p>
        </w:tc>
      </w:tr>
    </w:tbl>
    <w:p>
      <w:pPr>
        <w:spacing w:after="160" w:line="276"/>
        <w:jc w:val="center"/>
      </w:pPr>
      <w:r>
        <w:rPr>
          <w:rFonts w:ascii="Arial Narrow" w:cs="Arial Narrow" w:eastAsia="Arial Narrow" w:hAnsi="Arial Narrow"/>
          <w:i/>
          <w:iCs/>
          <w:color w:val="404040"/>
          <w:sz w:val="22"/>
          <w:szCs w:val="22"/>
        </w:rPr>
        <w:t xml:space="preserve">Tabla 11. Riesgos y mitigación.</w:t>
      </w:r>
    </w:p>
    <w:p>
      <w:pPr>
        <w:spacing w:after="100" w:line="276"/>
        <w:jc w:val="both"/>
      </w:pPr>
      <w:r>
        <w:rPr>
          <w:rFonts w:ascii="Arial Narrow" w:cs="Arial Narrow" w:eastAsia="Arial Narrow" w:hAnsi="Arial Narrow"/>
          <w:b/>
          <w:bCs/>
          <w:sz w:val="22"/>
          <w:szCs w:val="22"/>
        </w:rPr>
        <w:t xml:space="preserve">Gobernanza y seguimiento.</w:t>
      </w:r>
    </w:p>
    <w:p>
      <w:pPr>
        <w:pStyle w:val="ListParagraph"/>
        <w:numPr>
          <w:ilvl w:val="0"/>
          <w:numId w:val="2"/>
        </w:numPr>
        <w:spacing w:after="60"/>
        <w:jc w:val="both"/>
      </w:pPr>
      <w:r>
        <w:rPr>
          <w:rFonts w:ascii="Arial Narrow" w:cs="Arial Narrow" w:eastAsia="Arial Narrow" w:hAnsi="Arial Narrow"/>
          <w:sz w:val="22"/>
          <w:szCs w:val="22"/>
        </w:rPr>
        <w:t xml:space="preserve">Reentrenar cada año con la producción fiscalizada nueva y repetir la prueba ciega con el año más reciente.</w:t>
      </w:r>
    </w:p>
    <w:p>
      <w:pPr>
        <w:pStyle w:val="ListParagraph"/>
        <w:numPr>
          <w:ilvl w:val="0"/>
          <w:numId w:val="2"/>
        </w:numPr>
        <w:spacing w:after="60"/>
        <w:jc w:val="both"/>
      </w:pPr>
      <w:r>
        <w:rPr>
          <w:rFonts w:ascii="Arial Narrow" w:cs="Arial Narrow" w:eastAsia="Arial Narrow" w:hAnsi="Arial Narrow"/>
          <w:sz w:val="22"/>
          <w:szCs w:val="22"/>
        </w:rPr>
        <w:t xml:space="preserve">Revisar el modelo si el sesgo del total país supera ±5% o si el WAPE por campo supera 15% en el seguimiento.</w:t>
      </w:r>
    </w:p>
    <w:p>
      <w:pPr>
        <w:pStyle w:val="ListParagraph"/>
        <w:numPr>
          <w:ilvl w:val="0"/>
          <w:numId w:val="2"/>
        </w:numPr>
        <w:spacing w:after="60"/>
        <w:jc w:val="both"/>
      </w:pPr>
      <w:r>
        <w:rPr>
          <w:rFonts w:ascii="Arial Narrow" w:cs="Arial Narrow" w:eastAsia="Arial Narrow" w:hAnsi="Arial Narrow"/>
          <w:sz w:val="22"/>
          <w:szCs w:val="22"/>
        </w:rPr>
        <w:t xml:space="preserve">Verificar antes de cada corrida la calidad del Excel: duplicados, celdas vacías, consistencia entre la 1P de la hoja principal y la del pronóstico.</w:t>
      </w:r>
    </w:p>
    <w:p>
      <w:pPr>
        <w:pStyle w:val="ListParagraph"/>
        <w:numPr>
          <w:ilvl w:val="0"/>
          <w:numId w:val="2"/>
        </w:numPr>
        <w:spacing w:after="60"/>
        <w:jc w:val="both"/>
      </w:pPr>
      <w:r>
        <w:rPr>
          <w:rFonts w:ascii="Arial Narrow" w:cs="Arial Narrow" w:eastAsia="Arial Narrow" w:hAnsi="Arial Narrow"/>
          <w:sz w:val="22"/>
          <w:szCs w:val="22"/>
        </w:rPr>
        <w:t xml:space="preserve">Mantener la trazabilidad: cuaderno reproducible (semilla y versiones), informe descargable del aplicativo con año, precio, tasa y modelo usados.</w:t>
      </w:r>
    </w:p>
    <w:p>
      <w:pPr>
        <w:pStyle w:val="ListParagraph"/>
        <w:numPr>
          <w:ilvl w:val="0"/>
          <w:numId w:val="2"/>
        </w:numPr>
        <w:spacing w:after="60"/>
        <w:jc w:val="both"/>
      </w:pPr>
      <w:r>
        <w:rPr>
          <w:rFonts w:ascii="Arial Narrow" w:cs="Arial Narrow" w:eastAsia="Arial Narrow" w:hAnsi="Arial Narrow"/>
          <w:sz w:val="22"/>
          <w:szCs w:val="22"/>
        </w:rPr>
        <w:t xml:space="preserve">Responsables: el equipo de analítica mantiene el modelo; planeación del MME y la ANH aprueba los supuestos de precio y el uso del escenario con tope.</w:t>
      </w:r>
    </w:p>
    <w:p>
      <w:pPr>
        <w:pStyle w:val="ListParagraph"/>
        <w:numPr>
          <w:ilvl w:val="0"/>
          <w:numId w:val="2"/>
        </w:numPr>
        <w:spacing w:after="60"/>
        <w:jc w:val="both"/>
      </w:pPr>
      <w:r>
        <w:rPr>
          <w:rFonts w:ascii="Arial Narrow" w:cs="Arial Narrow" w:eastAsia="Arial Narrow" w:hAnsi="Arial Narrow"/>
          <w:sz w:val="22"/>
          <w:szCs w:val="22"/>
        </w:rPr>
        <w:t xml:space="preserve">Uso responsable: los datos son de carácter reservado, con uso único académico (Especialización en Machine Learning, Universidad EAN, 2026); se prohíbe su uso, distribución, copia o mejora total o parcial. El aplicativo exige aceptar los términos y condiciones y no reemplaza la liquidación oficial de regalías.</w:t>
      </w:r>
    </w:p>
    <w:p>
      <w:r>
        <w:br w:type="page"/>
      </w:r>
    </w:p>
    <w:p>
      <w:pPr>
        <w:pStyle w:val="Heading1"/>
        <w:keepNext/>
        <w:spacing w:after="120" w:before="240"/>
      </w:pPr>
      <w:r>
        <w:rPr>
          <w:rFonts w:ascii="Arial Narrow" w:cs="Arial Narrow" w:eastAsia="Arial Narrow" w:hAnsi="Arial Narrow"/>
          <w:b/>
          <w:bCs/>
          <w:color w:val="000000"/>
          <w:sz w:val="30"/>
          <w:szCs w:val="30"/>
        </w:rPr>
        <w:t xml:space="preserve">Anexos</w:t>
      </w:r>
    </w:p>
    <w:p>
      <w:pPr>
        <w:pStyle w:val="Heading2"/>
        <w:keepNext/>
        <w:spacing w:after="80" w:before="160"/>
      </w:pPr>
      <w:r>
        <w:rPr>
          <w:rFonts w:ascii="Arial Narrow" w:cs="Arial Narrow" w:eastAsia="Arial Narrow" w:hAnsi="Arial Narrow"/>
          <w:b/>
          <w:bCs/>
          <w:color w:val="000000"/>
          <w:sz w:val="24"/>
          <w:szCs w:val="24"/>
        </w:rPr>
        <w:t xml:space="preserve">A. Aplicativo local</w:t>
      </w:r>
    </w:p>
    <w:p>
      <w:pPr>
        <w:spacing w:after="100" w:line="276"/>
        <w:jc w:val="both"/>
      </w:pPr>
      <w:r>
        <w:rPr>
          <w:rFonts w:ascii="Arial Narrow" w:cs="Arial Narrow" w:eastAsia="Arial Narrow" w:hAnsi="Arial Narrow"/>
          <w:sz w:val="22"/>
          <w:szCs w:val="22"/>
        </w:rPr>
        <w:t xml:space="preserve">Se abre con doble clic en </w:t>
      </w:r>
      <w:r>
        <w:rPr>
          <w:rFonts w:ascii="Arial Narrow" w:cs="Arial Narrow" w:eastAsia="Arial Narrow" w:hAnsi="Arial Narrow"/>
          <w:b/>
          <w:bCs/>
          <w:sz w:val="22"/>
          <w:szCs w:val="22"/>
        </w:rPr>
        <w:t xml:space="preserve">iniciar_app.command</w:t>
      </w:r>
      <w:r>
        <w:rPr>
          <w:rFonts w:ascii="Arial Narrow" w:cs="Arial Narrow" w:eastAsia="Arial Narrow" w:hAnsi="Arial Narrow"/>
          <w:sz w:val="22"/>
          <w:szCs w:val="22"/>
        </w:rPr>
        <w:t xml:space="preserve"> (macOS) o con </w:t>
      </w:r>
      <w:r>
        <w:rPr>
          <w:rFonts w:ascii="Arial Narrow" w:cs="Arial Narrow" w:eastAsia="Arial Narrow" w:hAnsi="Arial Narrow"/>
          <w:b/>
          <w:bCs/>
          <w:sz w:val="22"/>
          <w:szCs w:val="22"/>
        </w:rPr>
        <w:t xml:space="preserve">streamlit run app/app.py</w:t>
      </w:r>
      <w:r>
        <w:rPr>
          <w:rFonts w:ascii="Arial Narrow" w:cs="Arial Narrow" w:eastAsia="Arial Narrow" w:hAnsi="Arial Narrow"/>
          <w:sz w:val="22"/>
          <w:szCs w:val="22"/>
        </w:rPr>
        <w:t xml:space="preserve">, en http://localhost:8501. Antes de ingresar, la persona debe aceptar los términos y condiciones (datos reservados, uso único académico, prohibiciones y alcance IRR 2024) y escribir la contraseña de acceso, que se solicita a rafajard53009@universidadean.edu.co. Páginas: Ficha del proyecto; Consulta (año 2023-2060; desagregación por total país, campo, departamento, municipio, operadora o tipo de contrato; WTI o Brent editable; tasa de regalías; producción, barriles por día, Reservas 1P, pronosticado = 1P × precio, regalías proyectadas y por producción en barriles y USD; aviso de campos sin 1P con el último año proyectado; gráfico 2023-2060; informe en Excel); Modelos (informe del mejor modelo y secciones separadas de árboles de decisión, regresión lineal y redes neuronales, con la curva de aprendizaje y ejemplos de interpretación); Umbral y alertas (con ejemplo de interpretación); Segmentos (significado de los componentes 1 y 2 y ejemplo); Datos y precios.</w:t>
      </w:r>
    </w:p>
    <w:p>
      <w:pPr>
        <w:pStyle w:val="Heading2"/>
        <w:keepNext/>
        <w:spacing w:after="80" w:before="160"/>
      </w:pPr>
      <w:r>
        <w:rPr>
          <w:rFonts w:ascii="Arial Narrow" w:cs="Arial Narrow" w:eastAsia="Arial Narrow" w:hAnsi="Arial Narrow"/>
          <w:b/>
          <w:bCs/>
          <w:color w:val="000000"/>
          <w:sz w:val="24"/>
          <w:szCs w:val="24"/>
        </w:rPr>
        <w:t xml:space="preserve">B. Precios utilizados (USD por barril)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5"/>
        <w:gridCol w:w="1230"/>
        <w:gridCol w:w="1230"/>
        <w:gridCol w:w="6153"/>
      </w:tblGrid>
      <w:tr>
        <w:trPr>
          <w:tblHeader/>
        </w:trPr>
        <w:tc>
          <w:tcPr>
            <w:tcW w:type="dxa" w:w="102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Año</w:t>
            </w:r>
          </w:p>
        </w:tc>
        <w:tc>
          <w:tcPr>
            <w:tcW w:type="dxa" w:w="123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Brent</w:t>
            </w:r>
          </w:p>
        </w:tc>
        <w:tc>
          <w:tcPr>
            <w:tcW w:type="dxa" w:w="123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WTI</w:t>
            </w:r>
          </w:p>
        </w:tc>
        <w:tc>
          <w:tcPr>
            <w:tcW w:type="dxa" w:w="615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Tipo</w:t>
            </w:r>
          </w:p>
        </w:tc>
      </w:tr>
      <w:tr>
        <w:trPr>
          <w:cantSplit/>
        </w:trPr>
        <w:tc>
          <w:tcPr>
            <w:tcW w:type="dxa" w:w="102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2023</w:t>
            </w:r>
          </w:p>
        </w:tc>
        <w:tc>
          <w:tcPr>
            <w:tcW w:type="dxa" w:w="12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82,47</w:t>
            </w:r>
          </w:p>
        </w:tc>
        <w:tc>
          <w:tcPr>
            <w:tcW w:type="dxa" w:w="12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77,64</w:t>
            </w:r>
          </w:p>
        </w:tc>
        <w:tc>
          <w:tcPr>
            <w:tcW w:type="dxa" w:w="61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promedio de 12 meses</w:t>
            </w:r>
          </w:p>
        </w:tc>
      </w:tr>
      <w:tr>
        <w:trPr>
          <w:cantSplit/>
        </w:trPr>
        <w:tc>
          <w:tcPr>
            <w:tcW w:type="dxa" w:w="102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w:t>
            </w:r>
          </w:p>
        </w:tc>
        <w:tc>
          <w:tcPr>
            <w:tcW w:type="dxa" w:w="12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80,53</w:t>
            </w:r>
          </w:p>
        </w:tc>
        <w:tc>
          <w:tcPr>
            <w:tcW w:type="dxa" w:w="12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76,55</w:t>
            </w:r>
          </w:p>
        </w:tc>
        <w:tc>
          <w:tcPr>
            <w:tcW w:type="dxa" w:w="61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promedio de 12 meses</w:t>
            </w:r>
          </w:p>
        </w:tc>
      </w:tr>
      <w:tr>
        <w:trPr>
          <w:cantSplit/>
        </w:trPr>
        <w:tc>
          <w:tcPr>
            <w:tcW w:type="dxa" w:w="102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2025</w:t>
            </w:r>
          </w:p>
        </w:tc>
        <w:tc>
          <w:tcPr>
            <w:tcW w:type="dxa" w:w="12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69,10</w:t>
            </w:r>
          </w:p>
        </w:tc>
        <w:tc>
          <w:tcPr>
            <w:tcW w:type="dxa" w:w="12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65,46</w:t>
            </w:r>
          </w:p>
        </w:tc>
        <w:tc>
          <w:tcPr>
            <w:tcW w:type="dxa" w:w="61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promedio de 12 meses</w:t>
            </w:r>
          </w:p>
        </w:tc>
      </w:tr>
      <w:tr>
        <w:trPr>
          <w:cantSplit/>
        </w:trPr>
        <w:tc>
          <w:tcPr>
            <w:tcW w:type="dxa" w:w="102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2026</w:t>
            </w:r>
          </w:p>
        </w:tc>
        <w:tc>
          <w:tcPr>
            <w:tcW w:type="dxa" w:w="12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93,27</w:t>
            </w:r>
          </w:p>
        </w:tc>
        <w:tc>
          <w:tcPr>
            <w:tcW w:type="dxa" w:w="12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84,98</w:t>
            </w:r>
          </w:p>
        </w:tc>
        <w:tc>
          <w:tcPr>
            <w:tcW w:type="dxa" w:w="61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parcial: promedio enero-septiembre</w:t>
            </w:r>
          </w:p>
        </w:tc>
      </w:tr>
      <w:tr>
        <w:trPr>
          <w:cantSplit/>
        </w:trPr>
        <w:tc>
          <w:tcPr>
            <w:tcW w:type="dxa" w:w="102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2027</w:t>
            </w:r>
          </w:p>
        </w:tc>
        <w:tc>
          <w:tcPr>
            <w:tcW w:type="dxa" w:w="12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84,00</w:t>
            </w:r>
          </w:p>
        </w:tc>
        <w:tc>
          <w:tcPr>
            <w:tcW w:type="dxa" w:w="12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79,85</w:t>
            </w:r>
          </w:p>
        </w:tc>
        <w:tc>
          <w:tcPr>
            <w:tcW w:type="dxa" w:w="61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Proyección EIA STEO oct-2026 (WTI = Brent − diferencial 2023-2025)</w:t>
            </w:r>
          </w:p>
        </w:tc>
      </w:tr>
      <w:tr>
        <w:trPr>
          <w:cantSplit/>
        </w:trPr>
        <w:tc>
          <w:tcPr>
            <w:tcW w:type="dxa" w:w="102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2028</w:t>
            </w:r>
          </w:p>
        </w:tc>
        <w:tc>
          <w:tcPr>
            <w:tcW w:type="dxa" w:w="12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84,00</w:t>
            </w:r>
          </w:p>
        </w:tc>
        <w:tc>
          <w:tcPr>
            <w:tcW w:type="dxa" w:w="12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79,85</w:t>
            </w:r>
          </w:p>
        </w:tc>
        <w:tc>
          <w:tcPr>
            <w:tcW w:type="dxa" w:w="61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Supuesto: se mantiene el precio de 2027 (editable en el aplicativo)</w:t>
            </w:r>
          </w:p>
        </w:tc>
      </w:tr>
    </w:tbl>
    <w:p>
      <w:pPr>
        <w:spacing w:after="160" w:line="276"/>
        <w:jc w:val="center"/>
      </w:pPr>
      <w:r>
        <w:rPr>
          <w:rFonts w:ascii="Arial Narrow" w:cs="Arial Narrow" w:eastAsia="Arial Narrow" w:hAnsi="Arial Narrow"/>
          <w:i/>
          <w:iCs/>
          <w:color w:val="404040"/>
          <w:sz w:val="22"/>
          <w:szCs w:val="22"/>
        </w:rPr>
        <w:t xml:space="preserve">Tabla A1. Precios promedio anuales; 2029-2060 iguales a 2028 (editables en el aplicativo).</w:t>
      </w:r>
    </w:p>
    <w:p>
      <w:pPr>
        <w:pStyle w:val="Heading2"/>
        <w:keepNext/>
        <w:spacing w:after="80" w:before="160"/>
      </w:pPr>
      <w:r>
        <w:rPr>
          <w:rFonts w:ascii="Arial Narrow" w:cs="Arial Narrow" w:eastAsia="Arial Narrow" w:hAnsi="Arial Narrow"/>
          <w:b/>
          <w:bCs/>
          <w:color w:val="000000"/>
          <w:sz w:val="24"/>
          <w:szCs w:val="24"/>
        </w:rPr>
        <w:t xml:space="preserve">C. Coeficientes de la regresión lineal (variables numéricas estandarizadas)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Variable</w:t>
            </w:r>
          </w:p>
        </w:tc>
        <w:tc>
          <w:tcPr>
            <w:tcW w:type="dxa" w:w="240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Coeficiente</w:t>
            </w:r>
          </w:p>
        </w:tc>
      </w:tr>
      <w:tr>
        <w:trPr>
          <w:cantSplit/>
        </w:trPr>
        <w:tc>
          <w:tcPr>
            <w:tcW w:type="dxa" w:w="72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 1P del año (años)</w:t>
            </w:r>
          </w:p>
        </w:tc>
        <w:tc>
          <w:tcPr>
            <w:tcW w:type="dxa" w:w="24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-0,065</w:t>
            </w:r>
          </w:p>
        </w:tc>
      </w:tr>
      <w:tr>
        <w:trPr>
          <w:cantSplit/>
        </w:trPr>
        <w:tc>
          <w:tcPr>
            <w:tcW w:type="dxa" w:w="72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reservas posibles</w:t>
            </w:r>
          </w:p>
        </w:tc>
        <w:tc>
          <w:tcPr>
            <w:tcW w:type="dxa" w:w="24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-0,064</w:t>
            </w:r>
          </w:p>
        </w:tc>
      </w:tr>
      <w:tr>
        <w:trPr>
          <w:cantSplit/>
        </w:trPr>
        <w:tc>
          <w:tcPr>
            <w:tcW w:type="dxa" w:w="72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reservas probables</w:t>
            </w:r>
          </w:p>
        </w:tc>
        <w:tc>
          <w:tcPr>
            <w:tcW w:type="dxa" w:w="24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+0,062</w:t>
            </w:r>
          </w:p>
        </w:tc>
      </w:tr>
      <w:tr>
        <w:trPr>
          <w:cantSplit/>
        </w:trPr>
        <w:tc>
          <w:tcPr>
            <w:tcW w:type="dxa" w:w="72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1P año siguiente / 1P año</w:t>
            </w:r>
          </w:p>
        </w:tc>
        <w:tc>
          <w:tcPr>
            <w:tcW w:type="dxa" w:w="24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+0,048</w:t>
            </w:r>
          </w:p>
        </w:tc>
      </w:tr>
      <w:tr>
        <w:trPr>
          <w:cantSplit/>
        </w:trPr>
        <w:tc>
          <w:tcPr>
            <w:tcW w:type="dxa" w:w="72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años restantes de 1P</w:t>
            </w:r>
          </w:p>
        </w:tc>
        <w:tc>
          <w:tcPr>
            <w:tcW w:type="dxa" w:w="24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+0,041</w:t>
            </w:r>
          </w:p>
        </w:tc>
      </w:tr>
      <w:tr>
        <w:trPr>
          <w:cantSplit/>
        </w:trPr>
        <w:tc>
          <w:tcPr>
            <w:tcW w:type="dxa" w:w="72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1P del año (bpd)</w:t>
            </w:r>
          </w:p>
        </w:tc>
        <w:tc>
          <w:tcPr>
            <w:tcW w:type="dxa" w:w="24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+0,025</w:t>
            </w:r>
          </w:p>
        </w:tc>
      </w:tr>
      <w:tr>
        <w:trPr>
          <w:cantSplit/>
        </w:trPr>
        <w:tc>
          <w:tcPr>
            <w:tcW w:type="dxa" w:w="72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brecha año anterior vs 1P</w:t>
            </w:r>
          </w:p>
        </w:tc>
        <w:tc>
          <w:tcPr>
            <w:tcW w:type="dxa" w:w="24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-0,019</w:t>
            </w:r>
          </w:p>
        </w:tc>
      </w:tr>
      <w:tr>
        <w:trPr>
          <w:cantSplit/>
        </w:trPr>
        <w:tc>
          <w:tcPr>
            <w:tcW w:type="dxa" w:w="72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bpd año anterior</w:t>
            </w:r>
          </w:p>
        </w:tc>
        <w:tc>
          <w:tcPr>
            <w:tcW w:type="dxa" w:w="24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+0,016</w:t>
            </w:r>
          </w:p>
        </w:tc>
      </w:tr>
    </w:tbl>
    <w:p>
      <w:pPr>
        <w:spacing w:after="160" w:line="276"/>
        <w:jc w:val="center"/>
      </w:pPr>
      <w:r>
        <w:rPr>
          <w:rFonts w:ascii="Arial Narrow" w:cs="Arial Narrow" w:eastAsia="Arial Narrow" w:hAnsi="Arial Narrow"/>
          <w:i/>
          <w:iCs/>
          <w:color w:val="404040"/>
          <w:sz w:val="22"/>
          <w:szCs w:val="22"/>
        </w:rPr>
        <w:t xml:space="preserve">Tabla A2. Efecto de una desviación estándar sobre el cambio logarítmico de la producción.</w:t>
      </w:r>
    </w:p>
    <w:p>
      <w:pPr>
        <w:pStyle w:val="Heading2"/>
        <w:keepNext/>
        <w:spacing w:after="80" w:before="160"/>
      </w:pPr>
      <w:r>
        <w:rPr>
          <w:rFonts w:ascii="Arial Narrow" w:cs="Arial Narrow" w:eastAsia="Arial Narrow" w:hAnsi="Arial Narrow"/>
          <w:b/>
          <w:bCs/>
          <w:color w:val="000000"/>
          <w:sz w:val="24"/>
          <w:szCs w:val="24"/>
        </w:rPr>
        <w:t xml:space="preserve">D. Elección del umbral</w:t>
      </w:r>
    </w:p>
    <w:p>
      <w:pPr>
        <w:keepNext/>
        <w:spacing w:after="40"/>
        <w:jc w:val="center"/>
      </w:pPr>
      <w:r>
        <w:drawing>
          <wp:inline distT="0" distB="0" distL="0" distR="0">
            <wp:extent cx="3962400" cy="1981200"/>
            <wp:effectExtent t="0" r="0" b="0" l="0"/>
            <wp:docPr id="1" name="figura" descr="Figura A1. Costo medio según el umbral de alerta (validación 2025)." title="Figura A1. Costo medio según el umbral de alerta (validació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62400" cy="198120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A1. Costo medio según el umbral de alerta (validación 2025).</w:t>
      </w:r>
    </w:p>
    <w:p>
      <w:pPr>
        <w:pStyle w:val="Heading2"/>
        <w:keepNext/>
        <w:spacing w:after="80" w:before="160"/>
      </w:pPr>
      <w:r>
        <w:rPr>
          <w:rFonts w:ascii="Arial Narrow" w:cs="Arial Narrow" w:eastAsia="Arial Narrow" w:hAnsi="Arial Narrow"/>
          <w:b/>
          <w:bCs/>
          <w:color w:val="000000"/>
          <w:sz w:val="24"/>
          <w:szCs w:val="24"/>
        </w:rPr>
        <w:t xml:space="preserve">E. Escala de regalías de la Ley 756 de 2002 (art. 16)</w:t>
      </w:r>
    </w:p>
    <w:p>
      <w:pPr>
        <w:pStyle w:val="ListParagraph"/>
        <w:numPr>
          <w:ilvl w:val="0"/>
          <w:numId w:val="2"/>
        </w:numPr>
        <w:spacing w:after="60"/>
        <w:jc w:val="both"/>
      </w:pPr>
      <w:r>
        <w:rPr>
          <w:rFonts w:ascii="Arial Narrow" w:cs="Arial Narrow" w:eastAsia="Arial Narrow" w:hAnsi="Arial Narrow"/>
          <w:sz w:val="22"/>
          <w:szCs w:val="22"/>
        </w:rPr>
        <w:t xml:space="preserve">Hasta 5.000 bpd: 8%.</w:t>
      </w:r>
    </w:p>
    <w:p>
      <w:pPr>
        <w:pStyle w:val="ListParagraph"/>
        <w:numPr>
          <w:ilvl w:val="0"/>
          <w:numId w:val="2"/>
        </w:numPr>
        <w:spacing w:after="60"/>
        <w:jc w:val="both"/>
      </w:pPr>
      <w:r>
        <w:rPr>
          <w:rFonts w:ascii="Arial Narrow" w:cs="Arial Narrow" w:eastAsia="Arial Narrow" w:hAnsi="Arial Narrow"/>
          <w:sz w:val="22"/>
          <w:szCs w:val="22"/>
        </w:rPr>
        <w:t xml:space="preserve">Entre 5.000 y 125.000 bpd: 8% más 0,1 puntos por cada 1.000 bpd adicionales.</w:t>
      </w:r>
    </w:p>
    <w:p>
      <w:pPr>
        <w:pStyle w:val="ListParagraph"/>
        <w:numPr>
          <w:ilvl w:val="0"/>
          <w:numId w:val="2"/>
        </w:numPr>
        <w:spacing w:after="60"/>
        <w:jc w:val="both"/>
      </w:pPr>
      <w:r>
        <w:rPr>
          <w:rFonts w:ascii="Arial Narrow" w:cs="Arial Narrow" w:eastAsia="Arial Narrow" w:hAnsi="Arial Narrow"/>
          <w:sz w:val="22"/>
          <w:szCs w:val="22"/>
        </w:rPr>
        <w:t xml:space="preserve">Entre 125.000 y 400.000 bpd: 20%.</w:t>
      </w:r>
    </w:p>
    <w:p>
      <w:pPr>
        <w:pStyle w:val="ListParagraph"/>
        <w:numPr>
          <w:ilvl w:val="0"/>
          <w:numId w:val="2"/>
        </w:numPr>
        <w:spacing w:after="60"/>
        <w:jc w:val="both"/>
      </w:pPr>
      <w:r>
        <w:rPr>
          <w:rFonts w:ascii="Arial Narrow" w:cs="Arial Narrow" w:eastAsia="Arial Narrow" w:hAnsi="Arial Narrow"/>
          <w:sz w:val="22"/>
          <w:szCs w:val="22"/>
        </w:rPr>
        <w:t xml:space="preserve">Entre 400.000 y 600.000 bpd: 20% más 0,025 puntos por cada 1.000 bpd adicionales.</w:t>
      </w:r>
    </w:p>
    <w:p>
      <w:pPr>
        <w:pStyle w:val="ListParagraph"/>
        <w:numPr>
          <w:ilvl w:val="0"/>
          <w:numId w:val="2"/>
        </w:numPr>
        <w:spacing w:after="60"/>
        <w:jc w:val="both"/>
      </w:pPr>
      <w:r>
        <w:rPr>
          <w:rFonts w:ascii="Arial Narrow" w:cs="Arial Narrow" w:eastAsia="Arial Narrow" w:hAnsi="Arial Narrow"/>
          <w:sz w:val="22"/>
          <w:szCs w:val="22"/>
        </w:rPr>
        <w:t xml:space="preserve">Más de 600.000 bpd: 25%.</w:t>
      </w:r>
    </w:p>
    <w:p>
      <w:pPr>
        <w:pStyle w:val="ListParagraph"/>
        <w:numPr>
          <w:ilvl w:val="0"/>
          <w:numId w:val="2"/>
        </w:numPr>
        <w:spacing w:after="60"/>
        <w:jc w:val="both"/>
      </w:pPr>
      <w:r>
        <w:rPr>
          <w:rFonts w:ascii="Arial Narrow" w:cs="Arial Narrow" w:eastAsia="Arial Narrow" w:hAnsi="Arial Narrow"/>
          <w:sz w:val="22"/>
          <w:szCs w:val="22"/>
        </w:rPr>
        <w:t xml:space="preserve">Crudos pesados (API ≤ 15): 75% de la tasa (no aplicado por falta de dato API).</w:t>
      </w:r>
    </w:p>
    <w:p>
      <w:pPr>
        <w:pStyle w:val="Heading2"/>
        <w:keepNext/>
        <w:spacing w:after="80" w:before="160"/>
      </w:pPr>
      <w:r>
        <w:rPr>
          <w:rFonts w:ascii="Arial Narrow" w:cs="Arial Narrow" w:eastAsia="Arial Narrow" w:hAnsi="Arial Narrow"/>
          <w:b/>
          <w:bCs/>
          <w:color w:val="000000"/>
          <w:sz w:val="24"/>
          <w:szCs w:val="24"/>
        </w:rPr>
        <w:t xml:space="preserve">F. Referencias (APA 7)</w:t>
      </w:r>
    </w:p>
    <w:p>
      <w:pPr>
        <w:spacing w:after="100" w:line="276"/>
        <w:jc w:val="both"/>
      </w:pPr>
      <w:r>
        <w:rPr>
          <w:rFonts w:ascii="Arial Narrow" w:cs="Arial Narrow" w:eastAsia="Arial Narrow" w:hAnsi="Arial Narrow"/>
          <w:sz w:val="22"/>
          <w:szCs w:val="22"/>
        </w:rPr>
        <w:t xml:space="preserve">Agencia Nacional de Hidrocarburos &amp; Ministerio de Minas y Energía. (2026). </w:t>
      </w:r>
      <w:r>
        <w:rPr>
          <w:rFonts w:ascii="Arial Narrow" w:cs="Arial Narrow" w:eastAsia="Arial Narrow" w:hAnsi="Arial Narrow"/>
          <w:i/>
          <w:iCs/>
          <w:sz w:val="22"/>
          <w:szCs w:val="22"/>
        </w:rPr>
        <w:t xml:space="preserve">Producción fiscalizada y pronóstico de reservas 1P, 2P y 3P de petróleo por campo, 2023–2060</w:t>
      </w:r>
      <w:r>
        <w:rPr>
          <w:rFonts w:ascii="Arial Narrow" w:cs="Arial Narrow" w:eastAsia="Arial Narrow" w:hAnsi="Arial Narrow"/>
          <w:sz w:val="22"/>
          <w:szCs w:val="22"/>
        </w:rPr>
        <w:t xml:space="preserve"> [Conjunto de datos]. https://www.anh.gov.co/</w:t>
      </w:r>
    </w:p>
    <w:p>
      <w:pPr>
        <w:spacing w:after="100" w:line="276"/>
        <w:jc w:val="both"/>
      </w:pPr>
      <w:r>
        <w:rPr>
          <w:rFonts w:ascii="Arial Narrow" w:cs="Arial Narrow" w:eastAsia="Arial Narrow" w:hAnsi="Arial Narrow"/>
          <w:sz w:val="22"/>
          <w:szCs w:val="22"/>
        </w:rPr>
        <w:t xml:space="preserve">Breiman, L. (2001). Random forests. </w:t>
      </w:r>
      <w:r>
        <w:rPr>
          <w:rFonts w:ascii="Arial Narrow" w:cs="Arial Narrow" w:eastAsia="Arial Narrow" w:hAnsi="Arial Narrow"/>
          <w:i/>
          <w:iCs/>
          <w:sz w:val="22"/>
          <w:szCs w:val="22"/>
        </w:rPr>
        <w:t xml:space="preserve">Machine Learning, 45</w:t>
      </w:r>
      <w:r>
        <w:rPr>
          <w:rFonts w:ascii="Arial Narrow" w:cs="Arial Narrow" w:eastAsia="Arial Narrow" w:hAnsi="Arial Narrow"/>
          <w:sz w:val="22"/>
          <w:szCs w:val="22"/>
        </w:rPr>
        <w:t xml:space="preserve">(1), 5–32. https://doi.org/10.1023/A:1010933404324</w:t>
      </w:r>
    </w:p>
    <w:p>
      <w:pPr>
        <w:spacing w:after="100" w:line="276"/>
        <w:jc w:val="both"/>
      </w:pPr>
      <w:r>
        <w:rPr>
          <w:rFonts w:ascii="Arial Narrow" w:cs="Arial Narrow" w:eastAsia="Arial Narrow" w:hAnsi="Arial Narrow"/>
          <w:sz w:val="22"/>
          <w:szCs w:val="22"/>
        </w:rPr>
        <w:t xml:space="preserve">Chapman, P., Clinton, J., Kerber, R., Khabaza, T., Reinartz, T., Shearer, C., &amp; Wirth, R. (2000). </w:t>
      </w:r>
      <w:r>
        <w:rPr>
          <w:rFonts w:ascii="Arial Narrow" w:cs="Arial Narrow" w:eastAsia="Arial Narrow" w:hAnsi="Arial Narrow"/>
          <w:i/>
          <w:iCs/>
          <w:sz w:val="22"/>
          <w:szCs w:val="22"/>
        </w:rPr>
        <w:t xml:space="preserve">CRISP-DM 1.0: Step-by-step data mining guide</w:t>
      </w:r>
      <w:r>
        <w:rPr>
          <w:rFonts w:ascii="Arial Narrow" w:cs="Arial Narrow" w:eastAsia="Arial Narrow" w:hAnsi="Arial Narrow"/>
          <w:sz w:val="22"/>
          <w:szCs w:val="22"/>
        </w:rPr>
        <w:t xml:space="preserve">. SPSS.</w:t>
      </w:r>
    </w:p>
    <w:p>
      <w:pPr>
        <w:spacing w:after="100" w:line="276"/>
        <w:jc w:val="both"/>
      </w:pPr>
      <w:r>
        <w:rPr>
          <w:rFonts w:ascii="Arial Narrow" w:cs="Arial Narrow" w:eastAsia="Arial Narrow" w:hAnsi="Arial Narrow"/>
          <w:sz w:val="22"/>
          <w:szCs w:val="22"/>
        </w:rPr>
        <w:t xml:space="preserve">Congreso de Colombia. (2002). </w:t>
      </w:r>
      <w:r>
        <w:rPr>
          <w:rFonts w:ascii="Arial Narrow" w:cs="Arial Narrow" w:eastAsia="Arial Narrow" w:hAnsi="Arial Narrow"/>
          <w:i/>
          <w:iCs/>
          <w:sz w:val="22"/>
          <w:szCs w:val="22"/>
        </w:rPr>
        <w:t xml:space="preserve">Ley 756 de 2002, por la cual se modifica la Ley 141 de 1994</w:t>
      </w:r>
      <w:r>
        <w:rPr>
          <w:rFonts w:ascii="Arial Narrow" w:cs="Arial Narrow" w:eastAsia="Arial Narrow" w:hAnsi="Arial Narrow"/>
          <w:sz w:val="22"/>
          <w:szCs w:val="22"/>
        </w:rPr>
        <w:t xml:space="preserve">. Diario Oficial 44.878.</w:t>
      </w:r>
    </w:p>
    <w:p>
      <w:pPr>
        <w:spacing w:after="100" w:line="276"/>
        <w:jc w:val="both"/>
      </w:pPr>
      <w:r>
        <w:rPr>
          <w:rFonts w:ascii="Arial Narrow" w:cs="Arial Narrow" w:eastAsia="Arial Narrow" w:hAnsi="Arial Narrow"/>
          <w:sz w:val="22"/>
          <w:szCs w:val="22"/>
        </w:rPr>
        <w:t xml:space="preserve">Duan, N. (1983). Smearing estimate: A nonparametric retransformation method. </w:t>
      </w:r>
      <w:r>
        <w:rPr>
          <w:rFonts w:ascii="Arial Narrow" w:cs="Arial Narrow" w:eastAsia="Arial Narrow" w:hAnsi="Arial Narrow"/>
          <w:i/>
          <w:iCs/>
          <w:sz w:val="22"/>
          <w:szCs w:val="22"/>
        </w:rPr>
        <w:t xml:space="preserve">Journal of the American Statistical Association, 78</w:t>
      </w:r>
      <w:r>
        <w:rPr>
          <w:rFonts w:ascii="Arial Narrow" w:cs="Arial Narrow" w:eastAsia="Arial Narrow" w:hAnsi="Arial Narrow"/>
          <w:sz w:val="22"/>
          <w:szCs w:val="22"/>
        </w:rPr>
        <w:t xml:space="preserve">(383), 605–610.</w:t>
      </w:r>
    </w:p>
    <w:p>
      <w:pPr>
        <w:spacing w:after="100" w:line="276"/>
        <w:jc w:val="both"/>
      </w:pPr>
      <w:r>
        <w:rPr>
          <w:rFonts w:ascii="Arial Narrow" w:cs="Arial Narrow" w:eastAsia="Arial Narrow" w:hAnsi="Arial Narrow"/>
          <w:sz w:val="22"/>
          <w:szCs w:val="22"/>
        </w:rPr>
        <w:t xml:space="preserve">Hyndman, R. J., &amp; Athanasopoulos, G. (2021). </w:t>
      </w:r>
      <w:r>
        <w:rPr>
          <w:rFonts w:ascii="Arial Narrow" w:cs="Arial Narrow" w:eastAsia="Arial Narrow" w:hAnsi="Arial Narrow"/>
          <w:i/>
          <w:iCs/>
          <w:sz w:val="22"/>
          <w:szCs w:val="22"/>
        </w:rPr>
        <w:t xml:space="preserve">Forecasting: Principles and practice</w:t>
      </w:r>
      <w:r>
        <w:rPr>
          <w:rFonts w:ascii="Arial Narrow" w:cs="Arial Narrow" w:eastAsia="Arial Narrow" w:hAnsi="Arial Narrow"/>
          <w:sz w:val="22"/>
          <w:szCs w:val="22"/>
        </w:rPr>
        <w:t xml:space="preserve"> (3.ª ed.). OTexts. https://otexts.com/fpp3/</w:t>
      </w:r>
    </w:p>
    <w:p>
      <w:pPr>
        <w:spacing w:after="100" w:line="276"/>
        <w:jc w:val="both"/>
      </w:pPr>
      <w:r>
        <w:rPr>
          <w:rFonts w:ascii="Arial Narrow" w:cs="Arial Narrow" w:eastAsia="Arial Narrow" w:hAnsi="Arial Narrow"/>
          <w:sz w:val="22"/>
          <w:szCs w:val="22"/>
        </w:rPr>
        <w:t xml:space="preserve">Pedregosa, F., Varoquaux, G., Gramfort, A., Michel, V., Thirion, B., Grisel, O., … Duchesnay, É. (2011). Scikit-learn: Machine learning in Python. </w:t>
      </w:r>
      <w:r>
        <w:rPr>
          <w:rFonts w:ascii="Arial Narrow" w:cs="Arial Narrow" w:eastAsia="Arial Narrow" w:hAnsi="Arial Narrow"/>
          <w:i/>
          <w:iCs/>
          <w:sz w:val="22"/>
          <w:szCs w:val="22"/>
        </w:rPr>
        <w:t xml:space="preserve">Journal of Machine Learning Research, 12</w:t>
      </w:r>
      <w:r>
        <w:rPr>
          <w:rFonts w:ascii="Arial Narrow" w:cs="Arial Narrow" w:eastAsia="Arial Narrow" w:hAnsi="Arial Narrow"/>
          <w:sz w:val="22"/>
          <w:szCs w:val="22"/>
        </w:rPr>
        <w:t xml:space="preserve">, 2825–2830.</w:t>
      </w:r>
    </w:p>
    <w:p>
      <w:pPr>
        <w:spacing w:after="100" w:line="276"/>
        <w:jc w:val="both"/>
      </w:pPr>
      <w:r>
        <w:rPr>
          <w:rFonts w:ascii="Arial Narrow" w:cs="Arial Narrow" w:eastAsia="Arial Narrow" w:hAnsi="Arial Narrow"/>
          <w:sz w:val="22"/>
          <w:szCs w:val="22"/>
        </w:rPr>
        <w:t xml:space="preserve">U.S. Energy Information Administration. (2026). </w:t>
      </w:r>
      <w:r>
        <w:rPr>
          <w:rFonts w:ascii="Arial Narrow" w:cs="Arial Narrow" w:eastAsia="Arial Narrow" w:hAnsi="Arial Narrow"/>
          <w:i/>
          <w:iCs/>
          <w:sz w:val="22"/>
          <w:szCs w:val="22"/>
        </w:rPr>
        <w:t xml:space="preserve">Europe Brent spot price FOB; Cushing, OK WTI spot price FOB</w:t>
      </w:r>
      <w:r>
        <w:rPr>
          <w:rFonts w:ascii="Arial Narrow" w:cs="Arial Narrow" w:eastAsia="Arial Narrow" w:hAnsi="Arial Narrow"/>
          <w:sz w:val="22"/>
          <w:szCs w:val="22"/>
        </w:rPr>
        <w:t xml:space="preserve"> [Conjunto de datos]. https://www.eia.gov/dnav/pet/pet_pri_spt_s1_m.htm</w:t>
      </w:r>
    </w:p>
    <w:p>
      <w:pPr>
        <w:spacing w:after="100" w:line="276"/>
        <w:jc w:val="both"/>
      </w:pPr>
      <w:r>
        <w:rPr>
          <w:rFonts w:ascii="Arial Narrow" w:cs="Arial Narrow" w:eastAsia="Arial Narrow" w:hAnsi="Arial Narrow"/>
          <w:sz w:val="22"/>
          <w:szCs w:val="22"/>
        </w:rPr>
        <w:t xml:space="preserve">U.S. Energy Information Administration. (2026, 6 de octubre). </w:t>
      </w:r>
      <w:r>
        <w:rPr>
          <w:rFonts w:ascii="Arial Narrow" w:cs="Arial Narrow" w:eastAsia="Arial Narrow" w:hAnsi="Arial Narrow"/>
          <w:i/>
          <w:iCs/>
          <w:sz w:val="22"/>
          <w:szCs w:val="22"/>
        </w:rPr>
        <w:t xml:space="preserve">Short-term energy outlook</w:t>
      </w:r>
      <w:r>
        <w:rPr>
          <w:rFonts w:ascii="Arial Narrow" w:cs="Arial Narrow" w:eastAsia="Arial Narrow" w:hAnsi="Arial Narrow"/>
          <w:sz w:val="22"/>
          <w:szCs w:val="22"/>
        </w:rPr>
        <w:t xml:space="preserve">. https://www.eia.gov/outlooks/steo/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Narrow" w:cs="Arial Narrow" w:eastAsia="Arial Narrow" w:hAnsi="Arial Narrow"/>
        <w:color w:val="404040"/>
        <w:sz w:val="22"/>
        <w:szCs w:val="22"/>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76"/>
      <w:jc w:val="right"/>
    </w:pPr>
    <w:r>
      <w:rPr>
        <w:rFonts w:ascii="Arial Narrow" w:cs="Arial Narrow" w:eastAsia="Arial Narrow" w:hAnsi="Arial Narrow"/>
        <w:color w:val="404040"/>
        <w:sz w:val="22"/>
        <w:szCs w:val="22"/>
      </w:rPr>
      <w:t xml:space="preserve">PFI · Producción, Reservas 1P y regalías de petróleo · CRISP-DM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Narrow" w:cs="Arial Narrow" w:eastAsia="Arial Narrow" w:hAnsi="Arial Narrow"/>
      <w:b/>
      <w:bCs/>
      <w:color w:val="000000"/>
      <w:sz w:val="30"/>
      <w:szCs w:val="30"/>
    </w:rPr>
  </w:style>
  <w:style w:type="paragraph" w:styleId="Heading2">
    <w:name w:val="Heading 2"/>
    <w:basedOn w:val="Normal"/>
    <w:next w:val="Normal"/>
    <w:qFormat/>
    <w:pPr>
      <w:outlineLvl w:val="1"/>
    </w:pPr>
    <w:rPr>
      <w:rFonts w:ascii="Arial Narrow" w:cs="Arial Narrow" w:eastAsia="Arial Narrow" w:hAnsi="Arial Narrow"/>
      <w:b/>
      <w:bCs/>
      <w:color w:val="000000"/>
      <w:sz w:val="24"/>
      <w:szCs w:val="24"/>
    </w:rPr>
  </w:style>
  <w:style w:type="paragraph" w:styleId="Heading3">
    <w:name w:val="Heading 3"/>
    <w:basedOn w:val="Normal"/>
    <w:next w:val="Normal"/>
    <w:qFormat/>
    <w:pPr>
      <w:outlineLvl w:val="2"/>
    </w:pPr>
    <w:rPr>
      <w:rFonts w:ascii="Arial Narrow" w:cs="Arial Narrow" w:eastAsia="Arial Narrow" w:hAnsi="Arial Narrow"/>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94b75981805211c791f9e7c5d941c9837a1d53.png"/><Relationship Id="rId10" Type="http://schemas.openxmlformats.org/officeDocument/2006/relationships/image" Target="media/996be66870a440f1a45c8a87732626ed419dc541.png"/><Relationship Id="rId11" Type="http://schemas.openxmlformats.org/officeDocument/2006/relationships/image" Target="media/7ad03bc52f2c21f6bce4d6bca6a60cbe211b281c.png"/><Relationship Id="rId12" Type="http://schemas.openxmlformats.org/officeDocument/2006/relationships/image" Target="media/b80305f2f6b1b2a1cfba70a3823cf70846b02f1b.png"/><Relationship Id="rId13" Type="http://schemas.openxmlformats.org/officeDocument/2006/relationships/image" Target="media/cd5cd1eb29988df232331aab2dc1f8dfa671e815.png"/><Relationship Id="rId14" Type="http://schemas.openxmlformats.org/officeDocument/2006/relationships/image" Target="media/8dca47b9f64050a8521ff6647f42e8e04da4e33f.png"/><Relationship Id="rId15" Type="http://schemas.openxmlformats.org/officeDocument/2006/relationships/image" Target="media/f09f44c7cdf23542dc709811a96d7a28b8f64dd6.png"/><Relationship Id="rId16" Type="http://schemas.openxmlformats.org/officeDocument/2006/relationships/image" Target="media/7b001072e9e2b20e4d7bd3d85c93a5e62ac1ca51.png"/><Relationship Id="rId17" Type="http://schemas.openxmlformats.org/officeDocument/2006/relationships/image" Target="media/0c7db40d78dc8dd85323633428ea5760b3a2a3f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PFI — Reservas 1P y regalías</dc:title>
  <dc:creator>Rafael Fajardo Moreno</dc:creator>
  <dc:description>Informe técnico PFI — Reservas 1P y regalías</dc:description>
  <cp:lastModifiedBy>Un-named</cp:lastModifiedBy>
  <cp:revision>1</cp:revision>
  <dcterms:created xsi:type="dcterms:W3CDTF">2026-10-21T20:26:46.333Z</dcterms:created>
  <dcterms:modified xsi:type="dcterms:W3CDTF">2026-10-21T20:26:46.336Z</dcterms:modified>
</cp:coreProperties>
</file>

<file path=docProps/custom.xml><?xml version="1.0" encoding="utf-8"?>
<Properties xmlns="http://schemas.openxmlformats.org/officeDocument/2006/custom-properties" xmlns:vt="http://schemas.openxmlformats.org/officeDocument/2006/docPropsVTypes"/>
</file>