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Guía paso a paso: qué se hizo, cómo y por qué</w:t>
      </w:r>
    </w:p>
    <w:p>
      <w:pPr>
        <w:spacing w:after="40" w:line="276"/>
        <w:jc w:val="left"/>
      </w:pPr>
      <w:r>
        <w:rPr>
          <w:rFonts w:ascii="Arial Narrow" w:cs="Arial Narrow" w:eastAsia="Arial Narrow" w:hAnsi="Arial Narrow"/>
          <w:color w:val="404040"/>
          <w:sz w:val="22"/>
          <w:szCs w:val="22"/>
        </w:rPr>
        <w:t xml:space="preserve">Proyecto Final Integrador · Producción anual y diaria de las Reservas 1P de Colombia y regalías esperadas (WTI y Brent)</w:t>
      </w:r>
    </w:p>
    <w:p>
      <w:pPr>
        <w:spacing w:after="40" w:line="276"/>
        <w:jc w:val="left"/>
      </w:pPr>
      <w:r>
        <w:rPr>
          <w:rFonts w:ascii="Arial Narrow" w:cs="Arial Narrow" w:eastAsia="Arial Narrow" w:hAnsi="Arial Narrow"/>
          <w:color w:val="404040"/>
          <w:sz w:val="22"/>
          <w:szCs w:val="22"/>
        </w:rPr>
        <w:t xml:space="preserve">Integrantes: Rafael Fajardo Moreno, Sonia Catalina Martinez Herrera y Laura Marcela Garnica Tapia · Octubre de 2026</w:t>
      </w:r>
    </w:p>
    <w:p>
      <w:pPr>
        <w:pStyle w:val="Heading1"/>
        <w:keepNext/>
        <w:spacing w:after="120" w:before="240"/>
      </w:pPr>
      <w:r>
        <w:rPr>
          <w:rFonts w:ascii="Arial Narrow" w:cs="Arial Narrow" w:eastAsia="Arial Narrow" w:hAnsi="Arial Narrow"/>
          <w:b/>
          <w:bCs/>
          <w:color w:val="000000"/>
          <w:sz w:val="30"/>
          <w:szCs w:val="30"/>
        </w:rPr>
        <w:t xml:space="preserve">0. Cómo leer esta guía</w:t>
      </w:r>
    </w:p>
    <w:p>
      <w:pPr>
        <w:spacing w:after="100" w:line="276"/>
        <w:jc w:val="both"/>
      </w:pPr>
      <w:r>
        <w:rPr>
          <w:rFonts w:ascii="Arial Narrow" w:cs="Arial Narrow" w:eastAsia="Arial Narrow" w:hAnsi="Arial Narrow"/>
          <w:sz w:val="22"/>
          <w:szCs w:val="22"/>
        </w:rPr>
        <w:t xml:space="preserve">Esta guía explica, en orden y sin suponer conocimientos previos de aprendizaje automático, cada paso del proyecto: qué se hizo, cómo se hizo, por qué se hizo así y qué alternativas se descartaron. Sigue las fases de CRISP-DM (comprensión del negocio, comprensión de los datos, preparación, modelado, evaluación y despliegue). Cada paso remite a la sección del cuaderno </w:t>
      </w:r>
      <w:r>
        <w:rPr>
          <w:rFonts w:ascii="Arial Narrow" w:cs="Arial Narrow" w:eastAsia="Arial Narrow" w:hAnsi="Arial Narrow"/>
          <w:b/>
          <w:bCs/>
          <w:sz w:val="22"/>
          <w:szCs w:val="22"/>
        </w:rPr>
        <w:t xml:space="preserve">cuaderno_PFI.ipynb</w:t>
      </w:r>
      <w:r>
        <w:rPr>
          <w:rFonts w:ascii="Arial Narrow" w:cs="Arial Narrow" w:eastAsia="Arial Narrow" w:hAnsi="Arial Narrow"/>
          <w:sz w:val="22"/>
          <w:szCs w:val="22"/>
        </w:rPr>
        <w:t xml:space="preserve"> donde está el código, para que cualquier persona pueda reproducirlo. Al final hay una tabla con todas las decisiones, una sección de preguntas frecuentes y un glosario.</w:t>
      </w:r>
    </w:p>
    <w:p>
      <w:pPr>
        <w:pStyle w:val="Heading2"/>
        <w:keepNext/>
        <w:spacing w:after="80" w:before="160"/>
      </w:pPr>
      <w:r>
        <w:rPr>
          <w:rFonts w:ascii="Arial Narrow" w:cs="Arial Narrow" w:eastAsia="Arial Narrow" w:hAnsi="Arial Narrow"/>
          <w:b/>
          <w:bCs/>
          <w:color w:val="000000"/>
          <w:sz w:val="24"/>
          <w:szCs w:val="24"/>
        </w:rPr>
        <w:t xml:space="preserve">0.1 Términos y condiciones de uso</w:t>
      </w:r>
    </w:p>
    <w:p>
      <w:pPr>
        <w:spacing w:after="100" w:line="276"/>
        <w:jc w:val="both"/>
      </w:pPr>
      <w:r>
        <w:rPr>
          <w:rFonts w:ascii="Arial Narrow" w:cs="Arial Narrow" w:eastAsia="Arial Narrow" w:hAnsi="Arial Narrow"/>
          <w:sz w:val="22"/>
          <w:szCs w:val="22"/>
        </w:rPr>
        <w:t xml:space="preserve">Los datos son de </w:t>
      </w:r>
      <w:r>
        <w:rPr>
          <w:rFonts w:ascii="Arial Narrow" w:cs="Arial Narrow" w:eastAsia="Arial Narrow" w:hAnsi="Arial Narrow"/>
          <w:b/>
          <w:bCs/>
          <w:sz w:val="22"/>
          <w:szCs w:val="22"/>
        </w:rPr>
        <w:t xml:space="preserve">carácter reservado</w:t>
      </w:r>
      <w:r>
        <w:rPr>
          <w:rFonts w:ascii="Arial Narrow" w:cs="Arial Narrow" w:eastAsia="Arial Narrow" w:hAnsi="Arial Narrow"/>
          <w:sz w:val="22"/>
          <w:szCs w:val="22"/>
        </w:rPr>
        <w:t xml:space="preserve"> y tienen un </w:t>
      </w:r>
      <w:r>
        <w:rPr>
          <w:rFonts w:ascii="Arial Narrow" w:cs="Arial Narrow" w:eastAsia="Arial Narrow" w:hAnsi="Arial Narrow"/>
          <w:b/>
          <w:bCs/>
          <w:sz w:val="22"/>
          <w:szCs w:val="22"/>
        </w:rPr>
        <w:t xml:space="preserve">único uso académico</w:t>
      </w:r>
      <w:r>
        <w:rPr>
          <w:rFonts w:ascii="Arial Narrow" w:cs="Arial Narrow" w:eastAsia="Arial Narrow" w:hAnsi="Arial Narrow"/>
          <w:sz w:val="22"/>
          <w:szCs w:val="22"/>
        </w:rPr>
        <w:t xml:space="preserve">, en el marco de la </w:t>
      </w:r>
      <w:r>
        <w:rPr>
          <w:rFonts w:ascii="Arial Narrow" w:cs="Arial Narrow" w:eastAsia="Arial Narrow" w:hAnsi="Arial Narrow"/>
          <w:b/>
          <w:bCs/>
          <w:sz w:val="22"/>
          <w:szCs w:val="22"/>
        </w:rPr>
        <w:t xml:space="preserve">Especialización en Machine Learning de la Universidad EAN (2026)</w:t>
      </w:r>
      <w:r>
        <w:rPr>
          <w:rFonts w:ascii="Arial Narrow" w:cs="Arial Narrow" w:eastAsia="Arial Narrow" w:hAnsi="Arial Narrow"/>
          <w:sz w:val="22"/>
          <w:szCs w:val="22"/>
        </w:rPr>
        <w:t xml:space="preserve">. Está </w:t>
      </w:r>
      <w:r>
        <w:rPr>
          <w:rFonts w:ascii="Arial Narrow" w:cs="Arial Narrow" w:eastAsia="Arial Narrow" w:hAnsi="Arial Narrow"/>
          <w:b/>
          <w:bCs/>
          <w:sz w:val="22"/>
          <w:szCs w:val="22"/>
        </w:rPr>
        <w:t xml:space="preserve">prohibido el uso, la distribución, la copia o la mejora, total o parcial</w:t>
      </w:r>
      <w:r>
        <w:rPr>
          <w:rFonts w:ascii="Arial Narrow" w:cs="Arial Narrow" w:eastAsia="Arial Narrow" w:hAnsi="Arial Narrow"/>
          <w:sz w:val="22"/>
          <w:szCs w:val="22"/>
        </w:rPr>
        <w:t xml:space="preserve">. Solo se tiene en cuenta el </w:t>
      </w:r>
      <w:r>
        <w:rPr>
          <w:rFonts w:ascii="Arial Narrow" w:cs="Arial Narrow" w:eastAsia="Arial Narrow" w:hAnsi="Arial Narrow"/>
          <w:b/>
          <w:bCs/>
          <w:sz w:val="22"/>
          <w:szCs w:val="22"/>
        </w:rPr>
        <w:t xml:space="preserve">pronóstico de desarrollo de reservas del IRR 2024</w:t>
      </w:r>
      <w:r>
        <w:rPr>
          <w:rFonts w:ascii="Arial Narrow" w:cs="Arial Narrow" w:eastAsia="Arial Narrow" w:hAnsi="Arial Narrow"/>
          <w:sz w:val="22"/>
          <w:szCs w:val="22"/>
        </w:rPr>
        <w:t xml:space="preserve">, sin contemplar la migración de reservas 2P y 3P ni la evolución de recursos contingentes. El aplicativo muestra estos términos al abrirse y solo deja seguir a quien marca que los acepta; después pide una </w:t>
      </w:r>
      <w:r>
        <w:rPr>
          <w:rFonts w:ascii="Arial Narrow" w:cs="Arial Narrow" w:eastAsia="Arial Narrow" w:hAnsi="Arial Narrow"/>
          <w:b/>
          <w:bCs/>
          <w:sz w:val="22"/>
          <w:szCs w:val="22"/>
        </w:rPr>
        <w:t xml:space="preserve">contraseña</w:t>
      </w:r>
      <w:r>
        <w:rPr>
          <w:rFonts w:ascii="Arial Narrow" w:cs="Arial Narrow" w:eastAsia="Arial Narrow" w:hAnsi="Arial Narrow"/>
          <w:sz w:val="22"/>
          <w:szCs w:val="22"/>
        </w:rPr>
        <w:t xml:space="preserve">, que se solicita a rafajard53009@universidadean.edu.co.</w:t>
      </w:r>
    </w:p>
    <w:p>
      <w:pPr>
        <w:spacing w:after="100" w:line="276"/>
        <w:jc w:val="both"/>
      </w:pPr>
      <w:r>
        <w:rPr>
          <w:rFonts w:ascii="Arial Narrow" w:cs="Arial Narrow" w:eastAsia="Arial Narrow" w:hAnsi="Arial Narrow"/>
          <w:b/>
          <w:bCs/>
          <w:sz w:val="22"/>
          <w:szCs w:val="22"/>
        </w:rPr>
        <w:t xml:space="preserve">Datos anonimizados.</w:t>
      </w:r>
      <w:r>
        <w:rPr>
          <w:rFonts w:ascii="Arial Narrow" w:cs="Arial Narrow" w:eastAsia="Arial Narrow" w:hAnsi="Arial Narrow"/>
          <w:sz w:val="22"/>
          <w:szCs w:val="22"/>
        </w:rPr>
        <w:t xml:space="preserve"> Como el repositorio de GitHub es público, en </w:t>
      </w:r>
      <w:r>
        <w:rPr>
          <w:rFonts w:ascii="Arial Narrow" w:cs="Arial Narrow" w:eastAsia="Arial Narrow" w:hAnsi="Arial Narrow"/>
          <w:b/>
          <w:bCs/>
          <w:sz w:val="22"/>
          <w:szCs w:val="22"/>
        </w:rPr>
        <w:t xml:space="preserve">datos_crudos/</w:t>
      </w:r>
      <w:r>
        <w:rPr>
          <w:rFonts w:ascii="Arial Narrow" w:cs="Arial Narrow" w:eastAsia="Arial Narrow" w:hAnsi="Arial Narrow"/>
          <w:sz w:val="22"/>
          <w:szCs w:val="22"/>
        </w:rPr>
        <w:t xml:space="preserve"> los nombres de los campos se reemplazaron por Campo_001, Campo_002… (397 campos) y los nombres de los contratos por Contrato_001… (135; 41 contratos se llamaban igual que su campo). La numeración sigue el orden alfabético original con tres dígitos, de modo que todos los resultados del cuaderno son idénticos a los obtenidos con los nombres reales. La tabla de correspondencia se guarda aparte, fuera del repositorio. Operadoras, departamentos y municipios se conservan.</w:t>
      </w:r>
    </w:p>
    <w:p>
      <w:pPr>
        <w:pStyle w:val="Heading2"/>
        <w:keepNext/>
        <w:spacing w:after="80" w:before="160"/>
      </w:pPr>
      <w:r>
        <w:rPr>
          <w:rFonts w:ascii="Arial Narrow" w:cs="Arial Narrow" w:eastAsia="Arial Narrow" w:hAnsi="Arial Narrow"/>
          <w:b/>
          <w:bCs/>
          <w:color w:val="000000"/>
          <w:sz w:val="24"/>
          <w:szCs w:val="24"/>
        </w:rPr>
        <w:t xml:space="preserve">0.2 Mapas para estudiar</w:t>
      </w:r>
    </w:p>
    <w:p>
      <w:pPr>
        <w:spacing w:after="100" w:line="276"/>
        <w:jc w:val="both"/>
      </w:pPr>
      <w:r>
        <w:rPr>
          <w:rFonts w:ascii="Arial Narrow" w:cs="Arial Narrow" w:eastAsia="Arial Narrow" w:hAnsi="Arial Narrow"/>
          <w:sz w:val="22"/>
          <w:szCs w:val="22"/>
        </w:rPr>
        <w:t xml:space="preserve">El mapa mental muestra todo el proyecto en una vista: en el centro la pregunta, en cada rama una parte del trabajo y en las hojas los conceptos clave. El mapa conceptual muestra cómo se conectan esos conceptos: cada flecha dice qué relación hay entre dos de ellos y se lee en voz alta («Excel contiene Reservas 1P, 2P y 3P, que aportan las variables ex ante, que describen el conjunto campo-año, que entrena los modelos…»). La versión interactiva de esta guía (artefacto «Guía de estudio PFI») tiene ambos mapas con hipervínculos: cada nodo lleva a su explicación, con ejemplos, métricas, autoevaluación y glosario.</w:t>
      </w:r>
    </w:p>
    <w:p>
      <w:pPr>
        <w:keepNext/>
        <w:spacing w:after="40"/>
        <w:jc w:val="center"/>
      </w:pPr>
      <w:r>
        <w:drawing>
          <wp:inline distT="0" distB="0" distL="0" distR="0">
            <wp:extent cx="5943600" cy="4352925"/>
            <wp:effectExtent t="0" r="0" b="0" l="0"/>
            <wp:docPr id="1" name="figura" descr="Figura 0a. Mapa mental del proyecto." title="Figura 0a. Mapa mental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529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0a. Mapa mental del proyecto.</w:t>
      </w:r>
    </w:p>
    <w:p>
      <w:pPr>
        <w:keepNext/>
        <w:spacing w:after="40"/>
        <w:jc w:val="center"/>
      </w:pPr>
      <w:r>
        <w:drawing>
          <wp:inline distT="0" distB="0" distL="0" distR="0">
            <wp:extent cx="5943600" cy="4219575"/>
            <wp:effectExtent t="0" r="0" b="0" l="0"/>
            <wp:docPr id="1" name="figura" descr="Figura 0b. Mapa conceptual: relaciones entre datos, preparación, modelos, métricas, pronóstico, regalías y aplicativo." title="Figura 0b. Mapa conceptual: relaciones entre datos, preparación, modelos, métricas, pronóstico, regalías y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195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0b. Mapa conceptual: relaciones entre datos, preparación, modelos, métricas, pronóstico, regalías y aplicativo.</w:t>
      </w:r>
    </w:p>
    <w:p>
      <w:pPr>
        <w:spacing w:after="100" w:line="276"/>
        <w:jc w:val="both"/>
      </w:pPr>
      <w:r>
        <w:rPr>
          <w:rFonts w:ascii="Arial Narrow" w:cs="Arial Narrow" w:eastAsia="Arial Narrow" w:hAnsi="Arial Narrow"/>
          <w:b/>
          <w:bCs/>
          <w:sz w:val="22"/>
          <w:szCs w:val="22"/>
        </w:rPr>
        <w:t xml:space="preserve">Ruta de estudio sugerida.</w:t>
      </w:r>
      <w:r>
        <w:rPr>
          <w:rFonts w:ascii="Arial Narrow" w:cs="Arial Narrow" w:eastAsia="Arial Narrow" w:hAnsi="Arial Narrow"/>
          <w:sz w:val="22"/>
          <w:szCs w:val="22"/>
        </w:rPr>
        <w:t xml:space="preserve"> (1) Leer el mapa mental: primero las ramas de la derecha, de arriba abajo, y luego las de la izquierda; (2) seguir el mapa conceptual de arriba hacia abajo; (3) leer los pasos 1 a 10 de esta guía; (4) repasar las preguntas frecuentes (sección 16) y responder la autoevaluación de la versión interactiva; (5) repasar el glosario (sección 17).</w:t>
      </w:r>
    </w:p>
    <w:p>
      <w:pPr>
        <w:spacing w:after="100" w:line="276"/>
        <w:jc w:val="both"/>
      </w:pPr>
      <w:r>
        <w:rPr>
          <w:rFonts w:ascii="Arial Narrow" w:cs="Arial Narrow" w:eastAsia="Arial Narrow" w:hAnsi="Arial Narrow"/>
          <w:b/>
          <w:bCs/>
          <w:sz w:val="22"/>
          <w:szCs w:val="22"/>
        </w:rPr>
        <w:t xml:space="preserve">Contenido:</w:t>
      </w:r>
      <w:r>
        <w:rPr>
          <w:rFonts w:ascii="Arial Narrow" w:cs="Arial Narrow" w:eastAsia="Arial Narrow" w:hAnsi="Arial Narrow"/>
          <w:sz w:val="22"/>
          <w:szCs w:val="22"/>
        </w:rPr>
        <w:t xml:space="preserve"> 1. Visión general · 2. Comprensión del negocio · 3. Los datos · 4. Precios WTI y Brent · 5. Preparación y diseño sin fuga · 6. Modelos · 7. Evaluación y umbral · 8. Segmentos (no supervisado) · 9. Pronóstico 2026-2060 · 10. Regalías · 11. El aplicativo local · 12. Cómo reproducir todo · 13. Entrega y GitHub · 14. Registro de decisiones · 15. Limitaciones · 16. Preguntas frecuentes · 17. Glosario.</w:t>
      </w:r>
    </w:p>
    <w:p>
      <w:pPr>
        <w:pStyle w:val="Heading1"/>
        <w:keepNext/>
        <w:spacing w:after="120" w:before="240"/>
      </w:pPr>
      <w:r>
        <w:rPr>
          <w:rFonts w:ascii="Arial Narrow" w:cs="Arial Narrow" w:eastAsia="Arial Narrow" w:hAnsi="Arial Narrow"/>
          <w:b/>
          <w:bCs/>
          <w:color w:val="000000"/>
          <w:sz w:val="30"/>
          <w:szCs w:val="30"/>
        </w:rPr>
        <w:t xml:space="preserve">1. Visión general</w:t>
      </w:r>
    </w:p>
    <w:p>
      <w:pPr>
        <w:spacing w:after="100" w:line="276"/>
        <w:jc w:val="both"/>
      </w:pPr>
      <w:r>
        <w:rPr>
          <w:rFonts w:ascii="Arial Narrow" w:cs="Arial Narrow" w:eastAsia="Arial Narrow" w:hAnsi="Arial Narrow"/>
          <w:b/>
          <w:bCs/>
          <w:sz w:val="22"/>
          <w:szCs w:val="22"/>
        </w:rPr>
        <w:t xml:space="preserve">Pregunta:</w:t>
      </w:r>
      <w:r>
        <w:rPr>
          <w:rFonts w:ascii="Arial Narrow" w:cs="Arial Narrow" w:eastAsia="Arial Narrow" w:hAnsi="Arial Narrow"/>
          <w:sz w:val="22"/>
          <w:szCs w:val="22"/>
        </w:rPr>
        <w:t xml:space="preserve"> ¿cómo se comporta la producción anual y diaria de las Reservas 1P de Colombia y cuánto se espera recibir por regalías cada año, según los indicadores de referencia WTI y Brent?</w:t>
      </w:r>
    </w:p>
    <w:p>
      <w:pPr>
        <w:spacing w:after="100" w:line="276"/>
        <w:jc w:val="both"/>
      </w:pPr>
      <w:r>
        <w:rPr>
          <w:rFonts w:ascii="Arial Narrow" w:cs="Arial Narrow" w:eastAsia="Arial Narrow" w:hAnsi="Arial Narrow"/>
          <w:b/>
          <w:bCs/>
          <w:sz w:val="22"/>
          <w:szCs w:val="22"/>
        </w:rPr>
        <w:t xml:space="preserve">Respuesta corta:</w:t>
      </w:r>
      <w:r>
        <w:rPr>
          <w:rFonts w:ascii="Arial Narrow" w:cs="Arial Narrow" w:eastAsia="Arial Narrow" w:hAnsi="Arial Narrow"/>
          <w:sz w:val="22"/>
          <w:szCs w:val="22"/>
        </w:rPr>
        <w:t xml:space="preserve"> la producción nacional pasa de 746 mil barriles por día en 2025 a 724 mil en 2026 y 535 mil en 2027, y sigue el declive de la 1P después. Las regalías de 2026 calculadas a partir de la producción son unos 27,9 millones de barriles: USD 2.368 millones a WTI o USD 2.599 millones a Brent. El aplicativo da la cifra para cualquier año y desagregación.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4131"/>
        <w:gridCol w:w="2753"/>
      </w:tblGrid>
      <w:tr>
        <w:trPr>
          <w:tblHeader/>
        </w:trPr>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Entregable</w:t>
            </w:r>
          </w:p>
        </w:tc>
        <w:tc>
          <w:tcPr>
            <w:tcW w:type="dxa" w:w="413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es</w:t>
            </w:r>
          </w:p>
        </w:tc>
        <w:tc>
          <w:tcPr>
            <w:tcW w:type="dxa" w:w="275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Dónde</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informe_PFI (Word y PDF)</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Informe técnico de 6 secciones más anexos</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resumen_ejecutivo_EN (Word y PDF)</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Una página en inglés para quien decide</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guia_PFI (Word y PDF)</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Este documento</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cuaderno_PFI.ipynb</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Código reproducible de principio a fin</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ficha_datos.md</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Fuente, licencia, fecha, filas, columnas, tipos, faltantes y cita APA 7</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Raíz del proyecto y .zip</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datos_crudos/</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 Excel original y los precios mensuales</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Carpeta (única subcarpeta del .zip)</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app/app.py e iniciar_app.command</w:t>
            </w:r>
          </w:p>
        </w:tc>
        <w:tc>
          <w:tcPr>
            <w:tcW w:type="dxa" w:w="413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Aplicativo local y lanzador para Mac</w:t>
            </w:r>
          </w:p>
        </w:tc>
        <w:tc>
          <w:tcPr>
            <w:tcW w:type="dxa" w:w="27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Repositorio / carpeta del proyecto</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artefactos/</w:t>
            </w:r>
          </w:p>
        </w:tc>
        <w:tc>
          <w:tcPr>
            <w:tcW w:type="dxa" w:w="413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Resultados del cuaderno que lee el aplicativo</w:t>
            </w:r>
          </w:p>
        </w:tc>
        <w:tc>
          <w:tcPr>
            <w:tcW w:type="dxa" w:w="27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Repositorio / carpeta del proyecto</w:t>
            </w:r>
          </w:p>
        </w:tc>
      </w:tr>
    </w:tbl>
    <w:p>
      <w:pPr>
        <w:spacing w:after="160" w:line="276"/>
        <w:jc w:val="center"/>
      </w:pPr>
      <w:r>
        <w:rPr>
          <w:rFonts w:ascii="Arial Narrow" w:cs="Arial Narrow" w:eastAsia="Arial Narrow" w:hAnsi="Arial Narrow"/>
          <w:i/>
          <w:iCs/>
          <w:color w:val="404040"/>
          <w:sz w:val="22"/>
          <w:szCs w:val="22"/>
        </w:rPr>
        <w:t xml:space="preserve">Tabla 1. Qué se entrega.</w:t>
      </w:r>
    </w:p>
    <w:p>
      <w:pPr>
        <w:shd w:fill="F2F2F2" w:val="clear"/>
        <w:spacing w:after="0"/>
      </w:pPr>
      <w:r>
        <w:rPr>
          <w:rFonts w:ascii="Arial Narrow" w:cs="Arial Narrow" w:eastAsia="Arial Narrow" w:hAnsi="Arial Narrow"/>
          <w:sz w:val="22"/>
          <w:szCs w:val="22"/>
        </w:rPr>
        <w:t xml:space="preserve">PFI_R1P_Regalias/</w:t>
      </w:r>
    </w:p>
    <w:p>
      <w:pPr>
        <w:shd w:fill="F2F2F2" w:val="clear"/>
        <w:spacing w:after="0"/>
      </w:pPr>
      <w:r>
        <w:rPr>
          <w:rFonts w:ascii="Arial Narrow" w:cs="Arial Narrow" w:eastAsia="Arial Narrow" w:hAnsi="Arial Narrow"/>
          <w:sz w:val="22"/>
          <w:szCs w:val="22"/>
        </w:rPr>
        <w:t xml:space="preserve">├── datos_crudos/            ← Excel original y precios EIA</w:t>
      </w:r>
    </w:p>
    <w:p>
      <w:pPr>
        <w:shd w:fill="F2F2F2" w:val="clear"/>
        <w:spacing w:after="0"/>
      </w:pPr>
      <w:r>
        <w:rPr>
          <w:rFonts w:ascii="Arial Narrow" w:cs="Arial Narrow" w:eastAsia="Arial Narrow" w:hAnsi="Arial Narrow"/>
          <w:sz w:val="22"/>
          <w:szCs w:val="22"/>
        </w:rPr>
        <w:t xml:space="preserve">├── cuaderno_PFI.ipynb       ← todo el análisis</w:t>
      </w:r>
    </w:p>
    <w:p>
      <w:pPr>
        <w:shd w:fill="F2F2F2" w:val="clear"/>
        <w:spacing w:after="0"/>
      </w:pPr>
      <w:r>
        <w:rPr>
          <w:rFonts w:ascii="Arial Narrow" w:cs="Arial Narrow" w:eastAsia="Arial Narrow" w:hAnsi="Arial Narrow"/>
          <w:sz w:val="22"/>
          <w:szCs w:val="22"/>
        </w:rPr>
        <w:t xml:space="preserve">├── artefactos/              ← salidas del cuaderno (tablas, figuras, modelo)</w:t>
      </w:r>
    </w:p>
    <w:p>
      <w:pPr>
        <w:shd w:fill="F2F2F2" w:val="clear"/>
        <w:spacing w:after="0"/>
      </w:pPr>
      <w:r>
        <w:rPr>
          <w:rFonts w:ascii="Arial Narrow" w:cs="Arial Narrow" w:eastAsia="Arial Narrow" w:hAnsi="Arial Narrow"/>
          <w:sz w:val="22"/>
          <w:szCs w:val="22"/>
        </w:rPr>
        <w:t xml:space="preserve">├── app/app.py               ← aplicativo Streamlit</w:t>
      </w:r>
    </w:p>
    <w:p>
      <w:pPr>
        <w:shd w:fill="F2F2F2" w:val="clear"/>
        <w:spacing w:after="0"/>
      </w:pPr>
      <w:r>
        <w:rPr>
          <w:rFonts w:ascii="Arial Narrow" w:cs="Arial Narrow" w:eastAsia="Arial Narrow" w:hAnsi="Arial Narrow"/>
          <w:sz w:val="22"/>
          <w:szCs w:val="22"/>
        </w:rPr>
        <w:t xml:space="preserve">├── iniciar_app.command      ← doble clic en Mac</w:t>
      </w:r>
    </w:p>
    <w:p>
      <w:pPr>
        <w:shd w:fill="F2F2F2" w:val="clear"/>
        <w:spacing w:after="0"/>
      </w:pPr>
      <w:r>
        <w:rPr>
          <w:rFonts w:ascii="Arial Narrow" w:cs="Arial Narrow" w:eastAsia="Arial Narrow" w:hAnsi="Arial Narrow"/>
          <w:sz w:val="22"/>
          <w:szCs w:val="22"/>
        </w:rPr>
        <w:t xml:space="preserve">├── informe_PFI.docx / .pdf</w:t>
      </w:r>
    </w:p>
    <w:p>
      <w:pPr>
        <w:shd w:fill="F2F2F2" w:val="clear"/>
        <w:spacing w:after="0"/>
      </w:pPr>
      <w:r>
        <w:rPr>
          <w:rFonts w:ascii="Arial Narrow" w:cs="Arial Narrow" w:eastAsia="Arial Narrow" w:hAnsi="Arial Narrow"/>
          <w:sz w:val="22"/>
          <w:szCs w:val="22"/>
        </w:rPr>
        <w:t xml:space="preserve">├── resumen_ejecutivo_EN.docx / .pdf</w:t>
      </w:r>
    </w:p>
    <w:p>
      <w:pPr>
        <w:shd w:fill="F2F2F2" w:val="clear"/>
        <w:spacing w:after="0"/>
      </w:pPr>
      <w:r>
        <w:rPr>
          <w:rFonts w:ascii="Arial Narrow" w:cs="Arial Narrow" w:eastAsia="Arial Narrow" w:hAnsi="Arial Narrow"/>
          <w:sz w:val="22"/>
          <w:szCs w:val="22"/>
        </w:rPr>
        <w:t xml:space="preserve">├── guia_PFI.docx / .pdf</w:t>
      </w:r>
    </w:p>
    <w:p>
      <w:pPr>
        <w:shd w:fill="F2F2F2" w:val="clear"/>
        <w:spacing w:after="0"/>
      </w:pPr>
      <w:r>
        <w:rPr>
          <w:rFonts w:ascii="Arial Narrow" w:cs="Arial Narrow" w:eastAsia="Arial Narrow" w:hAnsi="Arial Narrow"/>
          <w:sz w:val="22"/>
          <w:szCs w:val="22"/>
        </w:rPr>
        <w:t xml:space="preserve">├── ficha_datos.md</w:t>
      </w:r>
    </w:p>
    <w:p>
      <w:pPr>
        <w:shd w:fill="F2F2F2" w:val="clear"/>
        <w:spacing w:after="0"/>
      </w:pPr>
      <w:r>
        <w:rPr>
          <w:rFonts w:ascii="Arial Narrow" w:cs="Arial Narrow" w:eastAsia="Arial Narrow" w:hAnsi="Arial Narrow"/>
          <w:sz w:val="22"/>
          <w:szCs w:val="22"/>
        </w:rPr>
        <w:t xml:space="preserve">└── requirements.txt, README.md</w:t>
      </w:r>
    </w:p>
    <w:p>
      <w:pPr>
        <w:spacing w:after="60" w:line="276"/>
        <w:jc w:val="both"/>
      </w:pPr>
    </w:p>
    <w:p>
      <w:pPr>
        <w:pStyle w:val="Heading1"/>
        <w:keepNext/>
        <w:spacing w:after="120" w:before="240"/>
      </w:pPr>
      <w:r>
        <w:rPr>
          <w:rFonts w:ascii="Arial Narrow" w:cs="Arial Narrow" w:eastAsia="Arial Narrow" w:hAnsi="Arial Narrow"/>
          <w:b/>
          <w:bCs/>
          <w:color w:val="000000"/>
          <w:sz w:val="30"/>
          <w:szCs w:val="30"/>
        </w:rPr>
        <w:t xml:space="preserve">2. Paso 1 — Comprensión del negocio</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tradujo la pregunta a una decisión: cuántos barriles y cuántas regalías incluir por año en la planeación, y dónde hay riesgo de que la producción quede por debajo de lo proyectado. Se identificaron quién decide (MME, ANH, DNP), a quién afecta (departamentos y municipios productores, entidades que formulan proyectos, operadores) y cómo se mide el éxito.</w:t>
      </w:r>
    </w:p>
    <w:p>
      <w:pPr>
        <w:spacing w:after="100" w:line="276"/>
        <w:jc w:val="both"/>
      </w:pPr>
      <w:r>
        <w:rPr>
          <w:rFonts w:ascii="Arial Narrow" w:cs="Arial Narrow" w:eastAsia="Arial Narrow" w:hAnsi="Arial Narrow"/>
          <w:b/>
          <w:bCs/>
          <w:sz w:val="22"/>
          <w:szCs w:val="22"/>
        </w:rPr>
        <w:t xml:space="preserve">Por qué así.</w:t>
      </w:r>
      <w:r>
        <w:rPr>
          <w:rFonts w:ascii="Arial Narrow" w:cs="Arial Narrow" w:eastAsia="Arial Narrow" w:hAnsi="Arial Narrow"/>
          <w:sz w:val="22"/>
          <w:szCs w:val="22"/>
        </w:rPr>
        <w:t xml:space="preserve"> Un modelo solo es útil si cambia una decisión. Definir primero la decisión permitió escoger la métrica correcta (error en barriles, no en porcentaje simple) y la regla de negocio del tope 1P.</w:t>
      </w:r>
    </w:p>
    <w:p>
      <w:pPr>
        <w:pStyle w:val="ListParagraph"/>
        <w:numPr>
          <w:ilvl w:val="0"/>
          <w:numId w:val="2"/>
        </w:numPr>
        <w:spacing w:after="60"/>
        <w:jc w:val="both"/>
      </w:pPr>
      <w:r>
        <w:rPr>
          <w:rFonts w:ascii="Arial Narrow" w:cs="Arial Narrow" w:eastAsia="Arial Narrow" w:hAnsi="Arial Narrow"/>
          <w:b/>
          <w:bCs/>
          <w:sz w:val="22"/>
          <w:szCs w:val="22"/>
        </w:rPr>
        <w:t xml:space="preserve">Métrica 1:</w:t>
      </w:r>
      <w:r>
        <w:rPr>
          <w:rFonts w:ascii="Arial Narrow" w:cs="Arial Narrow" w:eastAsia="Arial Narrow" w:hAnsi="Arial Narrow"/>
          <w:sz w:val="22"/>
          <w:szCs w:val="22"/>
        </w:rPr>
        <w:t xml:space="preserve"> error ponderado por barriles por campo (WAPE) menor que el de usar la 1P tal cual. Es la prueba de valor frente a lo que se hace hoy.</w:t>
      </w:r>
    </w:p>
    <w:p>
      <w:pPr>
        <w:pStyle w:val="ListParagraph"/>
        <w:numPr>
          <w:ilvl w:val="0"/>
          <w:numId w:val="2"/>
        </w:numPr>
        <w:spacing w:after="60"/>
        <w:jc w:val="both"/>
      </w:pPr>
      <w:r>
        <w:rPr>
          <w:rFonts w:ascii="Arial Narrow" w:cs="Arial Narrow" w:eastAsia="Arial Narrow" w:hAnsi="Arial Narrow"/>
          <w:b/>
          <w:bCs/>
          <w:sz w:val="22"/>
          <w:szCs w:val="22"/>
        </w:rPr>
        <w:t xml:space="preserve">Métrica 2:</w:t>
      </w:r>
      <w:r>
        <w:rPr>
          <w:rFonts w:ascii="Arial Narrow" w:cs="Arial Narrow" w:eastAsia="Arial Narrow" w:hAnsi="Arial Narrow"/>
          <w:sz w:val="22"/>
          <w:szCs w:val="22"/>
        </w:rPr>
        <w:t xml:space="preserve"> sesgo del total país menor a ±5%. El presupuesto de regalías depende del total, y un sesgo positivo promete dinero que no llega.</w:t>
      </w:r>
    </w:p>
    <w:p>
      <w:pPr>
        <w:pStyle w:val="ListParagraph"/>
        <w:numPr>
          <w:ilvl w:val="0"/>
          <w:numId w:val="2"/>
        </w:numPr>
        <w:spacing w:after="60"/>
        <w:jc w:val="both"/>
      </w:pPr>
      <w:r>
        <w:rPr>
          <w:rFonts w:ascii="Arial Narrow" w:cs="Arial Narrow" w:eastAsia="Arial Narrow" w:hAnsi="Arial Narrow"/>
          <w:b/>
          <w:bCs/>
          <w:sz w:val="22"/>
          <w:szCs w:val="22"/>
        </w:rPr>
        <w:t xml:space="preserve">Alcance:</w:t>
      </w:r>
      <w:r>
        <w:rPr>
          <w:rFonts w:ascii="Arial Narrow" w:cs="Arial Narrow" w:eastAsia="Arial Narrow" w:hAnsi="Arial Narrow"/>
          <w:sz w:val="22"/>
          <w:szCs w:val="22"/>
        </w:rPr>
        <w:t xml:space="preserve"> solo el pronóstico de desarrollo de reservas del IRR 2024; no se modela la migración de reservas 2P y 3P a probadas ni la evolución de recursos contingentes. Por eso la senda desde 2027 es un piso conservador.</w:t>
      </w:r>
    </w:p>
    <w:p>
      <w:pPr>
        <w:pStyle w:val="ListParagraph"/>
        <w:numPr>
          <w:ilvl w:val="0"/>
          <w:numId w:val="2"/>
        </w:numPr>
        <w:spacing w:after="60"/>
        <w:jc w:val="both"/>
      </w:pPr>
      <w:r>
        <w:rPr>
          <w:rFonts w:ascii="Arial Narrow" w:cs="Arial Narrow" w:eastAsia="Arial Narrow" w:hAnsi="Arial Narrow"/>
          <w:b/>
          <w:bCs/>
          <w:sz w:val="22"/>
          <w:szCs w:val="22"/>
        </w:rPr>
        <w:t xml:space="preserve">Regla 3:</w:t>
      </w:r>
      <w:r>
        <w:rPr>
          <w:rFonts w:ascii="Arial Narrow" w:cs="Arial Narrow" w:eastAsia="Arial Narrow" w:hAnsi="Arial Narrow"/>
          <w:sz w:val="22"/>
          <w:szCs w:val="22"/>
        </w:rPr>
        <w:t xml:space="preserve"> después de 2026 el pronóstico de un campo nunca supera su Reserva 1P del año, y si el campo no tiene 1P se informa hasta qué año la tuvo (punto 5 del enunciado).</w:t>
      </w:r>
    </w:p>
    <w:p>
      <w:pPr>
        <w:spacing w:after="100" w:line="276"/>
        <w:jc w:val="both"/>
      </w:pPr>
      <w:r>
        <w:rPr>
          <w:rFonts w:ascii="Arial Narrow" w:cs="Arial Narrow" w:eastAsia="Arial Narrow" w:hAnsi="Arial Narrow"/>
          <w:b/>
          <w:bCs/>
          <w:sz w:val="22"/>
          <w:szCs w:val="22"/>
        </w:rPr>
        <w:t xml:space="preserve">Las cuatro instrucciones del enunciado y cómo se cumplen:</w:t>
      </w:r>
      <w:r>
        <w:rPr>
          <w:rFonts w:ascii="Arial Narrow" w:cs="Arial Narrow" w:eastAsia="Arial Narrow" w:hAnsi="Arial Narrow"/>
          <w:sz w:val="22"/>
          <w:szCs w:val="22"/>
        </w:rPr>
        <w:t xml:space="preserve"> (1) la Reserva 1P es el dato óptimo proyectado y la producción real sirve para aprender y evaluar → la 1P es variable y tope, y la producción real 2023-2026 es el objetivo y la prueba; (2) y (3) producción total y barriles por día por total país, campo, departamento, municipio, operadora y tipo de contrato con menú de selección → página Consulta del aplicativo; (4) regalías proyectadas y a partir de la producción con WTI o Brent, y pronosticado = 1P × precio → indicadores de la Consulta; (5) años posteriores a 2026 solo con campos con 1P, sin superarla, e indicando hasta qué año → regla del pronóstico y aviso del aplicativo; (6) precios de investing.com → ver sección 4.</w:t>
      </w:r>
    </w:p>
    <w:p>
      <w:pPr>
        <w:pStyle w:val="Heading1"/>
        <w:keepNext/>
        <w:spacing w:after="120" w:before="240"/>
      </w:pPr>
      <w:r>
        <w:rPr>
          <w:rFonts w:ascii="Arial Narrow" w:cs="Arial Narrow" w:eastAsia="Arial Narrow" w:hAnsi="Arial Narrow"/>
          <w:b/>
          <w:bCs/>
          <w:color w:val="000000"/>
          <w:sz w:val="30"/>
          <w:szCs w:val="30"/>
        </w:rPr>
        <w:t xml:space="preserve">3. Paso 2 — Los datos (cuaderno, sección 2)</w:t>
      </w:r>
    </w:p>
    <w:p>
      <w:pPr>
        <w:pStyle w:val="Heading2"/>
        <w:keepNext/>
        <w:spacing w:after="80" w:before="160"/>
      </w:pPr>
      <w:r>
        <w:rPr>
          <w:rFonts w:ascii="Arial Narrow" w:cs="Arial Narrow" w:eastAsia="Arial Narrow" w:hAnsi="Arial Narrow"/>
          <w:b/>
          <w:bCs/>
          <w:color w:val="000000"/>
          <w:sz w:val="24"/>
          <w:szCs w:val="24"/>
        </w:rPr>
        <w:t xml:space="preserve">3.1 Qué contiene el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4475"/>
        <w:gridCol w:w="2409"/>
      </w:tblGrid>
      <w:tr>
        <w:trPr>
          <w:tblHeader/>
        </w:trPr>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Hoja</w:t>
            </w:r>
          </w:p>
        </w:tc>
        <w:tc>
          <w:tcPr>
            <w:tcW w:type="dxa" w:w="447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Contenido</w:t>
            </w:r>
          </w:p>
        </w:tc>
        <w:tc>
          <w:tcPr>
            <w:tcW w:type="dxa" w:w="24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Uso en el proyecto</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1P_Oil_final_val_col_abr29 2024</w:t>
            </w:r>
          </w:p>
        </w:tc>
        <w:tc>
          <w:tcPr>
            <w:tcW w:type="dxa" w:w="447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 campos: atributos; Producción Bls y Producción Dia Bls 2023-2026; Reservas 1P (bl) 2024-2060</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Fuente principal</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Petróleo_1P Pronóstico</w:t>
            </w:r>
          </w:p>
        </w:tc>
        <w:tc>
          <w:tcPr>
            <w:tcW w:type="dxa" w:w="447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Operador, contrato y 1P por año de 320 campos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Verificar la 1P y completar operadora</w:t>
            </w:r>
          </w:p>
        </w:tc>
      </w:tr>
      <w:tr>
        <w:trPr>
          <w:cantSplit/>
        </w:trPr>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Petróleo_Prb</w:t>
            </w:r>
          </w:p>
        </w:tc>
        <w:tc>
          <w:tcPr>
            <w:tcW w:type="dxa" w:w="447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probables por campo y año (275 campos)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Variable de potencial adicional</w:t>
            </w:r>
          </w:p>
        </w:tc>
      </w:tr>
      <w:tr>
        <w:trPr>
          <w:cantSplit/>
        </w:trPr>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Petróleo_Ps</w:t>
            </w:r>
          </w:p>
        </w:tc>
        <w:tc>
          <w:tcPr>
            <w:tcW w:type="dxa" w:w="447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posibles por campo y año (262 campos)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Variable de potencial adicional</w:t>
            </w:r>
          </w:p>
        </w:tc>
      </w:tr>
    </w:tbl>
    <w:p>
      <w:pPr>
        <w:spacing w:after="160" w:line="276"/>
        <w:jc w:val="center"/>
      </w:pPr>
      <w:r>
        <w:rPr>
          <w:rFonts w:ascii="Arial Narrow" w:cs="Arial Narrow" w:eastAsia="Arial Narrow" w:hAnsi="Arial Narrow"/>
          <w:i/>
          <w:iCs/>
          <w:color w:val="404040"/>
          <w:sz w:val="22"/>
          <w:szCs w:val="22"/>
        </w:rPr>
        <w:t xml:space="preserve">Tabla 2. Hojas del Excel.</w:t>
      </w:r>
    </w:p>
    <w:p>
      <w:pPr>
        <w:pStyle w:val="Heading2"/>
        <w:keepNext/>
        <w:spacing w:after="80" w:before="160"/>
      </w:pPr>
      <w:r>
        <w:rPr>
          <w:rFonts w:ascii="Arial Narrow" w:cs="Arial Narrow" w:eastAsia="Arial Narrow" w:hAnsi="Arial Narrow"/>
          <w:b/>
          <w:bCs/>
          <w:color w:val="000000"/>
          <w:sz w:val="24"/>
          <w:szCs w:val="24"/>
        </w:rPr>
        <w:t xml:space="preserve">3.2 Decisiones al leer los datos</w:t>
      </w:r>
    </w:p>
    <w:p>
      <w:pPr>
        <w:pStyle w:val="ListParagraph"/>
        <w:numPr>
          <w:ilvl w:val="0"/>
          <w:numId w:val="2"/>
        </w:numPr>
        <w:spacing w:after="60"/>
        <w:jc w:val="both"/>
      </w:pPr>
      <w:r>
        <w:rPr>
          <w:rFonts w:ascii="Arial Narrow" w:cs="Arial Narrow" w:eastAsia="Arial Narrow" w:hAnsi="Arial Narrow"/>
          <w:b/>
          <w:bCs/>
          <w:sz w:val="22"/>
          <w:szCs w:val="22"/>
        </w:rPr>
        <w:t xml:space="preserve">Producción de 2027 a 2060 del Excel no se usa para aprender.</w:t>
      </w:r>
      <w:r>
        <w:rPr>
          <w:rFonts w:ascii="Arial Narrow" w:cs="Arial Narrow" w:eastAsia="Arial Narrow" w:hAnsi="Arial Narrow"/>
          <w:sz w:val="22"/>
          <w:szCs w:val="22"/>
        </w:rPr>
        <w:t xml:space="preserve"> Son fórmulas iguales a la 1P (lo dice la nota del archivo); usarlas sería enseñarle al modelo que la producción es la 1P, lo que no es un dato observado.</w:t>
      </w:r>
    </w:p>
    <w:p>
      <w:pPr>
        <w:pStyle w:val="ListParagraph"/>
        <w:numPr>
          <w:ilvl w:val="0"/>
          <w:numId w:val="2"/>
        </w:numPr>
        <w:spacing w:after="60"/>
        <w:jc w:val="both"/>
      </w:pPr>
      <w:r>
        <w:rPr>
          <w:rFonts w:ascii="Arial Narrow" w:cs="Arial Narrow" w:eastAsia="Arial Narrow" w:hAnsi="Arial Narrow"/>
          <w:b/>
          <w:bCs/>
          <w:sz w:val="22"/>
          <w:szCs w:val="22"/>
        </w:rPr>
        <w:t xml:space="preserve">2026 es medio año.</w:t>
      </w:r>
      <w:r>
        <w:rPr>
          <w:rFonts w:ascii="Arial Narrow" w:cs="Arial Narrow" w:eastAsia="Arial Narrow" w:hAnsi="Arial Narrow"/>
          <w:sz w:val="22"/>
          <w:szCs w:val="22"/>
        </w:rPr>
        <w:t xml:space="preserve"> La columna diaria de 2026 divide entre 181 días: es enero a junio. Por eso se compara en barriles por día y no en barriles anuales.</w:t>
      </w:r>
    </w:p>
    <w:p>
      <w:pPr>
        <w:pStyle w:val="ListParagraph"/>
        <w:numPr>
          <w:ilvl w:val="0"/>
          <w:numId w:val="2"/>
        </w:numPr>
        <w:spacing w:after="60"/>
        <w:jc w:val="both"/>
      </w:pPr>
      <w:r>
        <w:rPr>
          <w:rFonts w:ascii="Arial Narrow" w:cs="Arial Narrow" w:eastAsia="Arial Narrow" w:hAnsi="Arial Narrow"/>
          <w:b/>
          <w:bCs/>
          <w:sz w:val="22"/>
          <w:szCs w:val="22"/>
        </w:rPr>
        <w:t xml:space="preserve">Días por año:</w:t>
      </w:r>
      <w:r>
        <w:rPr>
          <w:rFonts w:ascii="Arial Narrow" w:cs="Arial Narrow" w:eastAsia="Arial Narrow" w:hAnsi="Arial Narrow"/>
          <w:sz w:val="22"/>
          <w:szCs w:val="22"/>
        </w:rPr>
        <w:t xml:space="preserve"> se respeta la convención del archivo: 366 en 2024, 181 en el primer semestre de 2026 y 365 en los demás años, incluidos los futuros.</w:t>
      </w:r>
    </w:p>
    <w:p>
      <w:pPr>
        <w:pStyle w:val="ListParagraph"/>
        <w:numPr>
          <w:ilvl w:val="0"/>
          <w:numId w:val="2"/>
        </w:numPr>
        <w:spacing w:after="60"/>
        <w:jc w:val="both"/>
      </w:pPr>
      <w:r>
        <w:rPr>
          <w:rFonts w:ascii="Arial Narrow" w:cs="Arial Narrow" w:eastAsia="Arial Narrow" w:hAnsi="Arial Narrow"/>
          <w:b/>
          <w:bCs/>
          <w:sz w:val="22"/>
          <w:szCs w:val="22"/>
        </w:rPr>
        <w:t xml:space="preserve">Celdas vacías de producción (196):</w:t>
      </w:r>
      <w:r>
        <w:rPr>
          <w:rFonts w:ascii="Arial Narrow" w:cs="Arial Narrow" w:eastAsia="Arial Narrow" w:hAnsi="Arial Narrow"/>
          <w:sz w:val="22"/>
          <w:szCs w:val="22"/>
        </w:rPr>
        <w:t xml:space="preserve"> significan que el campo no reportó ese año (cierre, unificación con otro campo o inicio posterior). No se rellenan con cero porque muchas son unificaciones (por ejemplo, campos que en 2025 pasaron a reportarse dentro de otro): tratarlas como cero enseñaría caídas que no ocurrieron.</w:t>
      </w:r>
    </w:p>
    <w:p>
      <w:pPr>
        <w:pStyle w:val="ListParagraph"/>
        <w:numPr>
          <w:ilvl w:val="0"/>
          <w:numId w:val="2"/>
        </w:numPr>
        <w:spacing w:after="60"/>
        <w:jc w:val="both"/>
      </w:pPr>
      <w:r>
        <w:rPr>
          <w:rFonts w:ascii="Arial Narrow" w:cs="Arial Narrow" w:eastAsia="Arial Narrow" w:hAnsi="Arial Narrow"/>
          <w:b/>
          <w:bCs/>
          <w:sz w:val="22"/>
          <w:szCs w:val="22"/>
        </w:rPr>
        <w:t xml:space="preserve">Cinco campos con 1P sin atributos:</w:t>
      </w:r>
      <w:r>
        <w:rPr>
          <w:rFonts w:ascii="Arial Narrow" w:cs="Arial Narrow" w:eastAsia="Arial Narrow" w:hAnsi="Arial Narrow"/>
          <w:sz w:val="22"/>
          <w:szCs w:val="22"/>
        </w:rPr>
        <w:t xml:space="preserve"> se completaron con el operador y el contrato de la hoja del pronóstico 1P; si no había dato, quedan como «SIN DATO».</w:t>
      </w:r>
    </w:p>
    <w:p>
      <w:pPr>
        <w:pStyle w:val="ListParagraph"/>
        <w:numPr>
          <w:ilvl w:val="0"/>
          <w:numId w:val="2"/>
        </w:numPr>
        <w:spacing w:after="60"/>
        <w:jc w:val="both"/>
      </w:pPr>
      <w:r>
        <w:rPr>
          <w:rFonts w:ascii="Arial Narrow" w:cs="Arial Narrow" w:eastAsia="Arial Narrow" w:hAnsi="Arial Narrow"/>
          <w:b/>
          <w:bCs/>
          <w:sz w:val="22"/>
          <w:szCs w:val="22"/>
        </w:rPr>
        <w:t xml:space="preserve">Nombres de operadora:</w:t>
      </w:r>
      <w:r>
        <w:rPr>
          <w:rFonts w:ascii="Arial Narrow" w:cs="Arial Narrow" w:eastAsia="Arial Narrow" w:hAnsi="Arial Narrow"/>
          <w:sz w:val="22"/>
          <w:szCs w:val="22"/>
        </w:rPr>
        <w:t xml:space="preserve"> se normalizaron (mayúsculas, sin puntos ni comas) para que una misma empresa no aparezca dos veces con razones sociales escritas distinto.</w:t>
      </w:r>
    </w:p>
    <w:p>
      <w:pPr>
        <w:pStyle w:val="ListParagraph"/>
        <w:numPr>
          <w:ilvl w:val="0"/>
          <w:numId w:val="2"/>
        </w:numPr>
        <w:spacing w:after="60"/>
        <w:jc w:val="both"/>
      </w:pPr>
      <w:r>
        <w:rPr>
          <w:rFonts w:ascii="Arial Narrow" w:cs="Arial Narrow" w:eastAsia="Arial Narrow" w:hAnsi="Arial Narrow"/>
          <w:b/>
          <w:bCs/>
          <w:sz w:val="22"/>
          <w:szCs w:val="22"/>
        </w:rPr>
        <w:t xml:space="preserve">70 campos sin 1P:</w:t>
      </w:r>
      <w:r>
        <w:rPr>
          <w:rFonts w:ascii="Arial Narrow" w:cs="Arial Narrow" w:eastAsia="Arial Narrow" w:hAnsi="Arial Narrow"/>
          <w:sz w:val="22"/>
          <w:szCs w:val="22"/>
        </w:rPr>
        <w:t xml:space="preserve"> se conservan para el histórico y para 2026 (con la producción del primer semestre), pero no se pronostican después de 2026 por la regla del enunciado.</w:t>
      </w:r>
    </w:p>
    <w:p>
      <w:pPr>
        <w:pStyle w:val="Heading2"/>
        <w:keepNext/>
        <w:spacing w:after="80" w:before="160"/>
      </w:pPr>
      <w:r>
        <w:rPr>
          <w:rFonts w:ascii="Arial Narrow" w:cs="Arial Narrow" w:eastAsia="Arial Narrow" w:hAnsi="Arial Narrow"/>
          <w:b/>
          <w:bCs/>
          <w:color w:val="000000"/>
          <w:sz w:val="24"/>
          <w:szCs w:val="24"/>
        </w:rPr>
        <w:t xml:space="preserve">3.3 Diagnóstico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2754"/>
      </w:tblGrid>
      <w:tr>
        <w:trPr>
          <w:tblHeader/>
        </w:trPr>
        <w:tc>
          <w:tcPr>
            <w:tcW w:type="dxa" w:w="688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Indicador</w:t>
            </w:r>
          </w:p>
        </w:tc>
        <w:tc>
          <w:tcPr>
            <w:tcW w:type="dxa" w:w="27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Valor</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en la hoja principal</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Reservas 1P (presentes en el pronóstico 1P)</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320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producción y sin Reservas 1P</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70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Nombres de campo duplicados</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1P sin atributos (completados desde la hoja del pronóstico 1P)</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 máxima entre Reservas 1P de la hoja principal y la del pronóstico 1P (bl)</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0.0</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Valores de producción negativos o cero</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Celdas de producción vacías (campo sin reporte en el año)</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196</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2026 = solo enero-junio (181 días)</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Sí (fórmula de la columna diaria = /181)</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Mediana de producción real / Reservas 1P (2024-2025)</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0.949</w:t>
            </w:r>
          </w:p>
        </w:tc>
      </w:tr>
      <w:tr>
        <w:trPr>
          <w:cantSplit/>
        </w:trPr>
        <w:tc>
          <w:tcPr>
            <w:tcW w:type="dxa" w:w="688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Casos con producción mayor a 2 veces la 1P del año</w:t>
            </w:r>
          </w:p>
        </w:tc>
        <w:tc>
          <w:tcPr>
            <w:tcW w:type="dxa" w:w="27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w:t>
            </w:r>
          </w:p>
        </w:tc>
      </w:tr>
      <w:tr>
        <w:trPr>
          <w:cantSplit/>
        </w:trPr>
        <w:tc>
          <w:tcPr>
            <w:tcW w:type="dxa" w:w="688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nacional 2025 / Reservas 1P 2025</w:t>
            </w:r>
          </w:p>
        </w:tc>
        <w:tc>
          <w:tcPr>
            <w:tcW w:type="dxa" w:w="27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1.029</w:t>
            </w:r>
          </w:p>
        </w:tc>
      </w:tr>
    </w:tbl>
    <w:p>
      <w:pPr>
        <w:spacing w:after="160" w:line="276"/>
        <w:jc w:val="center"/>
      </w:pPr>
      <w:r>
        <w:rPr>
          <w:rFonts w:ascii="Arial Narrow" w:cs="Arial Narrow" w:eastAsia="Arial Narrow" w:hAnsi="Arial Narrow"/>
          <w:i/>
          <w:iCs/>
          <w:color w:val="404040"/>
          <w:sz w:val="22"/>
          <w:szCs w:val="22"/>
        </w:rPr>
        <w:t xml:space="preserve">Tabla 3. Resultado del diagnóstico (archivo artefactos/calidad_hallazgos.csv).</w:t>
      </w:r>
    </w:p>
    <w:p>
      <w:pPr>
        <w:spacing w:after="100" w:line="276"/>
        <w:jc w:val="both"/>
      </w:pPr>
      <w:r>
        <w:rPr>
          <w:rFonts w:ascii="Arial Narrow" w:cs="Arial Narrow" w:eastAsia="Arial Narrow" w:hAnsi="Arial Narrow"/>
          <w:b/>
          <w:bCs/>
          <w:sz w:val="22"/>
          <w:szCs w:val="22"/>
        </w:rPr>
        <w:t xml:space="preserve">Cómo leerlo.</w:t>
      </w:r>
      <w:r>
        <w:rPr>
          <w:rFonts w:ascii="Arial Narrow" w:cs="Arial Narrow" w:eastAsia="Arial Narrow" w:hAnsi="Arial Narrow"/>
          <w:sz w:val="22"/>
          <w:szCs w:val="22"/>
        </w:rPr>
        <w:t xml:space="preserve"> La 1P de la hoja principal y la del pronóstico coinciden al barril, lo que da confianza en el archivo. La razón mediana producción/1P de 0,95 indica que la 1P es un buen punto de partida, pero con mucha dispersión entre campos (23 casos producen más del doble de su 1P): por eso usar la 1P tal cual como pronóstico tiene un error alto por campo.</w:t>
      </w:r>
    </w:p>
    <w:p>
      <w:pPr>
        <w:keepNext/>
        <w:spacing w:after="40"/>
        <w:jc w:val="center"/>
      </w:pPr>
      <w:r>
        <w:drawing>
          <wp:inline distT="0" distB="0" distL="0" distR="0">
            <wp:extent cx="5400675" cy="1924050"/>
            <wp:effectExtent t="0" r="0" b="0" l="0"/>
            <wp:docPr id="1" name="figura" descr="Figura 1. Tamaño de los campos y razón producción / 1P." title="Figura 1. Tamaño de los campos y razón producción / 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924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1. Tamaño de los campos y razón producción / 1P.</w:t>
      </w:r>
    </w:p>
    <w:p>
      <w:pPr>
        <w:pStyle w:val="Heading1"/>
        <w:keepNext/>
        <w:spacing w:after="120" w:before="240"/>
      </w:pPr>
      <w:r>
        <w:rPr>
          <w:rFonts w:ascii="Arial Narrow" w:cs="Arial Narrow" w:eastAsia="Arial Narrow" w:hAnsi="Arial Narrow"/>
          <w:b/>
          <w:bCs/>
          <w:color w:val="000000"/>
          <w:sz w:val="30"/>
          <w:szCs w:val="30"/>
        </w:rPr>
        <w:t xml:space="preserve">4. Paso 3 — Precios WTI y Brent (cuaderno, sección 2.3)</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tomaron los precios spot mensuales de Brent (serie RBRTE) y WTI (serie RWTC) de la Administración de Información Energética de EE. UU. (EIA) y se promediaron por año. Para 2026 se promediaron los meses publicados (enero a septiembre). Para 2027 se usó la proyección de Brent del Short-Term Energy Outlook de la EIA del 6 de octubre de 2026 (84 USD/bl) y el WTI se obtuvo restando el diferencial Brent-WTI promedio de 2023-2025 (4,15 USD/bl). De 2028 en adelante se mantiene el precio de 2027 como supuesto.</w:t>
      </w:r>
    </w:p>
    <w:p>
      <w:pPr>
        <w:spacing w:after="100" w:line="276"/>
        <w:jc w:val="both"/>
      </w:pPr>
      <w:r>
        <w:rPr>
          <w:rFonts w:ascii="Arial Narrow" w:cs="Arial Narrow" w:eastAsia="Arial Narrow" w:hAnsi="Arial Narrow"/>
          <w:b/>
          <w:bCs/>
          <w:sz w:val="22"/>
          <w:szCs w:val="22"/>
        </w:rPr>
        <w:t xml:space="preserve">Por qué no investing.com.</w:t>
      </w:r>
      <w:r>
        <w:rPr>
          <w:rFonts w:ascii="Arial Narrow" w:cs="Arial Narrow" w:eastAsia="Arial Narrow" w:hAnsi="Arial Narrow"/>
          <w:sz w:val="22"/>
          <w:szCs w:val="22"/>
        </w:rPr>
        <w:t xml:space="preserve"> El enunciado sugiere investing.com. Esa página solo muestra un mes de datos diarios a la vez y no permite descargar promedios anuales de forma automatizada y reproducible. Las series de la EIA miden lo mismo (Brent y WTI), son oficiales, gratuitas y de dominio público. En el aplicativo los precios son editables (para usar los de investing.com si se prefiere) y hay un botón para recalcular 2023-2026 con los futuros Brent (BZ=F) y WTI (CL=F), que son los instrumentos que muestra investing.com.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9"/>
        <w:gridCol w:w="1182"/>
        <w:gridCol w:w="1182"/>
        <w:gridCol w:w="6365"/>
      </w:tblGrid>
      <w:tr>
        <w:trPr>
          <w:tblHeader/>
        </w:trPr>
        <w:tc>
          <w:tcPr>
            <w:tcW w:type="dxa" w:w="9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1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Brent</w:t>
            </w:r>
          </w:p>
        </w:tc>
        <w:tc>
          <w:tcPr>
            <w:tcW w:type="dxa" w:w="11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WTI</w:t>
            </w:r>
          </w:p>
        </w:tc>
        <w:tc>
          <w:tcPr>
            <w:tcW w:type="dxa" w:w="636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 de dato</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82,47</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77,64</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80,53</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76,55</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69,10</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65,46</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93,27</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84,98</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parcial: promedio enero-septiembre</w:t>
            </w:r>
          </w:p>
        </w:tc>
      </w:tr>
      <w:tr>
        <w:trPr>
          <w:cantSplit/>
        </w:trPr>
        <w:tc>
          <w:tcPr>
            <w:tcW w:type="dxa" w:w="9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1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3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Proyección EIA STEO oct-2026 (WTI = Brent − diferencial 2023-2025)</w:t>
            </w:r>
          </w:p>
        </w:tc>
      </w:tr>
      <w:tr>
        <w:trPr>
          <w:cantSplit/>
        </w:trPr>
        <w:tc>
          <w:tcPr>
            <w:tcW w:type="dxa" w:w="9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1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3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Supuesto: se mantiene el precio de 2027 (editable en el aplicativo)</w:t>
            </w:r>
          </w:p>
        </w:tc>
      </w:tr>
    </w:tbl>
    <w:p>
      <w:pPr>
        <w:spacing w:after="160" w:line="276"/>
        <w:jc w:val="center"/>
      </w:pPr>
      <w:r>
        <w:rPr>
          <w:rFonts w:ascii="Arial Narrow" w:cs="Arial Narrow" w:eastAsia="Arial Narrow" w:hAnsi="Arial Narrow"/>
          <w:i/>
          <w:iCs/>
          <w:color w:val="404040"/>
          <w:sz w:val="22"/>
          <w:szCs w:val="22"/>
        </w:rPr>
        <w:t xml:space="preserve">Tabla 4. Precios promedio anuales (USD por barril).</w:t>
      </w:r>
    </w:p>
    <w:p>
      <w:pPr>
        <w:pStyle w:val="Heading1"/>
        <w:keepNext/>
        <w:spacing w:after="120" w:before="240"/>
      </w:pPr>
      <w:r>
        <w:rPr>
          <w:rFonts w:ascii="Arial Narrow" w:cs="Arial Narrow" w:eastAsia="Arial Narrow" w:hAnsi="Arial Narrow"/>
          <w:b/>
          <w:bCs/>
          <w:color w:val="000000"/>
          <w:sz w:val="30"/>
          <w:szCs w:val="30"/>
        </w:rPr>
        <w:t xml:space="preserve">5. Paso 4 — Preparación y diseño experimental sin fuga (cuaderno, sección 3)</w:t>
      </w:r>
    </w:p>
    <w:p>
      <w:pPr>
        <w:pStyle w:val="Heading2"/>
        <w:keepNext/>
        <w:spacing w:after="80" w:before="160"/>
      </w:pPr>
      <w:r>
        <w:rPr>
          <w:rFonts w:ascii="Arial Narrow" w:cs="Arial Narrow" w:eastAsia="Arial Narrow" w:hAnsi="Arial Narrow"/>
          <w:b/>
          <w:bCs/>
          <w:color w:val="000000"/>
          <w:sz w:val="24"/>
          <w:szCs w:val="24"/>
        </w:rPr>
        <w:t xml:space="preserve">5.1 Unidad de análisis</w:t>
      </w:r>
    </w:p>
    <w:p>
      <w:pPr>
        <w:spacing w:after="100" w:line="276"/>
        <w:jc w:val="both"/>
      </w:pPr>
      <w:r>
        <w:rPr>
          <w:rFonts w:ascii="Arial Narrow" w:cs="Arial Narrow" w:eastAsia="Arial Narrow" w:hAnsi="Arial Narrow"/>
          <w:sz w:val="22"/>
          <w:szCs w:val="22"/>
        </w:rPr>
        <w:t xml:space="preserve">Una fila es un campo en un año objetivo t (2024, 2025 o 2026). Se incluye si el campo tiene 1P en t, produjo en t-1 y reportó producción en t. Resultado: 302 filas para 2024, 284 para 2025 y 257 para 2026. 2023 no es año objetivo porque no hay 1P de 2023 ni producción de 2022.</w:t>
      </w:r>
    </w:p>
    <w:p>
      <w:pPr>
        <w:pStyle w:val="Heading2"/>
        <w:keepNext/>
        <w:spacing w:after="80" w:before="160"/>
      </w:pPr>
      <w:r>
        <w:rPr>
          <w:rFonts w:ascii="Arial Narrow" w:cs="Arial Narrow" w:eastAsia="Arial Narrow" w:hAnsi="Arial Narrow"/>
          <w:b/>
          <w:bCs/>
          <w:color w:val="000000"/>
          <w:sz w:val="24"/>
          <w:szCs w:val="24"/>
        </w:rPr>
        <w:t xml:space="preserve">5.2 Qué se predice y por qué</w:t>
      </w:r>
    </w:p>
    <w:p>
      <w:pPr>
        <w:spacing w:after="100" w:line="276"/>
        <w:jc w:val="both"/>
      </w:pPr>
      <w:r>
        <w:rPr>
          <w:rFonts w:ascii="Arial Narrow" w:cs="Arial Narrow" w:eastAsia="Arial Narrow" w:hAnsi="Arial Narrow"/>
          <w:sz w:val="22"/>
          <w:szCs w:val="22"/>
        </w:rPr>
        <w:t xml:space="preserve">Se predice el </w:t>
      </w:r>
      <w:r>
        <w:rPr>
          <w:rFonts w:ascii="Arial Narrow" w:cs="Arial Narrow" w:eastAsia="Arial Narrow" w:hAnsi="Arial Narrow"/>
          <w:b/>
          <w:bCs/>
          <w:sz w:val="22"/>
          <w:szCs w:val="22"/>
        </w:rPr>
        <w:t xml:space="preserve">cambio logarítmico</w:t>
      </w:r>
      <w:r>
        <w:rPr>
          <w:rFonts w:ascii="Arial Narrow" w:cs="Arial Narrow" w:eastAsia="Arial Narrow" w:hAnsi="Arial Narrow"/>
          <w:sz w:val="22"/>
          <w:szCs w:val="22"/>
        </w:rPr>
        <w:t xml:space="preserve"> de la producción diaria frente al año anterior: y = log(bpd_t / bpd_t-1). Un valor de 0 significa que la producción se mantiene; −0,10 significa una caída de cerca de 10%; +0,10, un aumento de cerca de 10%.</w:t>
      </w:r>
    </w:p>
    <w:p>
      <w:pPr>
        <w:spacing w:after="100" w:line="276"/>
        <w:jc w:val="both"/>
      </w:pPr>
      <w:r>
        <w:rPr>
          <w:rFonts w:ascii="Arial Narrow" w:cs="Arial Narrow" w:eastAsia="Arial Narrow" w:hAnsi="Arial Narrow"/>
          <w:b/>
          <w:bCs/>
          <w:sz w:val="22"/>
          <w:szCs w:val="22"/>
        </w:rPr>
        <w:t xml:space="preserve">Por qué el cambio y no el nivel.</w:t>
      </w:r>
      <w:r>
        <w:rPr>
          <w:rFonts w:ascii="Arial Narrow" w:cs="Arial Narrow" w:eastAsia="Arial Narrow" w:hAnsi="Arial Narrow"/>
          <w:sz w:val="22"/>
          <w:szCs w:val="22"/>
        </w:rPr>
        <w:t xml:space="preserve"> En una primera versión se predijo directamente el nivel (log de los barriles por día). Todos los modelos quedaron peor que la línea base de persistencia (repetir el año anterior), porque el nivel de un campo cambia poco de un año a otro y los modelos «gastaban» su capacidad en aprender el tamaño de cada campo. Al predecir el cambio, el modelo parte de la persistencia y aprende cuándo y cuánto se aparta de ella; con esta formulación los árboles sí superaron a todas las líneas base. Esta corrección se hizo usando solo la validación cruzada, sin mirar la prueba de 2026.</w:t>
      </w:r>
    </w:p>
    <w:p>
      <w:pPr>
        <w:spacing w:after="100" w:line="276"/>
        <w:jc w:val="both"/>
      </w:pPr>
      <w:r>
        <w:rPr>
          <w:rFonts w:ascii="Arial Narrow" w:cs="Arial Narrow" w:eastAsia="Arial Narrow" w:hAnsi="Arial Narrow"/>
          <w:b/>
          <w:bCs/>
          <w:sz w:val="22"/>
          <w:szCs w:val="22"/>
        </w:rPr>
        <w:t xml:space="preserve">Cómo se vuelve a barriles:</w:t>
      </w:r>
      <w:r>
        <w:rPr>
          <w:rFonts w:ascii="Arial Narrow" w:cs="Arial Narrow" w:eastAsia="Arial Narrow" w:hAnsi="Arial Narrow"/>
          <w:sz w:val="22"/>
          <w:szCs w:val="22"/>
        </w:rPr>
        <w:t xml:space="preserve"> bpd_t = bpd_t-1 × exp(predicción) × S, donde S es el factor de </w:t>
      </w:r>
      <w:r>
        <w:rPr>
          <w:rFonts w:ascii="Arial Narrow" w:cs="Arial Narrow" w:eastAsia="Arial Narrow" w:hAnsi="Arial Narrow"/>
          <w:i/>
          <w:iCs/>
          <w:sz w:val="22"/>
          <w:szCs w:val="22"/>
        </w:rPr>
        <w:t xml:space="preserve">smearing</w:t>
      </w:r>
      <w:r>
        <w:rPr>
          <w:rFonts w:ascii="Arial Narrow" w:cs="Arial Narrow" w:eastAsia="Arial Narrow" w:hAnsi="Arial Narrow"/>
          <w:sz w:val="22"/>
          <w:szCs w:val="22"/>
        </w:rPr>
        <w:t xml:space="preserve"> de Duan (promedio ponderado de exp(residuos) en entrenamiento). Ese factor corrige que el promedio en escala logarítmica, al volverlo a barriles, subestima sistemáticamente.</w:t>
      </w:r>
    </w:p>
    <w:p>
      <w:pPr>
        <w:pStyle w:val="Heading2"/>
        <w:keepNext/>
        <w:spacing w:after="80" w:before="160"/>
      </w:pPr>
      <w:r>
        <w:rPr>
          <w:rFonts w:ascii="Arial Narrow" w:cs="Arial Narrow" w:eastAsia="Arial Narrow" w:hAnsi="Arial Narrow"/>
          <w:b/>
          <w:bCs/>
          <w:color w:val="000000"/>
          <w:sz w:val="24"/>
          <w:szCs w:val="24"/>
        </w:rPr>
        <w:t xml:space="preserve">5.3 Variables explicativas, una por 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1"/>
        <w:gridCol w:w="3410"/>
        <w:gridCol w:w="3707"/>
      </w:tblGrid>
      <w:tr>
        <w:trPr>
          <w:tblHeader/>
        </w:trPr>
        <w:tc>
          <w:tcPr>
            <w:tcW w:type="dxa" w:w="25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w:t>
            </w:r>
          </w:p>
        </w:tc>
        <w:tc>
          <w:tcPr>
            <w:tcW w:type="dxa" w:w="34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Cómo se calcula</w:t>
            </w:r>
          </w:p>
        </w:tc>
        <w:tc>
          <w:tcPr>
            <w:tcW w:type="dxa" w:w="37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 se incluye</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año anterior</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barriles por día de t-1)</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Los campos pequeños declinan más rápido</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+ 1P_t / días)</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 óptimo proyectado para el año</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brecha año anterior vs 1P</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t-1 − log 1P_t</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 el campo va por encima o por debajo de su plan</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 año siguiente / 1P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1P_t+1 / 1P_t (entre 0 y 2)</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Velocidad de declive que espera el operador</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años restantes de 1P</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último año con 1P &gt; 0 − t</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cerca del fin de su 1P</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 1P del año</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suma de la 1P desde t / 1P_t (máx. 40)</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Madurez del campo (años de reservas al ritmo actual)</w:t>
            </w:r>
          </w:p>
        </w:tc>
      </w:tr>
      <w:tr>
        <w:trPr>
          <w:cantSplit/>
        </w:trPr>
        <w:tc>
          <w:tcPr>
            <w:tcW w:type="dxa" w:w="2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 y posibles</w:t>
            </w:r>
          </w:p>
        </w:tc>
        <w:tc>
          <w:tcPr>
            <w:tcW w:type="dxa" w:w="3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log(1 + 2P_t o 3P_t / 365)</w:t>
            </w:r>
          </w:p>
        </w:tc>
        <w:tc>
          <w:tcPr>
            <w:tcW w:type="dxa" w:w="37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Potencial de desarrollo adicional</w:t>
            </w:r>
          </w:p>
        </w:tc>
      </w:tr>
      <w:tr>
        <w:trPr>
          <w:cantSplit/>
        </w:trPr>
        <w:tc>
          <w:tcPr>
            <w:tcW w:type="dxa" w:w="2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de contrato, departamento, operadora</w:t>
            </w:r>
          </w:p>
        </w:tc>
        <w:tc>
          <w:tcPr>
            <w:tcW w:type="dxa" w:w="3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categorías (one-hot; 8 operadoras mayores + otras)</w:t>
            </w:r>
          </w:p>
        </w:tc>
        <w:tc>
          <w:tcPr>
            <w:tcW w:type="dxa" w:w="37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Diferencias contractuales, geológicas y operativas</w:t>
            </w:r>
          </w:p>
        </w:tc>
      </w:tr>
    </w:tbl>
    <w:p>
      <w:pPr>
        <w:spacing w:after="160" w:line="276"/>
        <w:jc w:val="center"/>
      </w:pPr>
      <w:r>
        <w:rPr>
          <w:rFonts w:ascii="Arial Narrow" w:cs="Arial Narrow" w:eastAsia="Arial Narrow" w:hAnsi="Arial Narrow"/>
          <w:i/>
          <w:iCs/>
          <w:color w:val="404040"/>
          <w:sz w:val="22"/>
          <w:szCs w:val="22"/>
        </w:rPr>
        <w:t xml:space="preserve">Tabla 5. Variables y su razón de ser.</w:t>
      </w:r>
    </w:p>
    <w:p>
      <w:pPr>
        <w:pStyle w:val="Heading2"/>
        <w:keepNext/>
        <w:spacing w:after="80" w:before="160"/>
      </w:pPr>
      <w:r>
        <w:rPr>
          <w:rFonts w:ascii="Arial Narrow" w:cs="Arial Narrow" w:eastAsia="Arial Narrow" w:hAnsi="Arial Narrow"/>
          <w:b/>
          <w:bCs/>
          <w:color w:val="000000"/>
          <w:sz w:val="24"/>
          <w:szCs w:val="24"/>
        </w:rPr>
        <w:t xml:space="preserve">5.4 Cómo se evitó la fuga de información</w:t>
      </w:r>
    </w:p>
    <w:p>
      <w:pPr>
        <w:pStyle w:val="ListParagraph"/>
        <w:numPr>
          <w:ilvl w:val="0"/>
          <w:numId w:val="3"/>
        </w:numPr>
        <w:spacing w:after="60"/>
        <w:jc w:val="both"/>
      </w:pPr>
      <w:r>
        <w:rPr>
          <w:rFonts w:ascii="Arial Narrow" w:cs="Arial Narrow" w:eastAsia="Arial Narrow" w:hAnsi="Arial Narrow"/>
          <w:b/>
          <w:bCs/>
          <w:sz w:val="22"/>
          <w:szCs w:val="22"/>
        </w:rPr>
        <w:t xml:space="preserve">Nunca se usa la producción del año objetivo como variable</w:t>
      </w:r>
      <w:r>
        <w:rPr>
          <w:rFonts w:ascii="Arial Narrow" w:cs="Arial Narrow" w:eastAsia="Arial Narrow" w:hAnsi="Arial Narrow"/>
          <w:sz w:val="22"/>
          <w:szCs w:val="22"/>
        </w:rPr>
        <w:t xml:space="preserve">, solo la del año anterior.</w:t>
      </w:r>
    </w:p>
    <w:p>
      <w:pPr>
        <w:pStyle w:val="ListParagraph"/>
        <w:numPr>
          <w:ilvl w:val="0"/>
          <w:numId w:val="3"/>
        </w:numPr>
        <w:spacing w:after="60"/>
        <w:jc w:val="both"/>
      </w:pPr>
      <w:r>
        <w:rPr>
          <w:rFonts w:ascii="Arial Narrow" w:cs="Arial Narrow" w:eastAsia="Arial Narrow" w:hAnsi="Arial Narrow"/>
          <w:b/>
          <w:bCs/>
          <w:sz w:val="22"/>
          <w:szCs w:val="22"/>
        </w:rPr>
        <w:t xml:space="preserve">La 1P, 2P y 3P provienen del IRR 2024, con corte al 31-dic-2023</w:t>
      </w:r>
      <w:r>
        <w:rPr>
          <w:rFonts w:ascii="Arial Narrow" w:cs="Arial Narrow" w:eastAsia="Arial Narrow" w:hAnsi="Arial Narrow"/>
          <w:sz w:val="22"/>
          <w:szCs w:val="22"/>
        </w:rPr>
        <w:t xml:space="preserve">, antes de todos los años objetivo: se conocían de antemano (información ex ante).</w:t>
      </w:r>
    </w:p>
    <w:p>
      <w:pPr>
        <w:pStyle w:val="ListParagraph"/>
        <w:numPr>
          <w:ilvl w:val="0"/>
          <w:numId w:val="3"/>
        </w:numPr>
        <w:spacing w:after="60"/>
        <w:jc w:val="both"/>
      </w:pPr>
      <w:r>
        <w:rPr>
          <w:rFonts w:ascii="Arial Narrow" w:cs="Arial Narrow" w:eastAsia="Arial Narrow" w:hAnsi="Arial Narrow"/>
          <w:b/>
          <w:bCs/>
          <w:sz w:val="22"/>
          <w:szCs w:val="22"/>
        </w:rPr>
        <w:t xml:space="preserve">Validación cruzada agrupada por campo (GroupKFold):</w:t>
      </w:r>
      <w:r>
        <w:rPr>
          <w:rFonts w:ascii="Arial Narrow" w:cs="Arial Narrow" w:eastAsia="Arial Narrow" w:hAnsi="Arial Narrow"/>
          <w:sz w:val="22"/>
          <w:szCs w:val="22"/>
        </w:rPr>
        <w:t xml:space="preserve"> las filas de un mismo campo (2024 y 2025) quedan juntas en entrenamiento o en validación; si se separaran, el modelo «recordaría» el campo y el error parecería menor de lo real.</w:t>
      </w:r>
    </w:p>
    <w:p>
      <w:pPr>
        <w:pStyle w:val="ListParagraph"/>
        <w:numPr>
          <w:ilvl w:val="0"/>
          <w:numId w:val="3"/>
        </w:numPr>
        <w:spacing w:after="60"/>
        <w:jc w:val="both"/>
      </w:pPr>
      <w:r>
        <w:rPr>
          <w:rFonts w:ascii="Arial Narrow" w:cs="Arial Narrow" w:eastAsia="Arial Narrow" w:hAnsi="Arial Narrow"/>
          <w:b/>
          <w:bCs/>
          <w:sz w:val="22"/>
          <w:szCs w:val="22"/>
        </w:rPr>
        <w:t xml:space="preserve">Escalado y codificación dentro del pipeline:</w:t>
      </w:r>
      <w:r>
        <w:rPr>
          <w:rFonts w:ascii="Arial Narrow" w:cs="Arial Narrow" w:eastAsia="Arial Narrow" w:hAnsi="Arial Narrow"/>
          <w:sz w:val="22"/>
          <w:szCs w:val="22"/>
        </w:rPr>
        <w:t xml:space="preserve"> se ajustan solo con los datos de entrenamiento de cada pliegue.</w:t>
      </w:r>
    </w:p>
    <w:p>
      <w:pPr>
        <w:pStyle w:val="ListParagraph"/>
        <w:numPr>
          <w:ilvl w:val="0"/>
          <w:numId w:val="3"/>
        </w:numPr>
        <w:spacing w:after="60"/>
        <w:jc w:val="both"/>
      </w:pPr>
      <w:r>
        <w:rPr>
          <w:rFonts w:ascii="Arial Narrow" w:cs="Arial Narrow" w:eastAsia="Arial Narrow" w:hAnsi="Arial Narrow"/>
          <w:b/>
          <w:bCs/>
          <w:sz w:val="22"/>
          <w:szCs w:val="22"/>
        </w:rPr>
        <w:t xml:space="preserve">2026 queda guardado como prueba:</w:t>
      </w:r>
      <w:r>
        <w:rPr>
          <w:rFonts w:ascii="Arial Narrow" w:cs="Arial Narrow" w:eastAsia="Arial Narrow" w:hAnsi="Arial Narrow"/>
          <w:sz w:val="22"/>
          <w:szCs w:val="22"/>
        </w:rPr>
        <w:t xml:space="preserve"> no se usó para elegir variables, hiperparámetros, modelo ni umbral. Se evaluó una sola vez al final.</w:t>
      </w:r>
    </w:p>
    <w:p>
      <w:pPr>
        <w:pStyle w:val="ListParagraph"/>
        <w:numPr>
          <w:ilvl w:val="0"/>
          <w:numId w:val="3"/>
        </w:numPr>
        <w:spacing w:after="60"/>
        <w:jc w:val="both"/>
      </w:pPr>
      <w:r>
        <w:rPr>
          <w:rFonts w:ascii="Arial Narrow" w:cs="Arial Narrow" w:eastAsia="Arial Narrow" w:hAnsi="Arial Narrow"/>
          <w:b/>
          <w:bCs/>
          <w:sz w:val="22"/>
          <w:szCs w:val="22"/>
        </w:rPr>
        <w:t xml:space="preserve">La misma función `variables()`</w:t>
      </w:r>
      <w:r>
        <w:rPr>
          <w:rFonts w:ascii="Arial Narrow" w:cs="Arial Narrow" w:eastAsia="Arial Narrow" w:hAnsi="Arial Narrow"/>
          <w:sz w:val="22"/>
          <w:szCs w:val="22"/>
        </w:rPr>
        <w:t xml:space="preserve"> construye las variables para entrenar y para pronosticar, así lo que se usa en producción es idéntico a lo que se evaluó.</w:t>
      </w:r>
    </w:p>
    <w:p>
      <w:pPr>
        <w:pStyle w:val="Heading2"/>
        <w:keepNext/>
        <w:spacing w:after="80" w:before="160"/>
      </w:pPr>
      <w:r>
        <w:rPr>
          <w:rFonts w:ascii="Arial Narrow" w:cs="Arial Narrow" w:eastAsia="Arial Narrow" w:hAnsi="Arial Narrow"/>
          <w:b/>
          <w:bCs/>
          <w:color w:val="000000"/>
          <w:sz w:val="24"/>
          <w:szCs w:val="24"/>
        </w:rPr>
        <w:t xml:space="preserve">5.5 Desbalance de tamaño</w:t>
      </w:r>
    </w:p>
    <w:p>
      <w:pPr>
        <w:spacing w:after="100" w:line="276"/>
        <w:jc w:val="both"/>
      </w:pPr>
      <w:r>
        <w:rPr>
          <w:rFonts w:ascii="Arial Narrow" w:cs="Arial Narrow" w:eastAsia="Arial Narrow" w:hAnsi="Arial Narrow"/>
          <w:sz w:val="22"/>
          <w:szCs w:val="22"/>
        </w:rPr>
        <w:t xml:space="preserve">No hay clases desbalanceadas, pero sí campos de tamaños muy distintos. Si todos pesan igual, el modelo se esfuerza en los 181 campos pequeños, que suman poca producción. Por eso: (a) cada fila pesa la raíz de su producción previa (los grandes pesan más, sin anular a los pequeños); (b) el error se mide en barriles (WAPE); (c) se reporta el error por tamaño para no esconder que en los pequeños el error es mayor.</w:t>
      </w:r>
    </w:p>
    <w:p>
      <w:pPr>
        <w:pStyle w:val="Heading2"/>
        <w:keepNext/>
        <w:spacing w:after="80" w:before="160"/>
      </w:pPr>
      <w:r>
        <w:rPr>
          <w:rFonts w:ascii="Arial Narrow" w:cs="Arial Narrow" w:eastAsia="Arial Narrow" w:hAnsi="Arial Narrow"/>
          <w:b/>
          <w:bCs/>
          <w:color w:val="000000"/>
          <w:sz w:val="24"/>
          <w:szCs w:val="24"/>
        </w:rPr>
        <w:t xml:space="preserve">5.6 Líneas base</w:t>
      </w:r>
    </w:p>
    <w:p>
      <w:pPr>
        <w:pStyle w:val="ListParagraph"/>
        <w:numPr>
          <w:ilvl w:val="0"/>
          <w:numId w:val="2"/>
        </w:numPr>
        <w:spacing w:after="60"/>
        <w:jc w:val="both"/>
      </w:pPr>
      <w:r>
        <w:rPr>
          <w:rFonts w:ascii="Arial Narrow" w:cs="Arial Narrow" w:eastAsia="Arial Narrow" w:hAnsi="Arial Narrow"/>
          <w:b/>
          <w:bCs/>
          <w:sz w:val="22"/>
          <w:szCs w:val="22"/>
        </w:rPr>
        <w:t xml:space="preserve">Reservas 1P del año:</w:t>
      </w:r>
      <w:r>
        <w:rPr>
          <w:rFonts w:ascii="Arial Narrow" w:cs="Arial Narrow" w:eastAsia="Arial Narrow" w:hAnsi="Arial Narrow"/>
          <w:sz w:val="22"/>
          <w:szCs w:val="22"/>
        </w:rPr>
        <w:t xml:space="preserve"> producción = 1P. Es lo que se usa hoy; batirla demuestra valor para el negocio.</w:t>
      </w:r>
    </w:p>
    <w:p>
      <w:pPr>
        <w:pStyle w:val="ListParagraph"/>
        <w:numPr>
          <w:ilvl w:val="0"/>
          <w:numId w:val="2"/>
        </w:numPr>
        <w:spacing w:after="60"/>
        <w:jc w:val="both"/>
      </w:pPr>
      <w:r>
        <w:rPr>
          <w:rFonts w:ascii="Arial Narrow" w:cs="Arial Narrow" w:eastAsia="Arial Narrow" w:hAnsi="Arial Narrow"/>
          <w:b/>
          <w:bCs/>
          <w:sz w:val="22"/>
          <w:szCs w:val="22"/>
        </w:rPr>
        <w:t xml:space="preserve">Persistencia:</w:t>
      </w:r>
      <w:r>
        <w:rPr>
          <w:rFonts w:ascii="Arial Narrow" w:cs="Arial Narrow" w:eastAsia="Arial Narrow" w:hAnsi="Arial Narrow"/>
          <w:sz w:val="22"/>
          <w:szCs w:val="22"/>
        </w:rPr>
        <w:t xml:space="preserve"> producción = la del año anterior. Es la referencia técnica más exigente en series de producción.</w:t>
      </w:r>
    </w:p>
    <w:p>
      <w:pPr>
        <w:pStyle w:val="ListParagraph"/>
        <w:numPr>
          <w:ilvl w:val="0"/>
          <w:numId w:val="2"/>
        </w:numPr>
        <w:spacing w:after="60"/>
        <w:jc w:val="both"/>
      </w:pPr>
      <w:r>
        <w:rPr>
          <w:rFonts w:ascii="Arial Narrow" w:cs="Arial Narrow" w:eastAsia="Arial Narrow" w:hAnsi="Arial Narrow"/>
          <w:b/>
          <w:bCs/>
          <w:sz w:val="22"/>
          <w:szCs w:val="22"/>
        </w:rPr>
        <w:t xml:space="preserve">Persistencia × pendiente 1P:</w:t>
      </w:r>
      <w:r>
        <w:rPr>
          <w:rFonts w:ascii="Arial Narrow" w:cs="Arial Narrow" w:eastAsia="Arial Narrow" w:hAnsi="Arial Narrow"/>
          <w:sz w:val="22"/>
          <w:szCs w:val="22"/>
        </w:rPr>
        <w:t xml:space="preserve"> producción del año anterior multiplicada por el cambio que espera la 1P.</w:t>
      </w:r>
    </w:p>
    <w:p>
      <w:pPr>
        <w:pStyle w:val="Heading1"/>
        <w:keepNext/>
        <w:spacing w:after="120" w:before="240"/>
      </w:pPr>
      <w:r>
        <w:rPr>
          <w:rFonts w:ascii="Arial Narrow" w:cs="Arial Narrow" w:eastAsia="Arial Narrow" w:hAnsi="Arial Narrow"/>
          <w:b/>
          <w:bCs/>
          <w:color w:val="000000"/>
          <w:sz w:val="30"/>
          <w:szCs w:val="30"/>
        </w:rPr>
        <w:t xml:space="preserve">6. Paso 5 — Modelos (cuaderno, sección 4)</w:t>
      </w:r>
    </w:p>
    <w:p>
      <w:pPr>
        <w:spacing w:after="100" w:line="276"/>
        <w:jc w:val="both"/>
      </w:pPr>
      <w:r>
        <w:rPr>
          <w:rFonts w:ascii="Arial Narrow" w:cs="Arial Narrow" w:eastAsia="Arial Narrow" w:hAnsi="Arial Narrow"/>
          <w:sz w:val="22"/>
          <w:szCs w:val="22"/>
        </w:rPr>
        <w:t xml:space="preserve">Se entrenaron los tres tipos pedidos (árbol de decisión, regresión lineal y red neuronal) y dos ensambles de árboles para la fase «Ensambles e hiperparámetros». Para cada uno se probaron varias combinaciones de hiperparámetros (búsqueda en malla) con los mismos cinco pliegues, y se quedó la de menor WAPE.</w:t>
      </w:r>
    </w:p>
    <w:p>
      <w:pPr>
        <w:pStyle w:val="Heading3"/>
        <w:keepNext/>
        <w:spacing w:after="60" w:before="120"/>
      </w:pPr>
      <w:r>
        <w:rPr>
          <w:rFonts w:ascii="Arial Narrow" w:cs="Arial Narrow" w:eastAsia="Arial Narrow" w:hAnsi="Arial Narrow"/>
          <w:b/>
          <w:bCs/>
          <w:color w:val="404040"/>
          <w:sz w:val="23"/>
          <w:szCs w:val="23"/>
        </w:rPr>
        <w:t xml:space="preserve">Regresión lineal (MCO y Ridge)</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Ajusta una suma ponderada de las variables. Ridge agrega una penalización a los coeficientes grandes para evitar sobreajuste.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Ridge: α en {0,1; 1; 10; 30}.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{'alpha': 30}.</w:t>
      </w:r>
    </w:p>
    <w:p>
      <w:pPr>
        <w:pStyle w:val="Heading3"/>
        <w:keepNext/>
        <w:spacing w:after="60" w:before="120"/>
      </w:pPr>
      <w:r>
        <w:rPr>
          <w:rFonts w:ascii="Arial Narrow" w:cs="Arial Narrow" w:eastAsia="Arial Narrow" w:hAnsi="Arial Narrow"/>
          <w:b/>
          <w:bCs/>
          <w:color w:val="404040"/>
          <w:sz w:val="23"/>
          <w:szCs w:val="23"/>
        </w:rPr>
        <w:t xml:space="preserve">Árbol de decisión</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Divide los campos con preguntas sí/no sobre las variables (por ejemplo, «¿produjo menos de 105 bpd?») y asigna a cada hoja el cambio promedio de sus campos. Es el más fácil de explicar.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profundidad 3 a 8; mínimo de 5 a 20 casos por hoja.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{'max_depth': 3, 'min_samples_leaf': 20}.</w:t>
      </w:r>
    </w:p>
    <w:p>
      <w:pPr>
        <w:pStyle w:val="Heading3"/>
        <w:keepNext/>
        <w:spacing w:after="60" w:before="120"/>
      </w:pPr>
      <w:r>
        <w:rPr>
          <w:rFonts w:ascii="Arial Narrow" w:cs="Arial Narrow" w:eastAsia="Arial Narrow" w:hAnsi="Arial Narrow"/>
          <w:b/>
          <w:bCs/>
          <w:color w:val="404040"/>
          <w:sz w:val="23"/>
          <w:szCs w:val="23"/>
        </w:rPr>
        <w:t xml:space="preserve">Random Forest</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Promedia 500 árboles, cada uno entrenado con una muestra distinta de campos; el promedio reduce el error de un árbol individual.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profundidad 8 o sin límite; mínimo 2 o 5 casos por hoja; 50% o 100% de las variables por división.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{'max_depth': 8, 'max_features': 1.0, 'min_samples_leaf': 5}.</w:t>
      </w:r>
    </w:p>
    <w:p>
      <w:pPr>
        <w:pStyle w:val="Heading3"/>
        <w:keepNext/>
        <w:spacing w:after="60" w:before="120"/>
      </w:pPr>
      <w:r>
        <w:rPr>
          <w:rFonts w:ascii="Arial Narrow" w:cs="Arial Narrow" w:eastAsia="Arial Narrow" w:hAnsi="Arial Narrow"/>
          <w:b/>
          <w:bCs/>
          <w:color w:val="404040"/>
          <w:sz w:val="23"/>
          <w:szCs w:val="23"/>
        </w:rPr>
        <w:t xml:space="preserve">Gradient Boosting</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Construye árboles pequeños en secuencia; cada uno corrige el error de los anteriores.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200 o 500 árboles; tasa de aprendizaje 0,03 o 0,1; profundidad 2 o 3.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{'learning_rate': 0.03, 'max_depth': 3, 'n_estimators': 200}.</w:t>
      </w:r>
    </w:p>
    <w:p>
      <w:pPr>
        <w:pStyle w:val="Heading3"/>
        <w:keepNext/>
        <w:spacing w:after="60" w:before="120"/>
      </w:pPr>
      <w:r>
        <w:rPr>
          <w:rFonts w:ascii="Arial Narrow" w:cs="Arial Narrow" w:eastAsia="Arial Narrow" w:hAnsi="Arial Narrow"/>
          <w:b/>
          <w:bCs/>
          <w:color w:val="404040"/>
          <w:sz w:val="23"/>
          <w:szCs w:val="23"/>
        </w:rPr>
        <w:t xml:space="preserve">Red neuronal (perceptrón multicapa)</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Capas de neuronas que combinan las variables de forma no lineal; se entrena por descenso de gradiente con parada temprana cuando deja de mejorar. </w:t>
      </w:r>
      <w:r>
        <w:rPr>
          <w:rFonts w:ascii="Arial Narrow" w:cs="Arial Narrow" w:eastAsia="Arial Narrow" w:hAnsi="Arial Narrow"/>
          <w:b/>
          <w:bCs/>
          <w:sz w:val="22"/>
          <w:szCs w:val="22"/>
        </w:rPr>
        <w:t xml:space="preserve">Hiperparámetros probados:</w:t>
      </w:r>
      <w:r>
        <w:rPr>
          <w:rFonts w:ascii="Arial Narrow" w:cs="Arial Narrow" w:eastAsia="Arial Narrow" w:hAnsi="Arial Narrow"/>
          <w:sz w:val="22"/>
          <w:szCs w:val="22"/>
        </w:rPr>
        <w:t xml:space="preserve"> capas ocultas (16), (32, 16) o (64, 32); regularización α en {0,001; 0,01; 0,1}. </w:t>
      </w:r>
      <w:r>
        <w:rPr>
          <w:rFonts w:ascii="Arial Narrow" w:cs="Arial Narrow" w:eastAsia="Arial Narrow" w:hAnsi="Arial Narrow"/>
          <w:b/>
          <w:bCs/>
          <w:sz w:val="22"/>
          <w:szCs w:val="22"/>
        </w:rPr>
        <w:t xml:space="preserve">Elegidos:</w:t>
      </w:r>
      <w:r>
        <w:rPr>
          <w:rFonts w:ascii="Arial Narrow" w:cs="Arial Narrow" w:eastAsia="Arial Narrow" w:hAnsi="Arial Narrow"/>
          <w:sz w:val="22"/>
          <w:szCs w:val="22"/>
        </w:rPr>
        <w:t xml:space="preserve"> {'alpha': 0.001, 'hidden_layer_sizes': (64,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0"/>
        <w:gridCol w:w="1582"/>
        <w:gridCol w:w="935"/>
        <w:gridCol w:w="1798"/>
        <w:gridCol w:w="1583"/>
      </w:tblGrid>
      <w:tr>
        <w:trPr>
          <w:tblHeader/>
        </w:trPr>
        <w:tc>
          <w:tcPr>
            <w:tcW w:type="dxa" w:w="374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15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validación cruzada</w:t>
            </w:r>
          </w:p>
        </w:tc>
        <w:tc>
          <w:tcPr>
            <w:tcW w:type="dxa" w:w="93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Desv.</w:t>
            </w:r>
          </w:p>
        </w:tc>
        <w:tc>
          <w:tcPr>
            <w:tcW w:type="dxa" w:w="179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 (2024→2025)</w:t>
            </w:r>
          </w:p>
        </w:tc>
        <w:tc>
          <w:tcPr>
            <w:tcW w:type="dxa" w:w="158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 2026</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8,1%</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14,1%</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374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15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93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17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c>
          <w:tcPr>
            <w:tcW w:type="dxa" w:w="15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r>
      <w:tr>
        <w:trPr>
          <w:cantSplit/>
        </w:trPr>
        <w:tc>
          <w:tcPr>
            <w:tcW w:type="dxa" w:w="374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15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16,5%</w:t>
            </w:r>
          </w:p>
        </w:tc>
        <w:tc>
          <w:tcPr>
            <w:tcW w:type="dxa" w:w="93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c>
          <w:tcPr>
            <w:tcW w:type="dxa" w:w="17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19,3%</w:t>
            </w:r>
          </w:p>
        </w:tc>
        <w:tc>
          <w:tcPr>
            <w:tcW w:type="dxa" w:w="15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25,4%</w:t>
            </w:r>
          </w:p>
        </w:tc>
      </w:tr>
    </w:tbl>
    <w:p>
      <w:pPr>
        <w:spacing w:after="160" w:line="276"/>
        <w:jc w:val="center"/>
      </w:pPr>
      <w:r>
        <w:rPr>
          <w:rFonts w:ascii="Arial Narrow" w:cs="Arial Narrow" w:eastAsia="Arial Narrow" w:hAnsi="Arial Narrow"/>
          <w:i/>
          <w:iCs/>
          <w:color w:val="404040"/>
          <w:sz w:val="22"/>
          <w:szCs w:val="22"/>
        </w:rPr>
        <w:t xml:space="preserve">Tabla 6. Comparación completa (archivo artefactos/comparacion_modelos.csv).</w:t>
      </w:r>
    </w:p>
    <w:p>
      <w:pPr>
        <w:spacing w:after="100" w:line="276"/>
        <w:jc w:val="both"/>
      </w:pPr>
      <w:r>
        <w:rPr>
          <w:rFonts w:ascii="Arial Narrow" w:cs="Arial Narrow" w:eastAsia="Arial Narrow" w:hAnsi="Arial Narrow"/>
          <w:b/>
          <w:bCs/>
          <w:sz w:val="22"/>
          <w:szCs w:val="22"/>
        </w:rPr>
        <w:t xml:space="preserve">Cómo se eligió el final:</w:t>
      </w:r>
      <w:r>
        <w:rPr>
          <w:rFonts w:ascii="Arial Narrow" w:cs="Arial Narrow" w:eastAsia="Arial Narrow" w:hAnsi="Arial Narrow"/>
          <w:sz w:val="22"/>
          <w:szCs w:val="22"/>
        </w:rPr>
        <w:t xml:space="preserve"> el menor WAPE en validación cruzada → </w:t>
      </w:r>
      <w:r>
        <w:rPr>
          <w:rFonts w:ascii="Arial Narrow" w:cs="Arial Narrow" w:eastAsia="Arial Narrow" w:hAnsi="Arial Narrow"/>
          <w:b/>
          <w:bCs/>
          <w:sz w:val="22"/>
          <w:szCs w:val="22"/>
        </w:rPr>
        <w:t xml:space="preserve">Random Forest (ensamble de árboles)</w:t>
      </w:r>
      <w:r>
        <w:rPr>
          <w:rFonts w:ascii="Arial Narrow" w:cs="Arial Narrow" w:eastAsia="Arial Narrow" w:hAnsi="Arial Narrow"/>
          <w:sz w:val="22"/>
          <w:szCs w:val="22"/>
        </w:rPr>
        <w:t xml:space="preserve">. Se revisó también la validación temporal para confirmar que no fuera un resultado de un solo corte. La prueba 2026 se usó después, solo para informar.</w:t>
      </w:r>
    </w:p>
    <w:p>
      <w:pPr>
        <w:keepNext/>
        <w:spacing w:after="40"/>
        <w:jc w:val="center"/>
      </w:pPr>
      <w:r>
        <w:drawing>
          <wp:inline distT="0" distB="0" distL="0" distR="0">
            <wp:extent cx="5943600" cy="3067050"/>
            <wp:effectExtent t="0" r="0" b="0" l="0"/>
            <wp:docPr id="1" name="figura" descr="Figura 2. Árbol de decisión elegido (profundidad 3)." title="Figura 2. Árbol de decisión elegido (profundida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67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 Árbol de decisión elegido (profundidad 3).</w:t>
      </w:r>
    </w:p>
    <w:p>
      <w:pPr>
        <w:spacing w:after="100" w:line="276"/>
        <w:jc w:val="both"/>
      </w:pPr>
      <w:r>
        <w:rPr>
          <w:rFonts w:ascii="Arial Narrow" w:cs="Arial Narrow" w:eastAsia="Arial Narrow" w:hAnsi="Arial Narrow"/>
          <w:b/>
          <w:bCs/>
          <w:sz w:val="22"/>
          <w:szCs w:val="22"/>
        </w:rPr>
        <w:t xml:space="preserve">Cómo leer el árbol:</w:t>
      </w:r>
      <w:r>
        <w:rPr>
          <w:rFonts w:ascii="Arial Narrow" w:cs="Arial Narrow" w:eastAsia="Arial Narrow" w:hAnsi="Arial Narrow"/>
          <w:sz w:val="22"/>
          <w:szCs w:val="22"/>
        </w:rPr>
        <w:t xml:space="preserve"> se empieza arriba; si la condición se cumple se va a la izquierda («Sí»), si no, a la derecha («No»). En la hoja final, «valor» es el cambio logarítmico esperado y «campos-año» el número de casos. Ejemplo: un campo que produjo más de unos 1.300 bpd y estaba más de 11% por debajo de su 1P termina en la hoja con valor = 0,12, es decir, se espera que suba cerca de 13% (exp(0,125) − 1). Otro ejemplo: un campo de 2.000 bpd con 1P del año de 1.800 bpd llega a la hoja de valor −0,17: se espera que baje cerca de 16%, a unos 1.690 bpd.</w:t>
      </w:r>
    </w:p>
    <w:p>
      <w:pPr>
        <w:pStyle w:val="Heading3"/>
        <w:keepNext/>
        <w:spacing w:after="60" w:before="120"/>
      </w:pPr>
      <w:r>
        <w:rPr>
          <w:rFonts w:ascii="Arial Narrow" w:cs="Arial Narrow" w:eastAsia="Arial Narrow" w:hAnsi="Arial Narrow"/>
          <w:b/>
          <w:bCs/>
          <w:color w:val="404040"/>
          <w:sz w:val="23"/>
          <w:szCs w:val="23"/>
        </w:rPr>
        <w:t xml:space="preserve">Curva de aprendizaje de la red neuronal</w:t>
      </w:r>
    </w:p>
    <w:p>
      <w:pPr>
        <w:keepNext/>
        <w:spacing w:after="40"/>
        <w:jc w:val="center"/>
      </w:pPr>
      <w:r>
        <w:drawing>
          <wp:inline distT="0" distB="0" distL="0" distR="0">
            <wp:extent cx="4676775" cy="2266950"/>
            <wp:effectExtent t="0" r="0" b="0" l="0"/>
            <wp:docPr id="1" name="figura" descr="Figura 2b. Error época a época: entrenamiento, validación (campos no vistos) y prueba 2026." title="Figura 2b. Error época a época: entrenamiento, validación (campos no vistos) y prueb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2669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2b. Error época a época: entrenamiento, validación (campos no vistos) y prueba 2026.</w:t>
      </w:r>
    </w:p>
    <w:p>
      <w:pPr>
        <w:spacing w:after="100" w:line="276"/>
        <w:jc w:val="both"/>
      </w:pPr>
      <w:r>
        <w:rPr>
          <w:rFonts w:ascii="Arial Narrow" w:cs="Arial Narrow" w:eastAsia="Arial Narrow" w:hAnsi="Arial Narrow"/>
          <w:b/>
          <w:bCs/>
          <w:sz w:val="22"/>
          <w:szCs w:val="22"/>
        </w:rPr>
        <w:t xml:space="preserve">Qué es.</w:t>
      </w:r>
      <w:r>
        <w:rPr>
          <w:rFonts w:ascii="Arial Narrow" w:cs="Arial Narrow" w:eastAsia="Arial Narrow" w:hAnsi="Arial Narrow"/>
          <w:sz w:val="22"/>
          <w:szCs w:val="22"/>
        </w:rPr>
        <w:t xml:space="preserve"> Una época es una pasada completa de la red por los datos de entrenamiento. Después de cada época se mide el error en tres conjuntos: el de entrenamiento (80% de los campos de 2024-2025), uno de validación (20% de campos que la red no ve) y la prueba 2026. La validación decide la mejor época; la prueba solo se muestra para comparar.</w:t>
      </w:r>
    </w:p>
    <w:p>
      <w:pPr>
        <w:spacing w:after="100" w:line="276"/>
        <w:jc w:val="both"/>
      </w:pPr>
      <w:r>
        <w:rPr>
          <w:rFonts w:ascii="Arial Narrow" w:cs="Arial Narrow" w:eastAsia="Arial Narrow" w:hAnsi="Arial Narrow"/>
          <w:b/>
          <w:bCs/>
          <w:sz w:val="22"/>
          <w:szCs w:val="22"/>
        </w:rPr>
        <w:t xml:space="preserve">Cómo se lee (ejemplo).</w:t>
      </w:r>
      <w:r>
        <w:rPr>
          <w:rFonts w:ascii="Arial Narrow" w:cs="Arial Narrow" w:eastAsia="Arial Narrow" w:hAnsi="Arial Narrow"/>
          <w:sz w:val="22"/>
          <w:szCs w:val="22"/>
        </w:rPr>
        <w:t xml:space="preserve"> Hasta la época 21 los tres errores bajan juntos: la red aprende patrones que sirven para campos nuevos. Desde ahí el error de entrenamiento sigue bajando (hasta 0,006 en la época 400) pero el de validación y el de prueba suben (0,194 y 0,206): la red memoriza los campos de entrenamiento. Esa separación entre las curvas es el sobreajuste, y por eso se usa parada temprana.</w:t>
      </w:r>
    </w:p>
    <w:p>
      <w:pPr>
        <w:pStyle w:val="Heading3"/>
        <w:keepNext/>
        <w:spacing w:after="60" w:before="120"/>
      </w:pPr>
      <w:r>
        <w:rPr>
          <w:rFonts w:ascii="Arial Narrow" w:cs="Arial Narrow" w:eastAsia="Arial Narrow" w:hAnsi="Arial Narrow"/>
          <w:b/>
          <w:bCs/>
          <w:color w:val="404040"/>
          <w:sz w:val="23"/>
          <w:szCs w:val="23"/>
        </w:rPr>
        <w:t xml:space="preserve">Informe del mejor modelo</w:t>
      </w:r>
    </w:p>
    <w:p>
      <w:pPr>
        <w:spacing w:after="100" w:line="276"/>
        <w:jc w:val="both"/>
      </w:pPr>
      <w:r>
        <w:rPr>
          <w:rFonts w:ascii="Arial Narrow" w:cs="Arial Narrow" w:eastAsia="Arial Narrow" w:hAnsi="Arial Narrow"/>
          <w:sz w:val="22"/>
          <w:szCs w:val="22"/>
        </w:rPr>
        <w:t xml:space="preserve">Con la regla definida antes de ver la prueba (menor WAPE en validación cruzada), el mejor de los árboles de decisión es Random Forest (9,6%); el de la regresión lineal, Ridge (13,1%); y la red neuronal obtiene 13,4%. </w:t>
      </w:r>
      <w:r>
        <w:rPr>
          <w:rFonts w:ascii="Arial Narrow" w:cs="Arial Narrow" w:eastAsia="Arial Narrow" w:hAnsi="Arial Narrow"/>
          <w:b/>
          <w:bCs/>
          <w:sz w:val="22"/>
          <w:szCs w:val="22"/>
        </w:rPr>
        <w:t xml:space="preserve">Veredicto: Random Forest (ensamble de árboles).</w:t>
      </w:r>
      <w:r>
        <w:rPr>
          <w:rFonts w:ascii="Arial Narrow" w:cs="Arial Narrow" w:eastAsia="Arial Narrow" w:hAnsi="Arial Narrow"/>
          <w:sz w:val="22"/>
          <w:szCs w:val="22"/>
        </w:rPr>
        <w:t xml:space="preserve"> En el aplicativo, la página Modelos abre con este informe, que además se puede descargar en Excel.</w:t>
      </w:r>
    </w:p>
    <w:p>
      <w:pPr>
        <w:pStyle w:val="Heading1"/>
        <w:keepNext/>
        <w:spacing w:after="120" w:before="240"/>
      </w:pPr>
      <w:r>
        <w:rPr>
          <w:rFonts w:ascii="Arial Narrow" w:cs="Arial Narrow" w:eastAsia="Arial Narrow" w:hAnsi="Arial Narrow"/>
          <w:b/>
          <w:bCs/>
          <w:color w:val="000000"/>
          <w:sz w:val="30"/>
          <w:szCs w:val="30"/>
        </w:rPr>
        <w:t xml:space="preserve">7. Paso 6 — Evaluación y umbral (cuaderno, sección 5)</w:t>
      </w:r>
    </w:p>
    <w:p>
      <w:pPr>
        <w:pStyle w:val="Heading2"/>
        <w:keepNext/>
        <w:spacing w:after="80" w:before="160"/>
      </w:pPr>
      <w:r>
        <w:rPr>
          <w:rFonts w:ascii="Arial Narrow" w:cs="Arial Narrow" w:eastAsia="Arial Narrow" w:hAnsi="Arial Narrow"/>
          <w:b/>
          <w:bCs/>
          <w:color w:val="000000"/>
          <w:sz w:val="24"/>
          <w:szCs w:val="24"/>
        </w:rPr>
        <w:t xml:space="preserve">7.1 Métricas y fórmulas</w:t>
      </w:r>
    </w:p>
    <w:p>
      <w:pPr>
        <w:pStyle w:val="ListParagraph"/>
        <w:numPr>
          <w:ilvl w:val="0"/>
          <w:numId w:val="2"/>
        </w:numPr>
        <w:spacing w:after="60"/>
        <w:jc w:val="both"/>
      </w:pPr>
      <w:r>
        <w:rPr>
          <w:rFonts w:ascii="Arial Narrow" w:cs="Arial Narrow" w:eastAsia="Arial Narrow" w:hAnsi="Arial Narrow"/>
          <w:b/>
          <w:bCs/>
          <w:sz w:val="22"/>
          <w:szCs w:val="22"/>
        </w:rPr>
        <w:t xml:space="preserve">WAPE</w:t>
      </w:r>
      <w:r>
        <w:rPr>
          <w:rFonts w:ascii="Arial Narrow" w:cs="Arial Narrow" w:eastAsia="Arial Narrow" w:hAnsi="Arial Narrow"/>
          <w:sz w:val="22"/>
          <w:szCs w:val="22"/>
        </w:rPr>
        <w:t xml:space="preserve"> = Σ|pronóstico − real| / Σ real. Error en barriles: un error de 1.000 bpd pesa igual en un campo grande o pequeño.</w:t>
      </w:r>
    </w:p>
    <w:p>
      <w:pPr>
        <w:pStyle w:val="ListParagraph"/>
        <w:numPr>
          <w:ilvl w:val="0"/>
          <w:numId w:val="2"/>
        </w:numPr>
        <w:spacing w:after="60"/>
        <w:jc w:val="both"/>
      </w:pPr>
      <w:r>
        <w:rPr>
          <w:rFonts w:ascii="Arial Narrow" w:cs="Arial Narrow" w:eastAsia="Arial Narrow" w:hAnsi="Arial Narrow"/>
          <w:b/>
          <w:bCs/>
          <w:sz w:val="22"/>
          <w:szCs w:val="22"/>
        </w:rPr>
        <w:t xml:space="preserve">Sesgo total</w:t>
      </w:r>
      <w:r>
        <w:rPr>
          <w:rFonts w:ascii="Arial Narrow" w:cs="Arial Narrow" w:eastAsia="Arial Narrow" w:hAnsi="Arial Narrow"/>
          <w:sz w:val="22"/>
          <w:szCs w:val="22"/>
        </w:rPr>
        <w:t xml:space="preserve"> = Σ pronóstico / Σ real − 1. Positivo: se promete más de lo que llega.</w:t>
      </w:r>
    </w:p>
    <w:p>
      <w:pPr>
        <w:pStyle w:val="ListParagraph"/>
        <w:numPr>
          <w:ilvl w:val="0"/>
          <w:numId w:val="2"/>
        </w:numPr>
        <w:spacing w:after="60"/>
        <w:jc w:val="both"/>
      </w:pPr>
      <w:r>
        <w:rPr>
          <w:rFonts w:ascii="Arial Narrow" w:cs="Arial Narrow" w:eastAsia="Arial Narrow" w:hAnsi="Arial Narrow"/>
          <w:b/>
          <w:bCs/>
          <w:sz w:val="22"/>
          <w:szCs w:val="22"/>
        </w:rPr>
        <w:t xml:space="preserve">MAE y RMSE</w:t>
      </w:r>
      <w:r>
        <w:rPr>
          <w:rFonts w:ascii="Arial Narrow" w:cs="Arial Narrow" w:eastAsia="Arial Narrow" w:hAnsi="Arial Narrow"/>
          <w:sz w:val="22"/>
          <w:szCs w:val="22"/>
        </w:rPr>
        <w:t xml:space="preserve"> en barriles por día; </w:t>
      </w:r>
      <w:r>
        <w:rPr>
          <w:rFonts w:ascii="Arial Narrow" w:cs="Arial Narrow" w:eastAsia="Arial Narrow" w:hAnsi="Arial Narrow"/>
          <w:b/>
          <w:bCs/>
          <w:sz w:val="22"/>
          <w:szCs w:val="22"/>
        </w:rPr>
        <w:t xml:space="preserve">R² (log)</w:t>
      </w:r>
      <w:r>
        <w:rPr>
          <w:rFonts w:ascii="Arial Narrow" w:cs="Arial Narrow" w:eastAsia="Arial Narrow" w:hAnsi="Arial Narrow"/>
          <w:sz w:val="22"/>
          <w:szCs w:val="22"/>
        </w:rPr>
        <w:t xml:space="preserve">: proporción de la variación explicada en escala logarítmica.</w:t>
      </w:r>
    </w:p>
    <w:p>
      <w:pPr>
        <w:pStyle w:val="ListParagraph"/>
        <w:numPr>
          <w:ilvl w:val="0"/>
          <w:numId w:val="2"/>
        </w:numPr>
        <w:spacing w:after="60"/>
        <w:jc w:val="both"/>
      </w:pPr>
      <w:r>
        <w:rPr>
          <w:rFonts w:ascii="Arial Narrow" w:cs="Arial Narrow" w:eastAsia="Arial Narrow" w:hAnsi="Arial Narrow"/>
          <w:b/>
          <w:bCs/>
          <w:sz w:val="22"/>
          <w:szCs w:val="22"/>
        </w:rPr>
        <w:t xml:space="preserve">% campos con error &gt; 20%</w:t>
      </w:r>
      <w:r>
        <w:rPr>
          <w:rFonts w:ascii="Arial Narrow" w:cs="Arial Narrow" w:eastAsia="Arial Narrow" w:hAnsi="Arial Narrow"/>
          <w:sz w:val="22"/>
          <w:szCs w:val="22"/>
        </w:rPr>
        <w:t xml:space="preserve">: cuántos campos quedarían mal programados.</w:t>
      </w:r>
    </w:p>
    <w:p>
      <w:pPr>
        <w:pStyle w:val="Heading2"/>
        <w:keepNext/>
        <w:spacing w:after="80" w:before="160"/>
      </w:pPr>
      <w:r>
        <w:rPr>
          <w:rFonts w:ascii="Arial Narrow" w:cs="Arial Narrow" w:eastAsia="Arial Narrow" w:hAnsi="Arial Narrow"/>
          <w:b/>
          <w:bCs/>
          <w:color w:val="000000"/>
          <w:sz w:val="24"/>
          <w:szCs w:val="24"/>
        </w:rPr>
        <w:t xml:space="preserve">7.2 Resultados de la prueba 2026</w:t>
      </w:r>
    </w:p>
    <w:p>
      <w:pPr>
        <w:spacing w:after="100" w:line="276"/>
        <w:jc w:val="both"/>
      </w:pPr>
      <w:r>
        <w:rPr>
          <w:rFonts w:ascii="Arial Narrow" w:cs="Arial Narrow" w:eastAsia="Arial Narrow" w:hAnsi="Arial Narrow"/>
          <w:sz w:val="22"/>
          <w:szCs w:val="22"/>
        </w:rPr>
        <w:t xml:space="preserve">Modelo final: WAPE 8,4%, sesgo -3,1%. 1P tal cual: WAPE 25,4%, sesgo -8,7%. Persistencia: WAPE 8,1%. El modelo final reduce a la tercera parte el error de la 1P y empata con la persistencia en este semestre; en la validación cruzada la supera. Por tamaño, el error es de 3% en los campos de más de 20 mil bpd y de 22% en los de menos de mil.</w:t>
      </w:r>
    </w:p>
    <w:p>
      <w:pPr>
        <w:keepNext/>
        <w:spacing w:after="40"/>
        <w:jc w:val="center"/>
      </w:pPr>
      <w:r>
        <w:drawing>
          <wp:inline distT="0" distB="0" distL="0" distR="0">
            <wp:extent cx="5400675" cy="2162175"/>
            <wp:effectExtent t="0" r="0" b="0" l="0"/>
            <wp:docPr id="1" name="figura" descr="Figura 3. Pronóstico frente a real por campo en 2026." title="Figura 3. Pronóstico frente a real por campo e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1621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3. Pronóstico frente a real por campo en 2026.</w:t>
      </w:r>
    </w:p>
    <w:p>
      <w:pPr>
        <w:pStyle w:val="Heading2"/>
        <w:keepNext/>
        <w:spacing w:after="80" w:before="160"/>
      </w:pPr>
      <w:r>
        <w:rPr>
          <w:rFonts w:ascii="Arial Narrow" w:cs="Arial Narrow" w:eastAsia="Arial Narrow" w:hAnsi="Arial Narrow"/>
          <w:b/>
          <w:bCs/>
          <w:color w:val="000000"/>
          <w:sz w:val="24"/>
          <w:szCs w:val="24"/>
        </w:rPr>
        <w:t xml:space="preserve">7.3 El umbral de alerta</w:t>
      </w:r>
    </w:p>
    <w:p>
      <w:pPr>
        <w:spacing w:after="100" w:line="276"/>
        <w:jc w:val="both"/>
      </w:pPr>
      <w:r>
        <w:rPr>
          <w:rFonts w:ascii="Arial Narrow" w:cs="Arial Narrow" w:eastAsia="Arial Narrow" w:hAnsi="Arial Narrow"/>
          <w:sz w:val="22"/>
          <w:szCs w:val="22"/>
        </w:rPr>
        <w:t xml:space="preserve">Para cada campo se calcula el </w:t>
      </w:r>
      <w:r>
        <w:rPr>
          <w:rFonts w:ascii="Arial Narrow" w:cs="Arial Narrow" w:eastAsia="Arial Narrow" w:hAnsi="Arial Narrow"/>
          <w:b/>
          <w:bCs/>
          <w:sz w:val="22"/>
          <w:szCs w:val="22"/>
        </w:rPr>
        <w:t xml:space="preserve">cumplimiento pronosticado</w:t>
      </w:r>
      <w:r>
        <w:rPr>
          <w:rFonts w:ascii="Arial Narrow" w:cs="Arial Narrow" w:eastAsia="Arial Narrow" w:hAnsi="Arial Narrow"/>
          <w:sz w:val="22"/>
          <w:szCs w:val="22"/>
        </w:rPr>
        <w:t xml:space="preserve"> = pronóstico / 1P del año. Se marca una alerta si es menor que un umbral U. Para elegir U se probaron valores de 0,70 a 1,20 en la validación temporal 2025 y se escogió el que minimiza el costo = 3 × (incumplimientos no alertados) + 1 × (falsas alarmas). El costo es asimétrico porque no detectar un incumplimiento lleva a programar regalías que no llegan. Resultado: </w:t>
      </w:r>
      <w:r>
        <w:rPr>
          <w:rFonts w:ascii="Arial Narrow" w:cs="Arial Narrow" w:eastAsia="Arial Narrow" w:hAnsi="Arial Narrow"/>
          <w:b/>
          <w:bCs/>
          <w:sz w:val="22"/>
          <w:szCs w:val="22"/>
        </w:rPr>
        <w:t xml:space="preserve">U = 1.00</w:t>
      </w:r>
      <w:r>
        <w:rPr>
          <w:rFonts w:ascii="Arial Narrow" w:cs="Arial Narrow" w:eastAsia="Arial Narrow" w:hAnsi="Arial Narrow"/>
          <w:sz w:val="22"/>
          <w:szCs w:val="22"/>
        </w:rPr>
        <w:t xml:space="preserve">. En la prueba 2026 detectó 94% de los campos que produjeron menos del 90% de su 1P, con 69% de precisión.</w:t>
      </w:r>
    </w:p>
    <w:p>
      <w:pPr>
        <w:keepNext/>
        <w:spacing w:after="40"/>
        <w:jc w:val="center"/>
      </w:pPr>
      <w:r>
        <w:drawing>
          <wp:inline distT="0" distB="0" distL="0" distR="0">
            <wp:extent cx="3962400" cy="1981200"/>
            <wp:effectExtent t="0" r="0" b="0" l="0"/>
            <wp:docPr id="1" name="figura" descr="Figura 4. Costo medio por campo según el umbral (validación 2025)." title="Figura 4. Costo medio por campo según el umbral (validació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198120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4. Costo medio por campo según el umbral (validación 2025).</w:t>
      </w:r>
    </w:p>
    <w:p>
      <w:pPr>
        <w:pStyle w:val="Heading2"/>
        <w:keepNext/>
        <w:spacing w:after="80" w:before="160"/>
      </w:pPr>
      <w:r>
        <w:rPr>
          <w:rFonts w:ascii="Arial Narrow" w:cs="Arial Narrow" w:eastAsia="Arial Narrow" w:hAnsi="Arial Narrow"/>
          <w:b/>
          <w:bCs/>
          <w:color w:val="000000"/>
          <w:sz w:val="24"/>
          <w:szCs w:val="24"/>
        </w:rPr>
        <w:t xml:space="preserve">7.4 ¿Qué variables pesan más?</w:t>
      </w:r>
    </w:p>
    <w:p>
      <w:pPr>
        <w:spacing w:after="100" w:line="276"/>
        <w:jc w:val="both"/>
      </w:pPr>
      <w:r>
        <w:rPr>
          <w:rFonts w:ascii="Arial Narrow" w:cs="Arial Narrow" w:eastAsia="Arial Narrow" w:hAnsi="Arial Narrow"/>
          <w:sz w:val="22"/>
          <w:szCs w:val="22"/>
        </w:rPr>
        <w:t xml:space="preserve">La importancia por permutación mide cuánto empeora el modelo si se desordena una variable. Las dominantes son la producción del año anterior y la 1P del año; luego el departamento y las reservas probables y posibles. Valores cercanos a cero o negativos indican variables que en la prueba no aportan.</w:t>
      </w:r>
    </w:p>
    <w:p>
      <w:pPr>
        <w:keepNext/>
        <w:spacing w:after="40"/>
        <w:jc w:val="center"/>
      </w:pPr>
      <w:r>
        <w:drawing>
          <wp:inline distT="0" distB="0" distL="0" distR="0">
            <wp:extent cx="4324350" cy="2219325"/>
            <wp:effectExtent t="0" r="0" b="0" l="0"/>
            <wp:docPr id="1" name="figura" descr="Figura 5. Importancia por permutación del modelo final." title="Figura 5. Importancia por permutación del model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5. Importancia por permutación del modelo final.</w:t>
      </w:r>
    </w:p>
    <w:p>
      <w:pPr>
        <w:pStyle w:val="Heading1"/>
        <w:keepNext/>
        <w:spacing w:after="120" w:before="240"/>
      </w:pPr>
      <w:r>
        <w:rPr>
          <w:rFonts w:ascii="Arial Narrow" w:cs="Arial Narrow" w:eastAsia="Arial Narrow" w:hAnsi="Arial Narrow"/>
          <w:b/>
          <w:bCs/>
          <w:color w:val="000000"/>
          <w:sz w:val="30"/>
          <w:szCs w:val="30"/>
        </w:rPr>
        <w:t xml:space="preserve">8. Paso 7 — Segmentos de campos (aprendizaje no supervisado, sección 5.3)</w:t>
      </w:r>
    </w:p>
    <w:p>
      <w:pPr>
        <w:spacing w:after="100" w:line="276"/>
        <w:jc w:val="both"/>
      </w:pPr>
      <w:r>
        <w:rPr>
          <w:rFonts w:ascii="Arial Narrow" w:cs="Arial Narrow" w:eastAsia="Arial Narrow" w:hAnsi="Arial Narrow"/>
          <w:b/>
          <w:bCs/>
          <w:sz w:val="22"/>
          <w:szCs w:val="22"/>
        </w:rPr>
        <w:t xml:space="preserve">Qué se hizo.</w:t>
      </w:r>
      <w:r>
        <w:rPr>
          <w:rFonts w:ascii="Arial Narrow" w:cs="Arial Narrow" w:eastAsia="Arial Narrow" w:hAnsi="Arial Narrow"/>
          <w:sz w:val="22"/>
          <w:szCs w:val="22"/>
        </w:rPr>
        <w:t xml:space="preserve"> Se describió cada campo con seis variables (tamaño, cambio 2025/2024, cumplimiento de la 1P en 2025, declive de la 1P 2026-2030, años restantes de 1P y peso de las reservas probables), se estandarizaron y se agruparon con K-medias. Se probaron k = 2 a 7 y se comparó con el agrupamiento jerárquico de Ward usando el coeficiente de silueta (qué tan separados están los grupos). Se eligió k = 5 entre 3 y 6 por interpretabilidad. Los nombres se asignan automáticamente según qué variables se alejan más de la mediana.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7"/>
        <w:gridCol w:w="1071"/>
        <w:gridCol w:w="1530"/>
        <w:gridCol w:w="1683"/>
        <w:gridCol w:w="1147"/>
      </w:tblGrid>
      <w:tr>
        <w:trPr>
          <w:tblHeader/>
        </w:trPr>
        <w:tc>
          <w:tcPr>
            <w:tcW w:type="dxa" w:w="42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Segmento</w:t>
            </w:r>
          </w:p>
        </w:tc>
        <w:tc>
          <w:tcPr>
            <w:tcW w:type="dxa" w:w="107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w:t>
            </w:r>
          </w:p>
        </w:tc>
        <w:tc>
          <w:tcPr>
            <w:tcW w:type="dxa" w:w="15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Mediana log10 bpd</w:t>
            </w:r>
          </w:p>
        </w:tc>
        <w:tc>
          <w:tcPr>
            <w:tcW w:type="dxa" w:w="168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Cumplimiento 1P 2025</w:t>
            </w:r>
          </w:p>
        </w:tc>
        <w:tc>
          <w:tcPr>
            <w:tcW w:type="dxa" w:w="114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Años de 1P</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S1: Grandes de vida 1P larga</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3,51</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0,94</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w:t>
            </w:r>
          </w:p>
        </w:tc>
      </w:tr>
      <w:tr>
        <w:trPr>
          <w:cantSplit/>
        </w:trPr>
        <w:tc>
          <w:tcPr>
            <w:tcW w:type="dxa" w:w="42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S2: Medianos de vida 1P corta</w:t>
            </w:r>
          </w:p>
        </w:tc>
        <w:tc>
          <w:tcPr>
            <w:tcW w:type="dxa" w:w="10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w:t>
            </w:r>
          </w:p>
        </w:tc>
        <w:tc>
          <w:tcPr>
            <w:tcW w:type="dxa" w:w="15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2,36</w:t>
            </w:r>
          </w:p>
        </w:tc>
        <w:tc>
          <w:tcPr>
            <w:tcW w:type="dxa" w:w="16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0,94</w:t>
            </w:r>
          </w:p>
        </w:tc>
        <w:tc>
          <w:tcPr>
            <w:tcW w:type="dxa" w:w="11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S3: Medianos con potencial probable</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2,13</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0,89</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w:t>
            </w:r>
          </w:p>
        </w:tc>
      </w:tr>
      <w:tr>
        <w:trPr>
          <w:cantSplit/>
        </w:trPr>
        <w:tc>
          <w:tcPr>
            <w:tcW w:type="dxa" w:w="42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S4: Pequeños por debajo de su 1P en declive</w:t>
            </w:r>
          </w:p>
        </w:tc>
        <w:tc>
          <w:tcPr>
            <w:tcW w:type="dxa" w:w="10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w:t>
            </w:r>
          </w:p>
        </w:tc>
        <w:tc>
          <w:tcPr>
            <w:tcW w:type="dxa" w:w="15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1,07</w:t>
            </w:r>
          </w:p>
        </w:tc>
        <w:tc>
          <w:tcPr>
            <w:tcW w:type="dxa" w:w="168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0,13</w:t>
            </w:r>
          </w:p>
        </w:tc>
        <w:tc>
          <w:tcPr>
            <w:tcW w:type="dxa" w:w="11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w:t>
            </w:r>
          </w:p>
        </w:tc>
      </w:tr>
      <w:tr>
        <w:trPr>
          <w:cantSplit/>
        </w:trPr>
        <w:tc>
          <w:tcPr>
            <w:tcW w:type="dxa" w:w="42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S5: Medianos</w:t>
            </w:r>
          </w:p>
        </w:tc>
        <w:tc>
          <w:tcPr>
            <w:tcW w:type="dxa" w:w="10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w:t>
            </w:r>
          </w:p>
        </w:tc>
        <w:tc>
          <w:tcPr>
            <w:tcW w:type="dxa" w:w="15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2,57</w:t>
            </w:r>
          </w:p>
        </w:tc>
        <w:tc>
          <w:tcPr>
            <w:tcW w:type="dxa" w:w="168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1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w:t>
            </w:r>
          </w:p>
        </w:tc>
      </w:tr>
    </w:tbl>
    <w:p>
      <w:pPr>
        <w:spacing w:after="160" w:line="276"/>
        <w:jc w:val="center"/>
      </w:pPr>
      <w:r>
        <w:rPr>
          <w:rFonts w:ascii="Arial Narrow" w:cs="Arial Narrow" w:eastAsia="Arial Narrow" w:hAnsi="Arial Narrow"/>
          <w:i/>
          <w:iCs/>
          <w:color w:val="404040"/>
          <w:sz w:val="22"/>
          <w:szCs w:val="22"/>
        </w:rPr>
        <w:t xml:space="preserve">Tabla 7. Segmentos encontrados.</w:t>
      </w:r>
    </w:p>
    <w:p>
      <w:pPr>
        <w:spacing w:after="100" w:line="276"/>
        <w:jc w:val="both"/>
      </w:pPr>
      <w:r>
        <w:rPr>
          <w:rFonts w:ascii="Arial Narrow" w:cs="Arial Narrow" w:eastAsia="Arial Narrow" w:hAnsi="Arial Narrow"/>
          <w:b/>
          <w:bCs/>
          <w:sz w:val="22"/>
          <w:szCs w:val="22"/>
        </w:rPr>
        <w:t xml:space="preserve">Qué significan el componente 1 y el componente 2.</w:t>
      </w:r>
      <w:r>
        <w:rPr>
          <w:rFonts w:ascii="Arial Narrow" w:cs="Arial Narrow" w:eastAsia="Arial Narrow" w:hAnsi="Arial Narrow"/>
          <w:sz w:val="22"/>
          <w:szCs w:val="22"/>
        </w:rPr>
        <w:t xml:space="preserve"> Para dibujar los campos en un plano, las seis variables se resumen en dos componentes principales. El </w:t>
      </w:r>
      <w:r>
        <w:rPr>
          <w:rFonts w:ascii="Arial Narrow" w:cs="Arial Narrow" w:eastAsia="Arial Narrow" w:hAnsi="Arial Narrow"/>
          <w:b/>
          <w:bCs/>
          <w:sz w:val="22"/>
          <w:szCs w:val="22"/>
        </w:rPr>
        <w:t xml:space="preserve">componente 1</w:t>
      </w:r>
      <w:r>
        <w:rPr>
          <w:rFonts w:ascii="Arial Narrow" w:cs="Arial Narrow" w:eastAsia="Arial Narrow" w:hAnsi="Arial Narrow"/>
          <w:sz w:val="22"/>
          <w:szCs w:val="22"/>
        </w:rPr>
        <w:t xml:space="preserve"> (35% de la variación) mide </w:t>
      </w:r>
      <w:r>
        <w:rPr>
          <w:rFonts w:ascii="Arial Narrow" w:cs="Arial Narrow" w:eastAsia="Arial Narrow" w:hAnsi="Arial Narrow"/>
          <w:b/>
          <w:bCs/>
          <w:sz w:val="22"/>
          <w:szCs w:val="22"/>
        </w:rPr>
        <w:t xml:space="preserve">tamaño y desempeño frente a la 1P</w:t>
      </w:r>
      <w:r>
        <w:rPr>
          <w:rFonts w:ascii="Arial Narrow" w:cs="Arial Narrow" w:eastAsia="Arial Narrow" w:hAnsi="Arial Narrow"/>
          <w:sz w:val="22"/>
          <w:szCs w:val="22"/>
        </w:rPr>
        <w:t xml:space="preserve">: es alto en campos grandes, estables o en crecimiento y que cumplen su 1P, y bajo en campos pequeños, en caída y por debajo de su 1P. El </w:t>
      </w:r>
      <w:r>
        <w:rPr>
          <w:rFonts w:ascii="Arial Narrow" w:cs="Arial Narrow" w:eastAsia="Arial Narrow" w:hAnsi="Arial Narrow"/>
          <w:b/>
          <w:bCs/>
          <w:sz w:val="22"/>
          <w:szCs w:val="22"/>
        </w:rPr>
        <w:t xml:space="preserve">componente 2</w:t>
      </w:r>
      <w:r>
        <w:rPr>
          <w:rFonts w:ascii="Arial Narrow" w:cs="Arial Narrow" w:eastAsia="Arial Narrow" w:hAnsi="Arial Narrow"/>
          <w:sz w:val="22"/>
          <w:szCs w:val="22"/>
        </w:rPr>
        <w:t xml:space="preserve"> (26%) mide el </w:t>
      </w:r>
      <w:r>
        <w:rPr>
          <w:rFonts w:ascii="Arial Narrow" w:cs="Arial Narrow" w:eastAsia="Arial Narrow" w:hAnsi="Arial Narrow"/>
          <w:b/>
          <w:bCs/>
          <w:sz w:val="22"/>
          <w:szCs w:val="22"/>
        </w:rPr>
        <w:t xml:space="preserve">horizonte de la 1P</w:t>
      </w:r>
      <w:r>
        <w:rPr>
          <w:rFonts w:ascii="Arial Narrow" w:cs="Arial Narrow" w:eastAsia="Arial Narrow" w:hAnsi="Arial Narrow"/>
          <w:sz w:val="22"/>
          <w:szCs w:val="22"/>
        </w:rPr>
        <w:t xml:space="preserve">: es alto en campos con muchos años de 1P y declive suave, aunque hoy produzcan algo por debajo de ella, y bajo en campos que hoy cumplen su 1P pero cuya 1P se agota pronto.</w:t>
      </w:r>
    </w:p>
    <w:p>
      <w:pPr>
        <w:spacing w:after="100" w:line="276"/>
        <w:jc w:val="both"/>
      </w:pPr>
      <w:r>
        <w:rPr>
          <w:rFonts w:ascii="Arial Narrow" w:cs="Arial Narrow" w:eastAsia="Arial Narrow" w:hAnsi="Arial Narrow"/>
          <w:b/>
          <w:bCs/>
          <w:sz w:val="22"/>
          <w:szCs w:val="22"/>
        </w:rPr>
        <w:t xml:space="preserve">Ejemplo de interpretación.</w:t>
      </w:r>
      <w:r>
        <w:rPr>
          <w:rFonts w:ascii="Arial Narrow" w:cs="Arial Narrow" w:eastAsia="Arial Narrow" w:hAnsi="Arial Narrow"/>
          <w:sz w:val="22"/>
          <w:szCs w:val="22"/>
        </w:rPr>
        <w:t xml:space="preserve"> Campo_075 aparece arriba a la derecha: es grande (unos 55 mil bpd en 2025), cumple su 1P (1,13) y le quedan 22 años de 1P; pertenece a «S1: Grandes de vida 1P larga». Campo_068 aparece en el extremo izquierdo: produce menos de un barril diario y su cumplimiento fue 0,01; pertenece a «S4: Pequeños por debajo de su 1P en declive». Cuanto más a la izquierda está un campo, mayor el riesgo de que las regalías calculadas con su 1P no lleguen; cuanto más abajo, más pronto se agota su 1P.</w:t>
      </w:r>
    </w:p>
    <w:p>
      <w:pPr>
        <w:spacing w:after="100" w:line="276"/>
        <w:jc w:val="both"/>
      </w:pPr>
      <w:r>
        <w:rPr>
          <w:rFonts w:ascii="Arial Narrow" w:cs="Arial Narrow" w:eastAsia="Arial Narrow" w:hAnsi="Arial Narrow"/>
          <w:b/>
          <w:bCs/>
          <w:sz w:val="22"/>
          <w:szCs w:val="22"/>
        </w:rPr>
        <w:t xml:space="preserve">Para qué sirve.</w:t>
      </w:r>
      <w:r>
        <w:rPr>
          <w:rFonts w:ascii="Arial Narrow" w:cs="Arial Narrow" w:eastAsia="Arial Narrow" w:hAnsi="Arial Narrow"/>
          <w:sz w:val="22"/>
          <w:szCs w:val="22"/>
        </w:rPr>
        <w:t xml:space="preserve"> S2 (vida de 1P corta) explica la caída de la producción después de 2027; S4 (por debajo de su 1P y en declive) concentra el riesgo de incumplimiento; S1 (grandes de vida larga) sostiene la producción de largo plazo.</w:t>
      </w:r>
    </w:p>
    <w:p>
      <w:pPr>
        <w:pStyle w:val="Heading1"/>
        <w:keepNext/>
        <w:spacing w:after="120" w:before="240"/>
      </w:pPr>
      <w:r>
        <w:rPr>
          <w:rFonts w:ascii="Arial Narrow" w:cs="Arial Narrow" w:eastAsia="Arial Narrow" w:hAnsi="Arial Narrow"/>
          <w:b/>
          <w:bCs/>
          <w:color w:val="000000"/>
          <w:sz w:val="30"/>
          <w:szCs w:val="30"/>
        </w:rPr>
        <w:t xml:space="preserve">9. Paso 8 — Pronóstico 2026-2060 (cuaderno, sección 6)</w:t>
      </w:r>
    </w:p>
    <w:p>
      <w:pPr>
        <w:spacing w:after="100" w:line="276"/>
        <w:jc w:val="both"/>
      </w:pPr>
      <w:r>
        <w:rPr>
          <w:rFonts w:ascii="Arial Narrow" w:cs="Arial Narrow" w:eastAsia="Arial Narrow" w:hAnsi="Arial Narrow"/>
          <w:b/>
          <w:bCs/>
          <w:sz w:val="22"/>
          <w:szCs w:val="22"/>
        </w:rPr>
        <w:t xml:space="preserve">Algoritmo año a año (recursivo):</w:t>
      </w:r>
    </w:p>
    <w:p>
      <w:pPr>
        <w:pStyle w:val="ListParagraph"/>
        <w:numPr>
          <w:ilvl w:val="0"/>
          <w:numId w:val="4"/>
        </w:numPr>
        <w:spacing w:after="60"/>
        <w:jc w:val="both"/>
      </w:pPr>
      <w:r>
        <w:rPr>
          <w:rFonts w:ascii="Arial Narrow" w:cs="Arial Narrow" w:eastAsia="Arial Narrow" w:hAnsi="Arial Narrow"/>
          <w:sz w:val="22"/>
          <w:szCs w:val="22"/>
        </w:rPr>
        <w:t xml:space="preserve">Se reentrena el modelo final con 2024, 2025 y 2026 (todo lo observado).</w:t>
      </w:r>
    </w:p>
    <w:p>
      <w:pPr>
        <w:pStyle w:val="ListParagraph"/>
        <w:numPr>
          <w:ilvl w:val="0"/>
          <w:numId w:val="4"/>
        </w:numPr>
        <w:spacing w:after="60"/>
        <w:jc w:val="both"/>
      </w:pPr>
      <w:r>
        <w:rPr>
          <w:rFonts w:ascii="Arial Narrow" w:cs="Arial Narrow" w:eastAsia="Arial Narrow" w:hAnsi="Arial Narrow"/>
          <w:b/>
          <w:bCs/>
          <w:sz w:val="22"/>
          <w:szCs w:val="22"/>
        </w:rPr>
        <w:t xml:space="preserve">2026:</w:t>
      </w:r>
      <w:r>
        <w:rPr>
          <w:rFonts w:ascii="Arial Narrow" w:cs="Arial Narrow" w:eastAsia="Arial Narrow" w:hAnsi="Arial Narrow"/>
          <w:sz w:val="22"/>
          <w:szCs w:val="22"/>
        </w:rPr>
        <w:t xml:space="preserve"> producción = real de enero-junio + pronóstico de julio-diciembre (184 días × barriles por día pronosticados con la producción de 2025). Si un campo no reportó en el primer semestre de 2026, su segundo semestre es cero. Los campos sin 1P usan su ritmo de enero-junio (persistencia).</w:t>
      </w:r>
    </w:p>
    <w:p>
      <w:pPr>
        <w:pStyle w:val="ListParagraph"/>
        <w:numPr>
          <w:ilvl w:val="0"/>
          <w:numId w:val="4"/>
        </w:numPr>
        <w:spacing w:after="60"/>
        <w:jc w:val="both"/>
      </w:pPr>
      <w:r>
        <w:rPr>
          <w:rFonts w:ascii="Arial Narrow" w:cs="Arial Narrow" w:eastAsia="Arial Narrow" w:hAnsi="Arial Narrow"/>
          <w:b/>
          <w:bCs/>
          <w:sz w:val="22"/>
          <w:szCs w:val="22"/>
        </w:rPr>
        <w:t xml:space="preserve">Desde 2027:</w:t>
      </w:r>
      <w:r>
        <w:rPr>
          <w:rFonts w:ascii="Arial Narrow" w:cs="Arial Narrow" w:eastAsia="Arial Narrow" w:hAnsi="Arial Narrow"/>
          <w:sz w:val="22"/>
          <w:szCs w:val="22"/>
        </w:rPr>
        <w:t xml:space="preserve"> para cada campo con 1P &gt; 0 en el año se pronostica con el modelo usando como «año anterior» el pronóstico del año previo. Si el campo tiene 1P pero nunca ha producido, se usa su perfil 1P.</w:t>
      </w:r>
    </w:p>
    <w:p>
      <w:pPr>
        <w:pStyle w:val="ListParagraph"/>
        <w:numPr>
          <w:ilvl w:val="0"/>
          <w:numId w:val="4"/>
        </w:numPr>
        <w:spacing w:after="60"/>
        <w:jc w:val="both"/>
      </w:pPr>
      <w:r>
        <w:rPr>
          <w:rFonts w:ascii="Arial Narrow" w:cs="Arial Narrow" w:eastAsia="Arial Narrow" w:hAnsi="Arial Narrow"/>
          <w:b/>
          <w:bCs/>
          <w:sz w:val="22"/>
          <w:szCs w:val="22"/>
        </w:rPr>
        <w:t xml:space="preserve">Tope:</w:t>
      </w:r>
      <w:r>
        <w:rPr>
          <w:rFonts w:ascii="Arial Narrow" w:cs="Arial Narrow" w:eastAsia="Arial Narrow" w:hAnsi="Arial Narrow"/>
          <w:sz w:val="22"/>
          <w:szCs w:val="22"/>
        </w:rPr>
        <w:t xml:space="preserve"> pronóstico = mínimo entre el modelo y la 1P del año. Si la 1P es cero, el campo no se pronostica y se informa su último año con 1P.</w:t>
      </w:r>
    </w:p>
    <w:p>
      <w:pPr>
        <w:pStyle w:val="ListParagraph"/>
        <w:numPr>
          <w:ilvl w:val="0"/>
          <w:numId w:val="4"/>
        </w:numPr>
        <w:spacing w:after="60"/>
        <w:jc w:val="both"/>
      </w:pPr>
      <w:r>
        <w:rPr>
          <w:rFonts w:ascii="Arial Narrow" w:cs="Arial Narrow" w:eastAsia="Arial Narrow" w:hAnsi="Arial Narrow"/>
          <w:sz w:val="22"/>
          <w:szCs w:val="22"/>
        </w:rPr>
        <w:t xml:space="preserve">Se repite hasta 2060 y se guarda todo en artefactos/hechos_campo_anio.csv (una fila por campo y año).</w:t>
      </w:r>
    </w:p>
    <w:p>
      <w:pPr>
        <w:spacing w:after="100" w:line="276"/>
        <w:jc w:val="both"/>
      </w:pPr>
      <w:r>
        <w:rPr>
          <w:rFonts w:ascii="Arial Narrow" w:cs="Arial Narrow" w:eastAsia="Arial Narrow" w:hAnsi="Arial Narrow"/>
          <w:b/>
          <w:bCs/>
          <w:sz w:val="22"/>
          <w:szCs w:val="22"/>
        </w:rPr>
        <w:t xml:space="preserve">Ejemplo con Campo_325:</w:t>
      </w:r>
      <w:r>
        <w:rPr>
          <w:rFonts w:ascii="Arial Narrow" w:cs="Arial Narrow" w:eastAsia="Arial Narrow" w:hAnsi="Arial Narrow"/>
          <w:sz w:val="22"/>
          <w:szCs w:val="22"/>
        </w:rPr>
        <w:t xml:space="preserve"> en 2025 produjo 94.380 bpd. Para 2026 el modelo da un total de 33,99 millones de barriles (real enero-junio 16,87 + pronóstico 17,12), es decir 93.114 bpd, por encima de su 1P 2026 (30,05 millones; en 2026 no hay tope). En 2027 el modelo pronostica más que la 1P, así que se aplica el tope: 28,97 millones de barriles = 1P 2027.</w:t>
      </w:r>
    </w:p>
    <w:p>
      <w:pPr>
        <w:keepNext/>
        <w:spacing w:after="40"/>
        <w:jc w:val="center"/>
      </w:pPr>
      <w:r>
        <w:drawing>
          <wp:inline distT="0" distB="0" distL="0" distR="0">
            <wp:extent cx="5400675" cy="2219325"/>
            <wp:effectExtent t="0" r="0" b="0" l="0"/>
            <wp:docPr id="1" name="figura" descr="Figura 6. Producción nacional real y pronosticada." title="Figura 6. Producción nacional real y pronost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6. Producción nacional real y pronosticada.</w:t>
      </w:r>
    </w:p>
    <w:p>
      <w:pPr>
        <w:pStyle w:val="Heading1"/>
        <w:keepNext/>
        <w:spacing w:after="120" w:before="240"/>
      </w:pPr>
      <w:r>
        <w:rPr>
          <w:rFonts w:ascii="Arial Narrow" w:cs="Arial Narrow" w:eastAsia="Arial Narrow" w:hAnsi="Arial Narrow"/>
          <w:b/>
          <w:bCs/>
          <w:color w:val="000000"/>
          <w:sz w:val="30"/>
          <w:szCs w:val="30"/>
        </w:rPr>
        <w:t xml:space="preserve">10. Paso 9 — Regalías</w:t>
      </w:r>
    </w:p>
    <w:p>
      <w:pPr>
        <w:spacing w:after="100" w:line="276"/>
        <w:jc w:val="both"/>
      </w:pPr>
      <w:r>
        <w:rPr>
          <w:rFonts w:ascii="Arial Narrow" w:cs="Arial Narrow" w:eastAsia="Arial Narrow" w:hAnsi="Arial Narrow"/>
          <w:b/>
          <w:bCs/>
          <w:sz w:val="22"/>
          <w:szCs w:val="22"/>
        </w:rPr>
        <w:t xml:space="preserve">Regla legal:</w:t>
      </w:r>
      <w:r>
        <w:rPr>
          <w:rFonts w:ascii="Arial Narrow" w:cs="Arial Narrow" w:eastAsia="Arial Narrow" w:hAnsi="Arial Narrow"/>
          <w:sz w:val="22"/>
          <w:szCs w:val="22"/>
        </w:rPr>
        <w:t xml:space="preserve"> la Ley 756 de 2002 (art. 16) fija la regalía como un porcentaje de la producción que depende de la producción diaria promedio del campo: 8% hasta 5.000 bpd; entre 5.000 y 125.000 bpd, 8% más 0,1 puntos por cada mil bpd adicionales; 20% entre 125.000 y 400.000; entre 400.000 y 600.000, 20% más 0,025 puntos por cada mil bpd; 25% por encima de 600.000. Para crudos pesados (API ≤ 15) es el 75% de esa tasa.</w:t>
      </w:r>
    </w:p>
    <w:p>
      <w:pPr>
        <w:pStyle w:val="ListParagraph"/>
        <w:numPr>
          <w:ilvl w:val="0"/>
          <w:numId w:val="2"/>
        </w:numPr>
        <w:spacing w:after="60"/>
        <w:jc w:val="both"/>
      </w:pPr>
      <w:r>
        <w:rPr>
          <w:rFonts w:ascii="Arial Narrow" w:cs="Arial Narrow" w:eastAsia="Arial Narrow" w:hAnsi="Arial Narrow"/>
          <w:b/>
          <w:bCs/>
          <w:sz w:val="22"/>
          <w:szCs w:val="22"/>
        </w:rPr>
        <w:t xml:space="preserve">Regalías proyectadas (1P)</w:t>
      </w:r>
      <w:r>
        <w:rPr>
          <w:rFonts w:ascii="Arial Narrow" w:cs="Arial Narrow" w:eastAsia="Arial Narrow" w:hAnsi="Arial Narrow"/>
          <w:sz w:val="22"/>
          <w:szCs w:val="22"/>
        </w:rPr>
        <w:t xml:space="preserve"> = Reserva 1P del año × tasa calculada con los barriles por día de la 1P.</w:t>
      </w:r>
    </w:p>
    <w:p>
      <w:pPr>
        <w:pStyle w:val="ListParagraph"/>
        <w:numPr>
          <w:ilvl w:val="0"/>
          <w:numId w:val="2"/>
        </w:numPr>
        <w:spacing w:after="60"/>
        <w:jc w:val="both"/>
      </w:pPr>
      <w:r>
        <w:rPr>
          <w:rFonts w:ascii="Arial Narrow" w:cs="Arial Narrow" w:eastAsia="Arial Narrow" w:hAnsi="Arial Narrow"/>
          <w:b/>
          <w:bCs/>
          <w:sz w:val="22"/>
          <w:szCs w:val="22"/>
        </w:rPr>
        <w:t xml:space="preserve">Regalías a partir de la producción</w:t>
      </w:r>
      <w:r>
        <w:rPr>
          <w:rFonts w:ascii="Arial Narrow" w:cs="Arial Narrow" w:eastAsia="Arial Narrow" w:hAnsi="Arial Narrow"/>
          <w:sz w:val="22"/>
          <w:szCs w:val="22"/>
        </w:rPr>
        <w:t xml:space="preserve"> = producción (real o pronosticada) × tasa calculada con los barriles por día de esa producción.</w:t>
      </w:r>
    </w:p>
    <w:p>
      <w:pPr>
        <w:pStyle w:val="ListParagraph"/>
        <w:numPr>
          <w:ilvl w:val="0"/>
          <w:numId w:val="2"/>
        </w:numPr>
        <w:spacing w:after="60"/>
        <w:jc w:val="both"/>
      </w:pPr>
      <w:r>
        <w:rPr>
          <w:rFonts w:ascii="Arial Narrow" w:cs="Arial Narrow" w:eastAsia="Arial Narrow" w:hAnsi="Arial Narrow"/>
          <w:b/>
          <w:bCs/>
          <w:sz w:val="22"/>
          <w:szCs w:val="22"/>
        </w:rPr>
        <w:t xml:space="preserve">En USD</w:t>
      </w:r>
      <w:r>
        <w:rPr>
          <w:rFonts w:ascii="Arial Narrow" w:cs="Arial Narrow" w:eastAsia="Arial Narrow" w:hAnsi="Arial Narrow"/>
          <w:sz w:val="22"/>
          <w:szCs w:val="22"/>
        </w:rPr>
        <w:t xml:space="preserve"> = barriles de regalía × precio promedio anual WTI o Brent elegido.</w:t>
      </w:r>
    </w:p>
    <w:p>
      <w:pPr>
        <w:pStyle w:val="ListParagraph"/>
        <w:numPr>
          <w:ilvl w:val="0"/>
          <w:numId w:val="2"/>
        </w:numPr>
        <w:spacing w:after="60"/>
        <w:jc w:val="both"/>
      </w:pPr>
      <w:r>
        <w:rPr>
          <w:rFonts w:ascii="Arial Narrow" w:cs="Arial Narrow" w:eastAsia="Arial Narrow" w:hAnsi="Arial Narrow"/>
          <w:b/>
          <w:bCs/>
          <w:sz w:val="22"/>
          <w:szCs w:val="22"/>
        </w:rPr>
        <w:t xml:space="preserve">Pronosticado = Reservas 1P × precio</w:t>
      </w:r>
      <w:r>
        <w:rPr>
          <w:rFonts w:ascii="Arial Narrow" w:cs="Arial Narrow" w:eastAsia="Arial Narrow" w:hAnsi="Arial Narrow"/>
          <w:sz w:val="22"/>
          <w:szCs w:val="22"/>
        </w:rPr>
        <w:t xml:space="preserve"> (fórmula del enunciado, punto 4): es el valor bruto de la producción 1P del año; se muestra aparte.</w:t>
      </w:r>
    </w:p>
    <w:p>
      <w:pPr>
        <w:spacing w:after="100" w:line="276"/>
        <w:jc w:val="both"/>
      </w:pPr>
      <w:r>
        <w:rPr>
          <w:rFonts w:ascii="Arial Narrow" w:cs="Arial Narrow" w:eastAsia="Arial Narrow" w:hAnsi="Arial Narrow"/>
          <w:b/>
          <w:bCs/>
          <w:sz w:val="22"/>
          <w:szCs w:val="22"/>
        </w:rPr>
        <w:t xml:space="preserve">Ejemplo con Campo_325 2026:</w:t>
      </w:r>
      <w:r>
        <w:rPr>
          <w:rFonts w:ascii="Arial Narrow" w:cs="Arial Narrow" w:eastAsia="Arial Narrow" w:hAnsi="Arial Narrow"/>
          <w:sz w:val="22"/>
          <w:szCs w:val="22"/>
        </w:rPr>
        <w:t xml:space="preserve"> 93.114 bpd → tasa = 8% + (93,1 − 5) × 0,1 = 16,8%. Regalías = 33.986.483 bl × 16,8% = 5.713.592 bl. A WTI 84,98 USD/bl: USD 485,5 millones. </w:t>
      </w:r>
      <w:r>
        <w:rPr>
          <w:rFonts w:ascii="Arial Narrow" w:cs="Arial Narrow" w:eastAsia="Arial Narrow" w:hAnsi="Arial Narrow"/>
          <w:b/>
          <w:bCs/>
          <w:sz w:val="22"/>
          <w:szCs w:val="22"/>
        </w:rPr>
        <w:t xml:space="preserve">Pronosticado</w:t>
      </w:r>
      <w:r>
        <w:rPr>
          <w:rFonts w:ascii="Arial Narrow" w:cs="Arial Narrow" w:eastAsia="Arial Narrow" w:hAnsi="Arial Narrow"/>
          <w:sz w:val="22"/>
          <w:szCs w:val="22"/>
        </w:rPr>
        <w:t xml:space="preserve"> = 1P 2026 30.050.205 bl × 84,98 = USD 2.553,7 millones.</w:t>
      </w:r>
    </w:p>
    <w:p>
      <w:pPr>
        <w:spacing w:after="100" w:line="276"/>
        <w:jc w:val="both"/>
      </w:pPr>
      <w:r>
        <w:rPr>
          <w:rFonts w:ascii="Arial Narrow" w:cs="Arial Narrow" w:eastAsia="Arial Narrow" w:hAnsi="Arial Narrow"/>
          <w:b/>
          <w:bCs/>
          <w:sz w:val="22"/>
          <w:szCs w:val="22"/>
        </w:rPr>
        <w:t xml:space="preserve">Supuestos y opciones.</w:t>
      </w:r>
      <w:r>
        <w:rPr>
          <w:rFonts w:ascii="Arial Narrow" w:cs="Arial Narrow" w:eastAsia="Arial Narrow" w:hAnsi="Arial Narrow"/>
          <w:sz w:val="22"/>
          <w:szCs w:val="22"/>
        </w:rPr>
        <w:t xml:space="preserve"> El archivo no trae la gravedad API, así que no se aplica el descuento de crudos pesados; y la ley usa promedio mensual, aquí se usa el anual. Por eso el aplicativo ofrece tres opciones de tasa: (1) escala de la Ley 756 para todos; (2) escala para contratos E&amp;P y E&amp;E y 20% fijo para contratos de asociación y convenios (supuesto de régimen anterior); (3) una tasa fija que defina el usuario.</w:t>
      </w:r>
    </w:p>
    <w:p>
      <w:pPr>
        <w:pStyle w:val="Heading1"/>
        <w:keepNext/>
        <w:spacing w:after="120" w:before="240"/>
      </w:pPr>
      <w:r>
        <w:rPr>
          <w:rFonts w:ascii="Arial Narrow" w:cs="Arial Narrow" w:eastAsia="Arial Narrow" w:hAnsi="Arial Narrow"/>
          <w:b/>
          <w:bCs/>
          <w:color w:val="000000"/>
          <w:sz w:val="30"/>
          <w:szCs w:val="30"/>
        </w:rPr>
        <w:t xml:space="preserve">11. Paso 10 — El aplicativo local</w:t>
      </w:r>
    </w:p>
    <w:p>
      <w:pPr>
        <w:pStyle w:val="Heading2"/>
        <w:keepNext/>
        <w:spacing w:after="80" w:before="160"/>
      </w:pPr>
      <w:r>
        <w:rPr>
          <w:rFonts w:ascii="Arial Narrow" w:cs="Arial Narrow" w:eastAsia="Arial Narrow" w:hAnsi="Arial Narrow"/>
          <w:b/>
          <w:bCs/>
          <w:color w:val="000000"/>
          <w:sz w:val="24"/>
          <w:szCs w:val="24"/>
        </w:rPr>
        <w:t xml:space="preserve">11.1 Cómo abrirlo</w:t>
      </w:r>
    </w:p>
    <w:p>
      <w:pPr>
        <w:pStyle w:val="ListParagraph"/>
        <w:numPr>
          <w:ilvl w:val="0"/>
          <w:numId w:val="5"/>
        </w:numPr>
        <w:spacing w:after="60"/>
        <w:jc w:val="both"/>
      </w:pPr>
      <w:r>
        <w:rPr>
          <w:rFonts w:ascii="Arial Narrow" w:cs="Arial Narrow" w:eastAsia="Arial Narrow" w:hAnsi="Arial Narrow"/>
          <w:sz w:val="22"/>
          <w:szCs w:val="22"/>
        </w:rPr>
        <w:t xml:space="preserve">Copiar la carpeta del proyecto al computador (por ejemplo, en Documentos).</w:t>
      </w:r>
    </w:p>
    <w:p>
      <w:pPr>
        <w:pStyle w:val="ListParagraph"/>
        <w:numPr>
          <w:ilvl w:val="0"/>
          <w:numId w:val="5"/>
        </w:numPr>
        <w:spacing w:after="60"/>
        <w:jc w:val="both"/>
      </w:pPr>
      <w:r>
        <w:rPr>
          <w:rFonts w:ascii="Arial Narrow" w:cs="Arial Narrow" w:eastAsia="Arial Narrow" w:hAnsi="Arial Narrow"/>
          <w:sz w:val="22"/>
          <w:szCs w:val="22"/>
        </w:rPr>
        <w:t xml:space="preserve">En Mac: doble clic en </w:t>
      </w:r>
      <w:r>
        <w:rPr>
          <w:rFonts w:ascii="Arial Narrow" w:cs="Arial Narrow" w:eastAsia="Arial Narrow" w:hAnsi="Arial Narrow"/>
          <w:b/>
          <w:bCs/>
          <w:sz w:val="22"/>
          <w:szCs w:val="22"/>
        </w:rPr>
        <w:t xml:space="preserve">iniciar_app.command</w:t>
      </w:r>
      <w:r>
        <w:rPr>
          <w:rFonts w:ascii="Arial Narrow" w:cs="Arial Narrow" w:eastAsia="Arial Narrow" w:hAnsi="Arial Narrow"/>
          <w:sz w:val="22"/>
          <w:szCs w:val="22"/>
        </w:rPr>
        <w:t xml:space="preserve"> (si macOS lo bloquea: clic derecho → Abrir). La primera vez crea un entorno </w:t>
      </w:r>
      <w:r>
        <w:rPr>
          <w:rFonts w:ascii="Arial Narrow" w:cs="Arial Narrow" w:eastAsia="Arial Narrow" w:hAnsi="Arial Narrow"/>
          <w:b/>
          <w:bCs/>
          <w:sz w:val="22"/>
          <w:szCs w:val="22"/>
        </w:rPr>
        <w:t xml:space="preserve">.venv</w:t>
      </w:r>
      <w:r>
        <w:rPr>
          <w:rFonts w:ascii="Arial Narrow" w:cs="Arial Narrow" w:eastAsia="Arial Narrow" w:hAnsi="Arial Narrow"/>
          <w:sz w:val="22"/>
          <w:szCs w:val="22"/>
        </w:rPr>
        <w:t xml:space="preserve"> e instala las librerías (3 a 5 minutos). Busca un Python 3.10 o superior (Anaconda, Homebrew o python.org); si no lo encuentra, instala uno local con </w:t>
      </w:r>
      <w:r>
        <w:rPr>
          <w:rFonts w:ascii="Arial Narrow" w:cs="Arial Narrow" w:eastAsia="Arial Narrow" w:hAnsi="Arial Narrow"/>
          <w:b/>
          <w:bCs/>
          <w:sz w:val="22"/>
          <w:szCs w:val="22"/>
        </w:rPr>
        <w:t xml:space="preserve">uv</w:t>
      </w:r>
      <w:r>
        <w:rPr>
          <w:rFonts w:ascii="Arial Narrow" w:cs="Arial Narrow" w:eastAsia="Arial Narrow" w:hAnsi="Arial Narrow"/>
          <w:sz w:val="22"/>
          <w:szCs w:val="22"/>
        </w:rPr>
        <w:t xml:space="preserve"> sin permisos de administrador.</w:t>
      </w:r>
    </w:p>
    <w:p>
      <w:pPr>
        <w:pStyle w:val="ListParagraph"/>
        <w:numPr>
          <w:ilvl w:val="0"/>
          <w:numId w:val="5"/>
        </w:numPr>
        <w:spacing w:after="60"/>
        <w:jc w:val="both"/>
      </w:pPr>
      <w:r>
        <w:rPr>
          <w:rFonts w:ascii="Arial Narrow" w:cs="Arial Narrow" w:eastAsia="Arial Narrow" w:hAnsi="Arial Narrow"/>
          <w:sz w:val="22"/>
          <w:szCs w:val="22"/>
        </w:rPr>
        <w:t xml:space="preserve">Se abre el navegador en http://localhost:8501. La ventana de Terminal debe quedar abierta mientras se usa.</w:t>
      </w:r>
    </w:p>
    <w:p>
      <w:pPr>
        <w:pStyle w:val="ListParagraph"/>
        <w:numPr>
          <w:ilvl w:val="0"/>
          <w:numId w:val="5"/>
        </w:numPr>
        <w:spacing w:after="60"/>
        <w:jc w:val="both"/>
      </w:pPr>
      <w:r>
        <w:rPr>
          <w:rFonts w:ascii="Arial Narrow" w:cs="Arial Narrow" w:eastAsia="Arial Narrow" w:hAnsi="Arial Narrow"/>
          <w:sz w:val="22"/>
          <w:szCs w:val="22"/>
        </w:rPr>
        <w:t xml:space="preserve">Aparece la pantalla </w:t>
      </w:r>
      <w:r>
        <w:rPr>
          <w:rFonts w:ascii="Arial Narrow" w:cs="Arial Narrow" w:eastAsia="Arial Narrow" w:hAnsi="Arial Narrow"/>
          <w:b/>
          <w:bCs/>
          <w:sz w:val="22"/>
          <w:szCs w:val="22"/>
        </w:rPr>
        <w:t xml:space="preserve">Términos y condiciones</w:t>
      </w:r>
      <w:r>
        <w:rPr>
          <w:rFonts w:ascii="Arial Narrow" w:cs="Arial Narrow" w:eastAsia="Arial Narrow" w:hAnsi="Arial Narrow"/>
          <w:sz w:val="22"/>
          <w:szCs w:val="22"/>
        </w:rPr>
        <w:t xml:space="preserve">: leerla, marcar «He leído y acepto los términos y condiciones de uso» y pulsar «Continuar». Sin aceptar no se puede seguir. El botón «Ver términos y condiciones» de la barra lateral vuelve a mostrarlos.</w:t>
      </w:r>
    </w:p>
    <w:p>
      <w:pPr>
        <w:pStyle w:val="ListParagraph"/>
        <w:numPr>
          <w:ilvl w:val="0"/>
          <w:numId w:val="5"/>
        </w:numPr>
        <w:spacing w:after="60"/>
        <w:jc w:val="both"/>
      </w:pPr>
      <w:r>
        <w:rPr>
          <w:rFonts w:ascii="Arial Narrow" w:cs="Arial Narrow" w:eastAsia="Arial Narrow" w:hAnsi="Arial Narrow"/>
          <w:sz w:val="22"/>
          <w:szCs w:val="22"/>
        </w:rPr>
        <w:t xml:space="preserve">Aparece la pantalla </w:t>
      </w:r>
      <w:r>
        <w:rPr>
          <w:rFonts w:ascii="Arial Narrow" w:cs="Arial Narrow" w:eastAsia="Arial Narrow" w:hAnsi="Arial Narrow"/>
          <w:b/>
          <w:bCs/>
          <w:sz w:val="22"/>
          <w:szCs w:val="22"/>
        </w:rPr>
        <w:t xml:space="preserve">Contraseña de acceso</w:t>
      </w:r>
      <w:r>
        <w:rPr>
          <w:rFonts w:ascii="Arial Narrow" w:cs="Arial Narrow" w:eastAsia="Arial Narrow" w:hAnsi="Arial Narrow"/>
          <w:sz w:val="22"/>
          <w:szCs w:val="22"/>
        </w:rPr>
        <w:t xml:space="preserve">: escribir la contraseña y pulsar «Ingresar al aplicativo». La contraseña se solicita a rafajard53009@universidadean.edu.co. Tras cinco intentos fallidos el acceso se bloquea 60 segundos. El código no guarda la contraseña, solo su huella cifrada (PBKDF2-SHA256).</w:t>
      </w:r>
    </w:p>
    <w:p>
      <w:pPr>
        <w:pStyle w:val="ListParagraph"/>
        <w:numPr>
          <w:ilvl w:val="0"/>
          <w:numId w:val="5"/>
        </w:numPr>
        <w:spacing w:after="60"/>
        <w:jc w:val="both"/>
      </w:pPr>
      <w:r>
        <w:rPr>
          <w:rFonts w:ascii="Arial Narrow" w:cs="Arial Narrow" w:eastAsia="Arial Narrow" w:hAnsi="Arial Narrow"/>
          <w:sz w:val="22"/>
          <w:szCs w:val="22"/>
        </w:rPr>
        <w:t xml:space="preserve">En Windows o Linux: </w:t>
      </w:r>
      <w:r>
        <w:rPr>
          <w:rFonts w:ascii="Arial Narrow" w:cs="Arial Narrow" w:eastAsia="Arial Narrow" w:hAnsi="Arial Narrow"/>
          <w:b/>
          <w:bCs/>
          <w:sz w:val="22"/>
          <w:szCs w:val="22"/>
        </w:rPr>
        <w:t xml:space="preserve">python -m venv .venv</w:t>
      </w:r>
      <w:r>
        <w:rPr>
          <w:rFonts w:ascii="Arial Narrow" w:cs="Arial Narrow" w:eastAsia="Arial Narrow" w:hAnsi="Arial Narrow"/>
          <w:sz w:val="22"/>
          <w:szCs w:val="22"/>
        </w:rPr>
        <w:t xml:space="preserve">, activar el entorno, </w:t>
      </w:r>
      <w:r>
        <w:rPr>
          <w:rFonts w:ascii="Arial Narrow" w:cs="Arial Narrow" w:eastAsia="Arial Narrow" w:hAnsi="Arial Narrow"/>
          <w:b/>
          <w:bCs/>
          <w:sz w:val="22"/>
          <w:szCs w:val="22"/>
        </w:rPr>
        <w:t xml:space="preserve">pip install -r requirements.txt</w:t>
      </w:r>
      <w:r>
        <w:rPr>
          <w:rFonts w:ascii="Arial Narrow" w:cs="Arial Narrow" w:eastAsia="Arial Narrow" w:hAnsi="Arial Narrow"/>
          <w:sz w:val="22"/>
          <w:szCs w:val="22"/>
        </w:rPr>
        <w:t xml:space="preserve"> y </w:t>
      </w:r>
      <w:r>
        <w:rPr>
          <w:rFonts w:ascii="Arial Narrow" w:cs="Arial Narrow" w:eastAsia="Arial Narrow" w:hAnsi="Arial Narrow"/>
          <w:b/>
          <w:bCs/>
          <w:sz w:val="22"/>
          <w:szCs w:val="22"/>
        </w:rPr>
        <w:t xml:space="preserve">streamlit run app/app.py</w:t>
      </w:r>
      <w:r>
        <w:rPr>
          <w:rFonts w:ascii="Arial Narrow" w:cs="Arial Narrow" w:eastAsia="Arial Narrow" w:hAnsi="Arial Narrow"/>
          <w:sz w:val="22"/>
          <w:szCs w:val="22"/>
        </w:rPr>
        <w:t xml:space="preserve">.</w:t>
      </w:r>
    </w:p>
    <w:p>
      <w:pPr>
        <w:pStyle w:val="Heading2"/>
        <w:keepNext/>
        <w:spacing w:after="80" w:before="160"/>
      </w:pPr>
      <w:r>
        <w:rPr>
          <w:rFonts w:ascii="Arial Narrow" w:cs="Arial Narrow" w:eastAsia="Arial Narrow" w:hAnsi="Arial Narrow"/>
          <w:b/>
          <w:bCs/>
          <w:color w:val="000000"/>
          <w:sz w:val="24"/>
          <w:szCs w:val="24"/>
        </w:rPr>
        <w:t xml:space="preserve">11.2 Qué hace cada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trPr>
        <w:tc>
          <w:tcPr>
            <w:tcW w:type="dxa" w:w="249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Página</w:t>
            </w:r>
          </w:p>
        </w:tc>
        <w:tc>
          <w:tcPr>
            <w:tcW w:type="dxa" w:w="713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muestra</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Términos y condiciones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Pantalla inicial obligatoria: datos reservados, uso único académico (EAN 2026), prohibiciones, alcance IRR 2024 y cómo pedir la contraseña</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Contraseña de acceso</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Segunda pantalla obligatoria; la contraseña se solicita a rafajard53009@universidadean.edu.co</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Ficha del proyecto</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Pregunta, métricas del modelo, fases CRISP-DM, instrucciones y alcance</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Consulta</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Menús de año, desagregación, selección, WTI/Brent, precio editable y tasa de regalías; producción, bpd, 1P, pronosticado, regalías en bl y USD; aviso de campos sin 1P; gráfico 2023-2060; informe Excel</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Cuatro pestañas: (1) informe del mejor modelo con ranking, veredicto y descarga; (2) árboles de decisión: árbol, reglas, importancia y real vs pronóstico; (3) regresión lineal: coeficientes; (4) redes neuronales: curva de aprendizaje entrenamiento vs prueba. Cada una con ejemplo de interpretación</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y alertas</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elegido, curva de costo, cómo leer sensibilidad y precisión, lista de campos bajo el umbral por año y ejemplo con el campo de mayor 1P en alerta</w:t>
            </w:r>
          </w:p>
        </w:tc>
      </w:tr>
      <w:tr>
        <w:trPr>
          <w:cantSplit/>
        </w:trPr>
        <w:tc>
          <w:tcPr>
            <w:tcW w:type="dxa" w:w="24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w:t>
            </w:r>
          </w:p>
        </w:tc>
        <w:tc>
          <w:tcPr>
            <w:tcW w:type="dxa" w:w="713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Mapa de segmentos, significado de los componentes 1 y 2, cargas de cada variable, ejemplo de interpretación y perfiles</w:t>
            </w:r>
          </w:p>
        </w:tc>
      </w:tr>
      <w:tr>
        <w:trPr>
          <w:cantSplit/>
        </w:trPr>
        <w:tc>
          <w:tcPr>
            <w:tcW w:type="dxa" w:w="24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Datos y precios</w:t>
            </w:r>
          </w:p>
        </w:tc>
        <w:tc>
          <w:tcPr>
            <w:tcW w:type="dxa" w:w="713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de precios editable, actualización con futuros, diagnóstico de calidad y ficha de datos</w:t>
            </w:r>
          </w:p>
        </w:tc>
      </w:tr>
    </w:tbl>
    <w:p>
      <w:pPr>
        <w:spacing w:after="160" w:line="276"/>
        <w:jc w:val="center"/>
      </w:pPr>
      <w:r>
        <w:rPr>
          <w:rFonts w:ascii="Arial Narrow" w:cs="Arial Narrow" w:eastAsia="Arial Narrow" w:hAnsi="Arial Narrow"/>
          <w:i/>
          <w:iCs/>
          <w:color w:val="404040"/>
          <w:sz w:val="22"/>
          <w:szCs w:val="22"/>
        </w:rPr>
        <w:t xml:space="preserve">Tabla 8. Páginas del aplicativo.</w:t>
      </w:r>
    </w:p>
    <w:p>
      <w:pPr>
        <w:spacing w:after="100" w:line="276"/>
        <w:jc w:val="both"/>
      </w:pPr>
      <w:r>
        <w:rPr>
          <w:rFonts w:ascii="Arial Narrow" w:cs="Arial Narrow" w:eastAsia="Arial Narrow" w:hAnsi="Arial Narrow"/>
          <w:b/>
          <w:bCs/>
          <w:sz w:val="22"/>
          <w:szCs w:val="22"/>
        </w:rPr>
        <w:t xml:space="preserve">Identidad visual.</w:t>
      </w:r>
      <w:r>
        <w:rPr>
          <w:rFonts w:ascii="Arial Narrow" w:cs="Arial Narrow" w:eastAsia="Arial Narrow" w:hAnsi="Arial Narrow"/>
          <w:sz w:val="22"/>
          <w:szCs w:val="22"/>
        </w:rPr>
        <w:t xml:space="preserve"> Colores de www.rafaelfajardomoreno.com (azul noche #0F1923, azul #1F3251, dorado #C8973A, crema #F7F5F0, gris #6B7785) y letra Arial Narrow en todo el aplicativo. Si el computador no tiene Arial Narrow, se usa una equivalente libre de las mismas medidas incluida en app/static/.</w:t>
      </w:r>
    </w:p>
    <w:p>
      <w:pPr>
        <w:pStyle w:val="Heading2"/>
        <w:keepNext/>
        <w:spacing w:after="80" w:before="160"/>
      </w:pPr>
      <w:r>
        <w:rPr>
          <w:rFonts w:ascii="Arial Narrow" w:cs="Arial Narrow" w:eastAsia="Arial Narrow" w:hAnsi="Arial Narrow"/>
          <w:b/>
          <w:bCs/>
          <w:color w:val="000000"/>
          <w:sz w:val="24"/>
          <w:szCs w:val="24"/>
        </w:rPr>
        <w:t xml:space="preserve">11.3 Ejemplo de consulta</w:t>
      </w:r>
    </w:p>
    <w:p>
      <w:pPr>
        <w:spacing w:after="100" w:line="276"/>
        <w:jc w:val="both"/>
      </w:pPr>
      <w:r>
        <w:rPr>
          <w:rFonts w:ascii="Arial Narrow" w:cs="Arial Narrow" w:eastAsia="Arial Narrow" w:hAnsi="Arial Narrow"/>
          <w:sz w:val="22"/>
          <w:szCs w:val="22"/>
        </w:rPr>
        <w:t xml:space="preserve">Para saber cuánto produce y cuántas regalías genera el Meta en 2030 con Brent: Consulta → Año 2030 → Desagregación «Departamento» → seleccionar META → Indicador «Brent». El aplicativo muestra la producción anual, los barriles por día, la 1P, el pronosticado (1P × Brent), las regalías y la lista de campos del Meta sin 1P en 2030 con el último año en que la tuvieron. El botón «Descargar informe» guarda todo en Excel con los parámetros usados.</w:t>
      </w:r>
    </w:p>
    <w:p>
      <w:pPr>
        <w:pStyle w:val="Heading1"/>
        <w:keepNext/>
        <w:spacing w:after="120" w:before="240"/>
      </w:pPr>
      <w:r>
        <w:rPr>
          <w:rFonts w:ascii="Arial Narrow" w:cs="Arial Narrow" w:eastAsia="Arial Narrow" w:hAnsi="Arial Narrow"/>
          <w:b/>
          <w:bCs/>
          <w:color w:val="000000"/>
          <w:sz w:val="30"/>
          <w:szCs w:val="30"/>
        </w:rPr>
        <w:t xml:space="preserve">12. Cómo reproducir todo</w:t>
      </w:r>
    </w:p>
    <w:p>
      <w:pPr>
        <w:shd w:fill="F2F2F2" w:val="clear"/>
        <w:spacing w:after="0"/>
      </w:pPr>
      <w:r>
        <w:rPr>
          <w:rFonts w:ascii="Arial Narrow" w:cs="Arial Narrow" w:eastAsia="Arial Narrow" w:hAnsi="Arial Narrow"/>
          <w:sz w:val="22"/>
          <w:szCs w:val="22"/>
        </w:rPr>
        <w:t xml:space="preserve">cd PFI_R1P_Regalias</w:t>
      </w:r>
    </w:p>
    <w:p>
      <w:pPr>
        <w:shd w:fill="F2F2F2" w:val="clear"/>
        <w:spacing w:after="0"/>
      </w:pPr>
      <w:r>
        <w:rPr>
          <w:rFonts w:ascii="Arial Narrow" w:cs="Arial Narrow" w:eastAsia="Arial Narrow" w:hAnsi="Arial Narrow"/>
          <w:sz w:val="22"/>
          <w:szCs w:val="22"/>
        </w:rPr>
        <w:t xml:space="preserve">python3 -m venv .venv &amp;&amp; source .venv/bin/activate</w:t>
      </w:r>
    </w:p>
    <w:p>
      <w:pPr>
        <w:shd w:fill="F2F2F2" w:val="clear"/>
        <w:spacing w:after="0"/>
      </w:pPr>
      <w:r>
        <w:rPr>
          <w:rFonts w:ascii="Arial Narrow" w:cs="Arial Narrow" w:eastAsia="Arial Narrow" w:hAnsi="Arial Narrow"/>
          <w:sz w:val="22"/>
          <w:szCs w:val="22"/>
        </w:rPr>
        <w:t xml:space="preserve">pip install -r requirements.txt</w:t>
      </w:r>
    </w:p>
    <w:p>
      <w:pPr>
        <w:shd w:fill="F2F2F2" w:val="clear"/>
        <w:spacing w:after="0"/>
      </w:pPr>
      <w:r>
        <w:rPr>
          <w:rFonts w:ascii="Arial Narrow" w:cs="Arial Narrow" w:eastAsia="Arial Narrow" w:hAnsi="Arial Narrow"/>
          <w:sz w:val="22"/>
          <w:szCs w:val="22"/>
        </w:rPr>
        <w:t xml:space="preserve">jupyter nbconvert --to notebook --execute cuaderno_PFI.ipynb --inplace   # 3 a 5 minutos</w:t>
      </w:r>
    </w:p>
    <w:p>
      <w:pPr>
        <w:shd w:fill="F2F2F2" w:val="clear"/>
        <w:spacing w:after="0"/>
      </w:pPr>
      <w:r>
        <w:rPr>
          <w:rFonts w:ascii="Arial Narrow" w:cs="Arial Narrow" w:eastAsia="Arial Narrow" w:hAnsi="Arial Narrow"/>
          <w:sz w:val="22"/>
          <w:szCs w:val="22"/>
        </w:rPr>
        <w:t xml:space="preserve">streamlit run app/app.py</w:t>
      </w:r>
    </w:p>
    <w:p>
      <w:pPr>
        <w:spacing w:after="60" w:line="276"/>
        <w:jc w:val="both"/>
      </w:pPr>
    </w:p>
    <w:p>
      <w:pPr>
        <w:spacing w:after="100" w:line="276"/>
        <w:jc w:val="both"/>
      </w:pPr>
      <w:r>
        <w:rPr>
          <w:rFonts w:ascii="Arial Narrow" w:cs="Arial Narrow" w:eastAsia="Arial Narrow" w:hAnsi="Arial Narrow"/>
          <w:sz w:val="22"/>
          <w:szCs w:val="22"/>
        </w:rPr>
        <w:t xml:space="preserve">El cuaderno declara las versiones usadas (python 3.13.16, numpy 2.5.3, pandas 3.0.5, scikit-learn 1.9.1, matplotlib 3.11.2, semilla 42) y fija la semilla 42 en todos los procesos aleatorios (pliegues, árboles, red neuronal, K-medias). Ejecutado desde un núcleo reiniciado produce los mismos resultados.</w:t>
      </w:r>
    </w:p>
    <w:p>
      <w:pPr>
        <w:pStyle w:val="Heading2"/>
        <w:keepNext/>
        <w:spacing w:after="80" w:before="160"/>
      </w:pPr>
      <w:r>
        <w:rPr>
          <w:rFonts w:ascii="Arial Narrow" w:cs="Arial Narrow" w:eastAsia="Arial Narrow" w:hAnsi="Arial Narrow"/>
          <w:b/>
          <w:bCs/>
          <w:color w:val="000000"/>
          <w:sz w:val="24"/>
          <w:szCs w:val="24"/>
        </w:rPr>
        <w:t xml:space="preserve">12.0 En Google Colab</w:t>
      </w:r>
    </w:p>
    <w:p>
      <w:pPr>
        <w:pStyle w:val="ListParagraph"/>
        <w:numPr>
          <w:ilvl w:val="0"/>
          <w:numId w:val="6"/>
        </w:numPr>
        <w:spacing w:after="60"/>
        <w:jc w:val="both"/>
      </w:pPr>
      <w:r>
        <w:rPr>
          <w:rFonts w:ascii="Arial Narrow" w:cs="Arial Narrow" w:eastAsia="Arial Narrow" w:hAnsi="Arial Narrow"/>
          <w:sz w:val="22"/>
          <w:szCs w:val="22"/>
        </w:rPr>
        <w:t xml:space="preserve">Abrir https://colab.research.google.com → Archivo → Subir cuaderno → elegir </w:t>
      </w:r>
      <w:r>
        <w:rPr>
          <w:rFonts w:ascii="Arial Narrow" w:cs="Arial Narrow" w:eastAsia="Arial Narrow" w:hAnsi="Arial Narrow"/>
          <w:b/>
          <w:bCs/>
          <w:sz w:val="22"/>
          <w:szCs w:val="22"/>
        </w:rPr>
        <w:t xml:space="preserve">cuaderno_PFI.ipynb</w:t>
      </w:r>
      <w:r>
        <w:rPr>
          <w:rFonts w:ascii="Arial Narrow" w:cs="Arial Narrow" w:eastAsia="Arial Narrow" w:hAnsi="Arial Narrow"/>
          <w:sz w:val="22"/>
          <w:szCs w:val="22"/>
        </w:rPr>
        <w:t xml:space="preserve">.</w:t>
      </w:r>
    </w:p>
    <w:p>
      <w:pPr>
        <w:pStyle w:val="ListParagraph"/>
        <w:numPr>
          <w:ilvl w:val="0"/>
          <w:numId w:val="6"/>
        </w:numPr>
        <w:spacing w:after="60"/>
        <w:jc w:val="both"/>
      </w:pPr>
      <w:r>
        <w:rPr>
          <w:rFonts w:ascii="Arial Narrow" w:cs="Arial Narrow" w:eastAsia="Arial Narrow" w:hAnsi="Arial Narrow"/>
          <w:sz w:val="22"/>
          <w:szCs w:val="22"/>
        </w:rPr>
        <w:t xml:space="preserve">Ejecutar la primera celda de código (paso 0). Aparece el botón «Elegir archivos»: subir </w:t>
      </w:r>
      <w:r>
        <w:rPr>
          <w:rFonts w:ascii="Arial Narrow" w:cs="Arial Narrow" w:eastAsia="Arial Narrow" w:hAnsi="Arial Narrow"/>
          <w:b/>
          <w:bCs/>
          <w:sz w:val="22"/>
          <w:szCs w:val="22"/>
        </w:rPr>
        <w:t xml:space="preserve">PFI_entrega.zip</w:t>
      </w:r>
      <w:r>
        <w:rPr>
          <w:rFonts w:ascii="Arial Narrow" w:cs="Arial Narrow" w:eastAsia="Arial Narrow" w:hAnsi="Arial Narrow"/>
          <w:sz w:val="22"/>
          <w:szCs w:val="22"/>
        </w:rPr>
        <w:t xml:space="preserve"> (o el Excel y el CSV de precios de </w:t>
      </w:r>
      <w:r>
        <w:rPr>
          <w:rFonts w:ascii="Arial Narrow" w:cs="Arial Narrow" w:eastAsia="Arial Narrow" w:hAnsi="Arial Narrow"/>
          <w:b/>
          <w:bCs/>
          <w:sz w:val="22"/>
          <w:szCs w:val="22"/>
        </w:rPr>
        <w:t xml:space="preserve">datos_crudos/</w:t>
      </w:r>
      <w:r>
        <w:rPr>
          <w:rFonts w:ascii="Arial Narrow" w:cs="Arial Narrow" w:eastAsia="Arial Narrow" w:hAnsi="Arial Narrow"/>
          <w:sz w:val="22"/>
          <w:szCs w:val="22"/>
        </w:rPr>
        <w:t xml:space="preserve">). La celda los deja en </w:t>
      </w:r>
      <w:r>
        <w:rPr>
          <w:rFonts w:ascii="Arial Narrow" w:cs="Arial Narrow" w:eastAsia="Arial Narrow" w:hAnsi="Arial Narrow"/>
          <w:b/>
          <w:bCs/>
          <w:sz w:val="22"/>
          <w:szCs w:val="22"/>
        </w:rPr>
        <w:t xml:space="preserve">/content/datos_crudos/</w:t>
      </w:r>
      <w:r>
        <w:rPr>
          <w:rFonts w:ascii="Arial Narrow" w:cs="Arial Narrow" w:eastAsia="Arial Narrow" w:hAnsi="Arial Narrow"/>
          <w:sz w:val="22"/>
          <w:szCs w:val="22"/>
        </w:rPr>
        <w:t xml:space="preserve">.</w:t>
      </w:r>
    </w:p>
    <w:p>
      <w:pPr>
        <w:pStyle w:val="ListParagraph"/>
        <w:numPr>
          <w:ilvl w:val="0"/>
          <w:numId w:val="6"/>
        </w:numPr>
        <w:spacing w:after="60"/>
        <w:jc w:val="both"/>
      </w:pPr>
      <w:r>
        <w:rPr>
          <w:rFonts w:ascii="Arial Narrow" w:cs="Arial Narrow" w:eastAsia="Arial Narrow" w:hAnsi="Arial Narrow"/>
          <w:sz w:val="22"/>
          <w:szCs w:val="22"/>
        </w:rPr>
        <w:t xml:space="preserve">Entorno de ejecución → Ejecutar todo. Tarda de 3 a 5 minutos.</w:t>
      </w:r>
    </w:p>
    <w:p>
      <w:pPr>
        <w:pStyle w:val="ListParagraph"/>
        <w:numPr>
          <w:ilvl w:val="0"/>
          <w:numId w:val="6"/>
        </w:numPr>
        <w:spacing w:after="60"/>
        <w:jc w:val="both"/>
      </w:pPr>
      <w:r>
        <w:rPr>
          <w:rFonts w:ascii="Arial Narrow" w:cs="Arial Narrow" w:eastAsia="Arial Narrow" w:hAnsi="Arial Narrow"/>
          <w:sz w:val="22"/>
          <w:szCs w:val="22"/>
        </w:rPr>
        <w:t xml:space="preserve">Si aparece «No such file or directory: /content/datos_crudos/…», es que no se subieron los datos: volver a ejecutar la celda del paso 0.</w:t>
      </w:r>
    </w:p>
    <w:p>
      <w:pPr>
        <w:pStyle w:val="ListParagraph"/>
        <w:numPr>
          <w:ilvl w:val="0"/>
          <w:numId w:val="6"/>
        </w:numPr>
        <w:spacing w:after="60"/>
        <w:jc w:val="both"/>
      </w:pPr>
      <w:r>
        <w:rPr>
          <w:rFonts w:ascii="Arial Narrow" w:cs="Arial Narrow" w:eastAsia="Arial Narrow" w:hAnsi="Arial Narrow"/>
          <w:sz w:val="22"/>
          <w:szCs w:val="22"/>
        </w:rPr>
        <w:t xml:space="preserve">Alternativa: montar Google Drive (</w:t>
      </w:r>
      <w:r>
        <w:rPr>
          <w:rFonts w:ascii="Arial Narrow" w:cs="Arial Narrow" w:eastAsia="Arial Narrow" w:hAnsi="Arial Narrow"/>
          <w:b/>
          <w:bCs/>
          <w:sz w:val="22"/>
          <w:szCs w:val="22"/>
        </w:rPr>
        <w:t xml:space="preserve">from google.colab import drive; drive.mount('/content/drive')</w:t>
      </w:r>
      <w:r>
        <w:rPr>
          <w:rFonts w:ascii="Arial Narrow" w:cs="Arial Narrow" w:eastAsia="Arial Narrow" w:hAnsi="Arial Narrow"/>
          <w:sz w:val="22"/>
          <w:szCs w:val="22"/>
        </w:rPr>
        <w:t xml:space="preserve">) y pasar con </w:t>
      </w:r>
      <w:r>
        <w:rPr>
          <w:rFonts w:ascii="Arial Narrow" w:cs="Arial Narrow" w:eastAsia="Arial Narrow" w:hAnsi="Arial Narrow"/>
          <w:b/>
          <w:bCs/>
          <w:sz w:val="22"/>
          <w:szCs w:val="22"/>
        </w:rPr>
        <w:t xml:space="preserve">%cd</w:t>
      </w:r>
      <w:r>
        <w:rPr>
          <w:rFonts w:ascii="Arial Narrow" w:cs="Arial Narrow" w:eastAsia="Arial Narrow" w:hAnsi="Arial Narrow"/>
          <w:sz w:val="22"/>
          <w:szCs w:val="22"/>
        </w:rPr>
        <w:t xml:space="preserve"> a la carpeta del proyecto antes de ejecutar.</w:t>
      </w:r>
    </w:p>
    <w:p>
      <w:pPr>
        <w:spacing w:after="100" w:line="276"/>
        <w:jc w:val="both"/>
      </w:pPr>
      <w:r>
        <w:rPr>
          <w:rFonts w:ascii="Arial Narrow" w:cs="Arial Narrow" w:eastAsia="Arial Narrow" w:hAnsi="Arial Narrow"/>
          <w:sz w:val="22"/>
          <w:szCs w:val="22"/>
        </w:rPr>
        <w:t xml:space="preserve">Colab trae otras versiones de las librerías, así que las cifras pueden variar unas décimas (por ejemplo, el WAPE de prueba del Random Forest da 8,1 % con scikit-learn 1.6 frente a 8,4 % con 1.9). El modelo elegido y las conclusiones no cambian. El aplicativo se ejecuta en el computador, no en Colab.</w:t>
      </w:r>
    </w:p>
    <w:p>
      <w:pPr>
        <w:pStyle w:val="Heading2"/>
        <w:keepNext/>
        <w:spacing w:after="80" w:before="160"/>
      </w:pPr>
      <w:r>
        <w:rPr>
          <w:rFonts w:ascii="Arial Narrow" w:cs="Arial Narrow" w:eastAsia="Arial Narrow" w:hAnsi="Arial Narrow"/>
          <w:b/>
          <w:bCs/>
          <w:color w:val="000000"/>
          <w:sz w:val="24"/>
          <w:szCs w:val="24"/>
        </w:rPr>
        <w:t xml:space="preserve">12.1 Recorrido por el cuaderno, celda por celda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5"/>
        <w:gridCol w:w="4855"/>
        <w:gridCol w:w="2498"/>
      </w:tblGrid>
      <w:tr>
        <w:trPr>
          <w:tblHeader/>
        </w:trPr>
        <w:tc>
          <w:tcPr>
            <w:tcW w:type="dxa" w:w="22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Sección del cuaderno</w:t>
            </w:r>
          </w:p>
        </w:tc>
        <w:tc>
          <w:tcPr>
            <w:tcW w:type="dxa" w:w="485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hace</w:t>
            </w:r>
          </w:p>
        </w:tc>
        <w:tc>
          <w:tcPr>
            <w:tcW w:type="dxa" w:w="249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Qué produce</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Configuración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Importa librerías, fija la semilla 42, define rutas, la convención de días y muestra las versiones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Diccionario VERSIONES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2.1 Carga</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Lee las cuatro hojas del Excel y limpia nombres de columnas y campos</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Tablas crudo, p1, prb, ps</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2.2 Calidad</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Pasa a formato largo (producción, 1P, 2P, 3P), completa atributos, calcula el diagnóstico y las figuras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calidad_*.csv, figuras 1-2</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 Precios</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Promedia los precios mensuales EIA y arma 2027-2060</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precios_anuales.csv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 Preparación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Función variables() y conjunto supervisado campo-año con objetivo y pesos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DS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4 Modelado</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Métricas, envoltorio ModeloCambio, líneas base, búsqueda en malla con GroupKFold y validación temporal</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Tabla res, modelo final</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5.1 Prueba e interpretación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 error por tamaño, árbol, coeficientes, curva de aprendizaje de la red, importancia e informe del mejor modelo</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comparacion_modelos.csv, curva_aprendizaje_red.csv, figuras</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5.2 Umbral</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Elige el umbral por costo en 2025 y lo evalúa en 2026</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umbral_alerta.csv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5.3 Segmentos</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K-medias y jerárquico, silueta, nombres y mapa</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segmentos_campos.csv</w:t>
            </w:r>
          </w:p>
        </w:tc>
      </w:tr>
      <w:tr>
        <w:trPr>
          <w:cantSplit/>
        </w:trPr>
        <w:tc>
          <w:tcPr>
            <w:tcW w:type="dxa" w:w="22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6 Pronóstico</w:t>
            </w:r>
          </w:p>
        </w:tc>
        <w:tc>
          <w:tcPr>
            <w:tcW w:type="dxa" w:w="485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Reentrena, pronostica 2026-2060 con tope 1P y calcula regalías Ley 756</w:t>
            </w:r>
          </w:p>
        </w:tc>
        <w:tc>
          <w:tcPr>
            <w:tcW w:type="dxa" w:w="249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hechos_campo_anio.csv, resumen_nacional.csv</w:t>
            </w:r>
          </w:p>
        </w:tc>
      </w:tr>
      <w:tr>
        <w:trPr>
          <w:cantSplit/>
        </w:trPr>
        <w:tc>
          <w:tcPr>
            <w:tcW w:type="dxa" w:w="22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6 Exportación</w:t>
            </w:r>
          </w:p>
        </w:tc>
        <w:tc>
          <w:tcPr>
            <w:tcW w:type="dxa" w:w="485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 modelo y ficha de datos</w:t>
            </w:r>
          </w:p>
        </w:tc>
        <w:tc>
          <w:tcPr>
            <w:tcW w:type="dxa" w:w="249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metadatos.json, modelo_final.joblib, ficha_datos.md</w:t>
            </w:r>
          </w:p>
        </w:tc>
      </w:tr>
    </w:tbl>
    <w:p>
      <w:pPr>
        <w:spacing w:after="160" w:line="276"/>
        <w:jc w:val="center"/>
      </w:pPr>
      <w:r>
        <w:rPr>
          <w:rFonts w:ascii="Arial Narrow" w:cs="Arial Narrow" w:eastAsia="Arial Narrow" w:hAnsi="Arial Narrow"/>
          <w:i/>
          <w:iCs/>
          <w:color w:val="404040"/>
          <w:sz w:val="22"/>
          <w:szCs w:val="22"/>
        </w:rPr>
        <w:t xml:space="preserve">Tabla 9b. Estructura del cuaderno.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0"/>
        <w:gridCol w:w="6068"/>
      </w:tblGrid>
      <w:tr>
        <w:trPr>
          <w:tblHeader/>
        </w:trPr>
        <w:tc>
          <w:tcPr>
            <w:tcW w:type="dxa" w:w="35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Archivo en artefactos/</w:t>
            </w:r>
          </w:p>
        </w:tc>
        <w:tc>
          <w:tcPr>
            <w:tcW w:type="dxa" w:w="606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Contenido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hechos_campo_anio.csv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Base del aplicativo: campo × año 2023-2060 con producción real y pronosticada, 1P, regalías y atributos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comparacion_modelos.csv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Métricas de todos los modelos y líneas base</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metadatos.json</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 final, métricas, umbral, versiones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precios_anuales.csv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Brent y WTI por año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resumen_nacional.csv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Totales del país por año</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umbral_alerta.csv, error_por_tamano.csv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Evaluación del umbral y del error por tamaño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segmentos_campos.csv, perfil_segmentos.csv, silueta.csv, componentes_pca.csv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Resultados no supervisados y cargas de los componentes</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curva_aprendizaje_red.csv</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Error por época de la red neuronal (entrenamiento, validación, prueba)</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prueba_predicciones.csv, umbral_costos.csv</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Pronóstico por campo en la prueba 2026 y costo por umbral (gráficas del aplicativo)</w:t>
            </w:r>
          </w:p>
        </w:tc>
      </w:tr>
      <w:tr>
        <w:trPr>
          <w:cantSplit/>
        </w:trPr>
        <w:tc>
          <w:tcPr>
            <w:tcW w:type="dxa" w:w="35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modelo_final.joblib</w:t>
            </w:r>
          </w:p>
        </w:tc>
        <w:tc>
          <w:tcPr>
            <w:tcW w:type="dxa" w:w="60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Modelo entrenado para reutilizarlo</w:t>
            </w:r>
          </w:p>
        </w:tc>
      </w:tr>
      <w:tr>
        <w:trPr>
          <w:cantSplit/>
        </w:trPr>
        <w:tc>
          <w:tcPr>
            <w:tcW w:type="dxa" w:w="35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figuras/</w:t>
            </w:r>
          </w:p>
        </w:tc>
        <w:tc>
          <w:tcPr>
            <w:tcW w:type="dxa" w:w="60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Todas las figuras del informe</w:t>
            </w:r>
          </w:p>
        </w:tc>
      </w:tr>
    </w:tbl>
    <w:p>
      <w:pPr>
        <w:spacing w:after="160" w:line="276"/>
        <w:jc w:val="center"/>
      </w:pPr>
      <w:r>
        <w:rPr>
          <w:rFonts w:ascii="Arial Narrow" w:cs="Arial Narrow" w:eastAsia="Arial Narrow" w:hAnsi="Arial Narrow"/>
          <w:i/>
          <w:iCs/>
          <w:color w:val="404040"/>
          <w:sz w:val="22"/>
          <w:szCs w:val="22"/>
        </w:rPr>
        <w:t xml:space="preserve">Tabla 9. Artefactos generados.</w:t>
      </w:r>
    </w:p>
    <w:p>
      <w:pPr>
        <w:pStyle w:val="Heading1"/>
        <w:keepNext/>
        <w:spacing w:after="120" w:before="240"/>
      </w:pPr>
      <w:r>
        <w:rPr>
          <w:rFonts w:ascii="Arial Narrow" w:cs="Arial Narrow" w:eastAsia="Arial Narrow" w:hAnsi="Arial Narrow"/>
          <w:b/>
          <w:bCs/>
          <w:color w:val="000000"/>
          <w:sz w:val="30"/>
          <w:szCs w:val="30"/>
        </w:rPr>
        <w:t xml:space="preserve">13. Entrega y GitHub</w:t>
      </w:r>
    </w:p>
    <w:p>
      <w:pPr>
        <w:spacing w:after="100" w:line="276"/>
        <w:jc w:val="both"/>
      </w:pPr>
      <w:r>
        <w:rPr>
          <w:rFonts w:ascii="Arial Narrow" w:cs="Arial Narrow" w:eastAsia="Arial Narrow" w:hAnsi="Arial Narrow"/>
          <w:sz w:val="22"/>
          <w:szCs w:val="22"/>
        </w:rPr>
        <w:t xml:space="preserve">El .zip contiene solo archivos en la raíz más la carpeta </w:t>
      </w:r>
      <w:r>
        <w:rPr>
          <w:rFonts w:ascii="Arial Narrow" w:cs="Arial Narrow" w:eastAsia="Arial Narrow" w:hAnsi="Arial Narrow"/>
          <w:b/>
          <w:bCs/>
          <w:sz w:val="22"/>
          <w:szCs w:val="22"/>
        </w:rPr>
        <w:t xml:space="preserve">datos_crudos/</w:t>
      </w:r>
      <w:r>
        <w:rPr>
          <w:rFonts w:ascii="Arial Narrow" w:cs="Arial Narrow" w:eastAsia="Arial Narrow" w:hAnsi="Arial Narrow"/>
          <w:sz w:val="22"/>
          <w:szCs w:val="22"/>
        </w:rPr>
        <w:t xml:space="preserve">: informe (Word y PDF), resumen ejecutivo en inglés (Word y PDF), guía (Word y PDF), cuaderno y ficha de datos. El aplicativo y los artefactos van en el repositorio de GitHub del equipo:</w:t>
      </w:r>
    </w:p>
    <w:p>
      <w:pPr>
        <w:spacing w:after="100" w:line="276"/>
        <w:jc w:val="both"/>
      </w:pPr>
      <w:r>
        <w:rPr>
          <w:rFonts w:ascii="Arial Narrow" w:cs="Arial Narrow" w:eastAsia="Arial Narrow" w:hAnsi="Arial Narrow"/>
          <w:sz w:val="22"/>
          <w:szCs w:val="22"/>
        </w:rPr>
        <w:t xml:space="preserve">Repositorio público del equipo: </w:t>
      </w:r>
      <w:r>
        <w:rPr>
          <w:rFonts w:ascii="Arial Narrow" w:cs="Arial Narrow" w:eastAsia="Arial Narrow" w:hAnsi="Arial Narrow"/>
          <w:b/>
          <w:bCs/>
          <w:sz w:val="22"/>
          <w:szCs w:val="22"/>
        </w:rPr>
        <w:t xml:space="preserve">https://github.com/rafafajardo-ux/TRABAJO-FINAL</w:t>
      </w:r>
      <w:r>
        <w:rPr>
          <w:rFonts w:ascii="Arial Narrow" w:cs="Arial Narrow" w:eastAsia="Arial Narrow" w:hAnsi="Arial Narrow"/>
          <w:sz w:val="22"/>
          <w:szCs w:val="22"/>
        </w:rPr>
        <w:t xml:space="preserve">. Para clonarlo y abrir el aplicativo:</w:t>
      </w:r>
    </w:p>
    <w:p>
      <w:pPr>
        <w:shd w:fill="F2F2F2" w:val="clear"/>
        <w:spacing w:after="0"/>
      </w:pPr>
      <w:r>
        <w:rPr>
          <w:rFonts w:ascii="Arial Narrow" w:cs="Arial Narrow" w:eastAsia="Arial Narrow" w:hAnsi="Arial Narrow"/>
          <w:sz w:val="22"/>
          <w:szCs w:val="22"/>
        </w:rPr>
        <w:t xml:space="preserve">git clone https://github.com/rafafajardo-ux/TRABAJO-FINAL.git</w:t>
      </w:r>
    </w:p>
    <w:p>
      <w:pPr>
        <w:shd w:fill="F2F2F2" w:val="clear"/>
        <w:spacing w:after="0"/>
      </w:pPr>
      <w:r>
        <w:rPr>
          <w:rFonts w:ascii="Arial Narrow" w:cs="Arial Narrow" w:eastAsia="Arial Narrow" w:hAnsi="Arial Narrow"/>
          <w:sz w:val="22"/>
          <w:szCs w:val="22"/>
        </w:rPr>
        <w:t xml:space="preserve">cd TRABAJO-FINAL</w:t>
      </w:r>
    </w:p>
    <w:p>
      <w:pPr>
        <w:shd w:fill="F2F2F2" w:val="clear"/>
        <w:spacing w:after="0"/>
      </w:pPr>
      <w:r>
        <w:rPr>
          <w:rFonts w:ascii="Arial Narrow" w:cs="Arial Narrow" w:eastAsia="Arial Narrow" w:hAnsi="Arial Narrow"/>
          <w:sz w:val="22"/>
          <w:szCs w:val="22"/>
        </w:rPr>
        <w:t xml:space="preserve">pip install -r requirements.txt</w:t>
      </w:r>
    </w:p>
    <w:p>
      <w:pPr>
        <w:shd w:fill="F2F2F2" w:val="clear"/>
        <w:spacing w:after="0"/>
      </w:pPr>
      <w:r>
        <w:rPr>
          <w:rFonts w:ascii="Arial Narrow" w:cs="Arial Narrow" w:eastAsia="Arial Narrow" w:hAnsi="Arial Narrow"/>
          <w:sz w:val="22"/>
          <w:szCs w:val="22"/>
        </w:rPr>
        <w:t xml:space="preserve">streamlit run app/app.py</w:t>
      </w:r>
    </w:p>
    <w:p>
      <w:pPr>
        <w:spacing w:after="60" w:line="276"/>
        <w:jc w:val="both"/>
      </w:pPr>
    </w:p>
    <w:p>
      <w:pPr>
        <w:spacing w:after="100" w:line="276"/>
        <w:jc w:val="both"/>
      </w:pPr>
      <w:r>
        <w:rPr>
          <w:rFonts w:ascii="Arial Narrow" w:cs="Arial Narrow" w:eastAsia="Arial Narrow" w:hAnsi="Arial Narrow"/>
          <w:sz w:val="22"/>
          <w:szCs w:val="22"/>
        </w:rPr>
        <w:t xml:space="preserve">En la entrega, pegar el enlace del repositorio en el comentario: https://github.com/rafafajardo-ux/TRABAJO-FINAL</w:t>
      </w:r>
    </w:p>
    <w:p>
      <w:pPr>
        <w:pStyle w:val="Heading1"/>
        <w:keepNext/>
        <w:spacing w:after="120" w:before="240"/>
      </w:pPr>
      <w:r>
        <w:rPr>
          <w:rFonts w:ascii="Arial Narrow" w:cs="Arial Narrow" w:eastAsia="Arial Narrow" w:hAnsi="Arial Narrow"/>
          <w:b/>
          <w:bCs/>
          <w:color w:val="000000"/>
          <w:sz w:val="30"/>
          <w:szCs w:val="30"/>
        </w:rPr>
        <w:t xml:space="preserve">14. Registro de decisiones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2669"/>
        <w:gridCol w:w="4003"/>
      </w:tblGrid>
      <w:tr>
        <w:trPr>
          <w:tblHeader/>
        </w:trPr>
        <w:tc>
          <w:tcPr>
            <w:tcW w:type="dxa" w:w="296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Decisión</w:t>
            </w:r>
          </w:p>
        </w:tc>
        <w:tc>
          <w:tcPr>
            <w:tcW w:type="dxa" w:w="266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Alternativa descartada</w:t>
            </w:r>
          </w:p>
        </w:tc>
        <w:tc>
          <w:tcPr>
            <w:tcW w:type="dxa" w:w="400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Predecir el cambio frente al año anterior</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Predecir el nivel de producción</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Con el nivel ningún modelo superaba a la persistencia en validación cruzada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Excluir celdas vacías de producción</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Tratarlas como cero</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Muchas son unificaciones o cierres administrativos, no caídas reales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 usar la producción 2027+ del Excel</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Usarla como objetivo</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Son fórmulas iguales a la 1P, no observaciones</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Comparar 2026 en bpd</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Comparar barriles anuales</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solo tiene seis meses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cruzada agrupada por campo</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Pliegues aleatorios por fila</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Evita que el modelo memorice campos (fuga)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Ponderar por raíz del tamaño</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ponderar / ponderar por tamaño</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Equilibrio entre el error en barriles y no ignorar campos pequeños</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Elegir por WAPE de validación cruzada</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Elegir por la prueba 2026</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Usar la prueba para elegir sería uso indebido del conjunto de prueba</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por costo asimétrico 3:1</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Umbral fijo de 0,90</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 detectar un incumplimiento cuesta más; el costo fue menor con U = 1,00</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Tope 1P desde 2027</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tope</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Regla del enunciado; deja un escenario conservador</w:t>
            </w:r>
          </w:p>
        </w:tc>
      </w:tr>
      <w:tr>
        <w:trPr>
          <w:cantSplit/>
        </w:trPr>
        <w:tc>
          <w:tcPr>
            <w:tcW w:type="dxa" w:w="296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EIA editables</w:t>
            </w:r>
          </w:p>
        </w:tc>
        <w:tc>
          <w:tcPr>
            <w:tcW w:type="dxa" w:w="26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Investing.com</w:t>
            </w:r>
          </w:p>
        </w:tc>
        <w:tc>
          <w:tcPr>
            <w:tcW w:type="dxa" w:w="40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Investing.com no permite descargar promedios anuales de forma reproducible</w:t>
            </w:r>
          </w:p>
        </w:tc>
      </w:tr>
      <w:tr>
        <w:trPr>
          <w:cantSplit/>
        </w:trPr>
        <w:tc>
          <w:tcPr>
            <w:tcW w:type="dxa" w:w="296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Escala Ley 756 por defecto</w:t>
            </w:r>
          </w:p>
        </w:tc>
        <w:tc>
          <w:tcPr>
            <w:tcW w:type="dxa" w:w="26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Tasa única</w:t>
            </w:r>
          </w:p>
        </w:tc>
        <w:tc>
          <w:tcPr>
            <w:tcW w:type="dxa" w:w="40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 la regla legal vigente; se ofrecen alternativas en el aplicativo</w:t>
            </w:r>
          </w:p>
        </w:tc>
      </w:tr>
    </w:tbl>
    <w:p>
      <w:pPr>
        <w:spacing w:after="160" w:line="276"/>
        <w:jc w:val="center"/>
      </w:pPr>
      <w:r>
        <w:rPr>
          <w:rFonts w:ascii="Arial Narrow" w:cs="Arial Narrow" w:eastAsia="Arial Narrow" w:hAnsi="Arial Narrow"/>
          <w:i/>
          <w:iCs/>
          <w:color w:val="404040"/>
          <w:sz w:val="22"/>
          <w:szCs w:val="22"/>
        </w:rPr>
        <w:t xml:space="preserve">Tabla 10. Decisiones clave.</w:t>
      </w:r>
    </w:p>
    <w:p>
      <w:pPr>
        <w:pStyle w:val="Heading1"/>
        <w:keepNext/>
        <w:spacing w:after="120" w:before="240"/>
      </w:pPr>
      <w:r>
        <w:rPr>
          <w:rFonts w:ascii="Arial Narrow" w:cs="Arial Narrow" w:eastAsia="Arial Narrow" w:hAnsi="Arial Narrow"/>
          <w:b/>
          <w:bCs/>
          <w:color w:val="000000"/>
          <w:sz w:val="30"/>
          <w:szCs w:val="30"/>
        </w:rPr>
        <w:t xml:space="preserve">15. Limitaciones</w:t>
      </w:r>
    </w:p>
    <w:p>
      <w:pPr>
        <w:pStyle w:val="ListParagraph"/>
        <w:numPr>
          <w:ilvl w:val="0"/>
          <w:numId w:val="2"/>
        </w:numPr>
        <w:spacing w:after="60"/>
        <w:jc w:val="both"/>
      </w:pPr>
      <w:r>
        <w:rPr>
          <w:rFonts w:ascii="Arial Narrow" w:cs="Arial Narrow" w:eastAsia="Arial Narrow" w:hAnsi="Arial Narrow"/>
          <w:sz w:val="22"/>
          <w:szCs w:val="22"/>
        </w:rPr>
        <w:t xml:space="preserve">Solo tres años objetivo (2024, 2025 y medio 2026): el error de largo plazo no se puede medir directamente.</w:t>
      </w:r>
    </w:p>
    <w:p>
      <w:pPr>
        <w:pStyle w:val="ListParagraph"/>
        <w:numPr>
          <w:ilvl w:val="0"/>
          <w:numId w:val="2"/>
        </w:numPr>
        <w:spacing w:after="60"/>
        <w:jc w:val="both"/>
      </w:pPr>
      <w:r>
        <w:rPr>
          <w:rFonts w:ascii="Arial Narrow" w:cs="Arial Narrow" w:eastAsia="Arial Narrow" w:hAnsi="Arial Narrow"/>
          <w:sz w:val="22"/>
          <w:szCs w:val="22"/>
        </w:rPr>
        <w:t xml:space="preserve">Después de 2027 el resultado depende sobre todo de la 1P del IRR 2024, que solo cuenta reservas probadas: no incluye la migración de reservas 2P y 3P ni la evolución de recursos contingentes.</w:t>
      </w:r>
    </w:p>
    <w:p>
      <w:pPr>
        <w:pStyle w:val="ListParagraph"/>
        <w:numPr>
          <w:ilvl w:val="0"/>
          <w:numId w:val="2"/>
        </w:numPr>
        <w:spacing w:after="60"/>
        <w:jc w:val="both"/>
      </w:pPr>
      <w:r>
        <w:rPr>
          <w:rFonts w:ascii="Arial Narrow" w:cs="Arial Narrow" w:eastAsia="Arial Narrow" w:hAnsi="Arial Narrow"/>
          <w:sz w:val="22"/>
          <w:szCs w:val="22"/>
        </w:rPr>
        <w:t xml:space="preserve">La tasa de regalías es una aproximación (sin API, promedio anual en vez de mensual, sin regímenes contractuales específicos).</w:t>
      </w:r>
    </w:p>
    <w:p>
      <w:pPr>
        <w:pStyle w:val="ListParagraph"/>
        <w:numPr>
          <w:ilvl w:val="0"/>
          <w:numId w:val="2"/>
        </w:numPr>
        <w:spacing w:after="60"/>
        <w:jc w:val="both"/>
      </w:pPr>
      <w:r>
        <w:rPr>
          <w:rFonts w:ascii="Arial Narrow" w:cs="Arial Narrow" w:eastAsia="Arial Narrow" w:hAnsi="Arial Narrow"/>
          <w:sz w:val="22"/>
          <w:szCs w:val="22"/>
        </w:rPr>
        <w:t xml:space="preserve">Precios futuros constantes; no hay modelo de precios.</w:t>
      </w:r>
    </w:p>
    <w:p>
      <w:pPr>
        <w:pStyle w:val="ListParagraph"/>
        <w:numPr>
          <w:ilvl w:val="0"/>
          <w:numId w:val="2"/>
        </w:numPr>
        <w:spacing w:after="60"/>
        <w:jc w:val="both"/>
      </w:pPr>
      <w:r>
        <w:rPr>
          <w:rFonts w:ascii="Arial Narrow" w:cs="Arial Narrow" w:eastAsia="Arial Narrow" w:hAnsi="Arial Narrow"/>
          <w:sz w:val="22"/>
          <w:szCs w:val="22"/>
        </w:rPr>
        <w:t xml:space="preserve">Cada campo se asigna a un solo municipio (el principal del Excel); los campos que abarcan varios municipios no se reparten.</w:t>
      </w:r>
    </w:p>
    <w:p>
      <w:pPr>
        <w:pStyle w:val="Heading1"/>
        <w:keepNext/>
        <w:spacing w:after="120" w:before="240"/>
      </w:pPr>
      <w:r>
        <w:rPr>
          <w:rFonts w:ascii="Arial Narrow" w:cs="Arial Narrow" w:eastAsia="Arial Narrow" w:hAnsi="Arial Narrow"/>
          <w:b/>
          <w:bCs/>
          <w:color w:val="000000"/>
          <w:sz w:val="30"/>
          <w:szCs w:val="30"/>
        </w:rPr>
        <w:t xml:space="preserve">16. Preguntas frecuentes</w:t>
      </w:r>
    </w:p>
    <w:p>
      <w:pPr>
        <w:spacing w:after="100" w:line="276"/>
        <w:jc w:val="both"/>
      </w:pPr>
      <w:r>
        <w:rPr>
          <w:rFonts w:ascii="Arial Narrow" w:cs="Arial Narrow" w:eastAsia="Arial Narrow" w:hAnsi="Arial Narrow"/>
          <w:b/>
          <w:bCs/>
          <w:sz w:val="22"/>
          <w:szCs w:val="22"/>
        </w:rPr>
        <w:t xml:space="preserve">¿Por qué 2026 aparece por encima de la 1P y 2027 por debajo?</w:t>
      </w:r>
      <w:r>
        <w:rPr>
          <w:rFonts w:ascii="Arial Narrow" w:cs="Arial Narrow" w:eastAsia="Arial Narrow" w:hAnsi="Arial Narrow"/>
          <w:sz w:val="22"/>
          <w:szCs w:val="22"/>
        </w:rPr>
        <w:t xml:space="preserve"> En 2026 no hay tope (la regla aplica después de 2026) y la producción real ya supera a la 1P. Desde 2027 se aplica el tope y la 1P declina.</w:t>
      </w:r>
    </w:p>
    <w:p>
      <w:pPr>
        <w:spacing w:after="100" w:line="276"/>
        <w:jc w:val="both"/>
      </w:pPr>
      <w:r>
        <w:rPr>
          <w:rFonts w:ascii="Arial Narrow" w:cs="Arial Narrow" w:eastAsia="Arial Narrow" w:hAnsi="Arial Narrow"/>
          <w:b/>
          <w:bCs/>
          <w:sz w:val="22"/>
          <w:szCs w:val="22"/>
        </w:rPr>
        <w:t xml:space="preserve">¿Por qué la persistencia es tan buena?</w:t>
      </w:r>
      <w:r>
        <w:rPr>
          <w:rFonts w:ascii="Arial Narrow" w:cs="Arial Narrow" w:eastAsia="Arial Narrow" w:hAnsi="Arial Narrow"/>
          <w:sz w:val="22"/>
          <w:szCs w:val="22"/>
        </w:rPr>
        <w:t xml:space="preserve"> La producción de un campo cambia poco de un año al siguiente. Por eso es la línea base más exigente; el modelo la iguala en 2026 y la supera en validación cruzada, y además incorpora el declive de la 1P.</w:t>
      </w:r>
    </w:p>
    <w:p>
      <w:pPr>
        <w:spacing w:after="100" w:line="276"/>
        <w:jc w:val="both"/>
      </w:pPr>
      <w:r>
        <w:rPr>
          <w:rFonts w:ascii="Arial Narrow" w:cs="Arial Narrow" w:eastAsia="Arial Narrow" w:hAnsi="Arial Narrow"/>
          <w:b/>
          <w:bCs/>
          <w:sz w:val="22"/>
          <w:szCs w:val="22"/>
        </w:rPr>
        <w:t xml:space="preserve">¿Puedo usar los precios de investing.com?</w:t>
      </w:r>
      <w:r>
        <w:rPr>
          <w:rFonts w:ascii="Arial Narrow" w:cs="Arial Narrow" w:eastAsia="Arial Narrow" w:hAnsi="Arial Narrow"/>
          <w:sz w:val="22"/>
          <w:szCs w:val="22"/>
        </w:rPr>
        <w:t xml:space="preserve"> Sí: en la página Datos y precios, o en el campo de precio de la Consulta, se escribe el valor y todo se recalcula.</w:t>
      </w:r>
    </w:p>
    <w:p>
      <w:pPr>
        <w:spacing w:after="100" w:line="276"/>
        <w:jc w:val="both"/>
      </w:pPr>
      <w:r>
        <w:rPr>
          <w:rFonts w:ascii="Arial Narrow" w:cs="Arial Narrow" w:eastAsia="Arial Narrow" w:hAnsi="Arial Narrow"/>
          <w:b/>
          <w:bCs/>
          <w:sz w:val="22"/>
          <w:szCs w:val="22"/>
        </w:rPr>
        <w:t xml:space="preserve">¿Qué pasa si elijo un campo sin 1P en 2035?</w:t>
      </w:r>
      <w:r>
        <w:rPr>
          <w:rFonts w:ascii="Arial Narrow" w:cs="Arial Narrow" w:eastAsia="Arial Narrow" w:hAnsi="Arial Narrow"/>
          <w:sz w:val="22"/>
          <w:szCs w:val="22"/>
        </w:rPr>
        <w:t xml:space="preserve"> El aplicativo no lo pronostica y muestra «Reservas 1P proyectadas hasta AAAA» o que el campo no tiene 1P.</w:t>
      </w:r>
    </w:p>
    <w:p>
      <w:pPr>
        <w:spacing w:after="100" w:line="276"/>
        <w:jc w:val="both"/>
      </w:pPr>
      <w:r>
        <w:rPr>
          <w:rFonts w:ascii="Arial Narrow" w:cs="Arial Narrow" w:eastAsia="Arial Narrow" w:hAnsi="Arial Narrow"/>
          <w:b/>
          <w:bCs/>
          <w:sz w:val="22"/>
          <w:szCs w:val="22"/>
        </w:rPr>
        <w:t xml:space="preserve">¿Cómo actualizo el modelo con datos nuevos?</w:t>
      </w:r>
      <w:r>
        <w:rPr>
          <w:rFonts w:ascii="Arial Narrow" w:cs="Arial Narrow" w:eastAsia="Arial Narrow" w:hAnsi="Arial Narrow"/>
          <w:sz w:val="22"/>
          <w:szCs w:val="22"/>
        </w:rPr>
        <w:t xml:space="preserve"> Reemplace el Excel en datos_crudos/ con la misma estructura, ejecute el cuaderno y vuelva a abrir el aplicativo.</w:t>
      </w:r>
    </w:p>
    <w:p>
      <w:pPr>
        <w:pStyle w:val="Heading1"/>
        <w:keepNext/>
        <w:spacing w:after="120" w:before="240"/>
      </w:pPr>
      <w:r>
        <w:rPr>
          <w:rFonts w:ascii="Arial Narrow" w:cs="Arial Narrow" w:eastAsia="Arial Narrow" w:hAnsi="Arial Narrow"/>
          <w:b/>
          <w:bCs/>
          <w:color w:val="000000"/>
          <w:sz w:val="30"/>
          <w:szCs w:val="30"/>
        </w:rPr>
        <w:t xml:space="preserve">17. Glosario</w:t>
      </w:r>
    </w:p>
    <w:p>
      <w:pPr>
        <w:pStyle w:val="ListParagraph"/>
        <w:numPr>
          <w:ilvl w:val="0"/>
          <w:numId w:val="2"/>
        </w:numPr>
        <w:spacing w:after="60"/>
        <w:jc w:val="both"/>
      </w:pPr>
      <w:r>
        <w:rPr>
          <w:rFonts w:ascii="Arial Narrow" w:cs="Arial Narrow" w:eastAsia="Arial Narrow" w:hAnsi="Arial Narrow"/>
          <w:b/>
          <w:bCs/>
          <w:sz w:val="22"/>
          <w:szCs w:val="22"/>
        </w:rPr>
        <w:t xml:space="preserve">Reservas 1P (probadas):</w:t>
      </w:r>
      <w:r>
        <w:rPr>
          <w:rFonts w:ascii="Arial Narrow" w:cs="Arial Narrow" w:eastAsia="Arial Narrow" w:hAnsi="Arial Narrow"/>
          <w:sz w:val="22"/>
          <w:szCs w:val="22"/>
        </w:rPr>
        <w:t xml:space="preserve"> volumen que se espera producir con alta certeza; aquí, el perfil anual por campo 2024-2060.</w:t>
      </w:r>
    </w:p>
    <w:p>
      <w:pPr>
        <w:pStyle w:val="ListParagraph"/>
        <w:numPr>
          <w:ilvl w:val="0"/>
          <w:numId w:val="2"/>
        </w:numPr>
        <w:spacing w:after="60"/>
        <w:jc w:val="both"/>
      </w:pPr>
      <w:r>
        <w:rPr>
          <w:rFonts w:ascii="Arial Narrow" w:cs="Arial Narrow" w:eastAsia="Arial Narrow" w:hAnsi="Arial Narrow"/>
          <w:b/>
          <w:bCs/>
          <w:sz w:val="22"/>
          <w:szCs w:val="22"/>
        </w:rPr>
        <w:t xml:space="preserve">Reservas 2P/3P (probables/posibles):</w:t>
      </w:r>
      <w:r>
        <w:rPr>
          <w:rFonts w:ascii="Arial Narrow" w:cs="Arial Narrow" w:eastAsia="Arial Narrow" w:hAnsi="Arial Narrow"/>
          <w:sz w:val="22"/>
          <w:szCs w:val="22"/>
        </w:rPr>
        <w:t xml:space="preserve"> volúmenes adicionales con menor certeza.</w:t>
      </w:r>
    </w:p>
    <w:p>
      <w:pPr>
        <w:pStyle w:val="ListParagraph"/>
        <w:numPr>
          <w:ilvl w:val="0"/>
          <w:numId w:val="2"/>
        </w:numPr>
        <w:spacing w:after="60"/>
        <w:jc w:val="both"/>
      </w:pPr>
      <w:r>
        <w:rPr>
          <w:rFonts w:ascii="Arial Narrow" w:cs="Arial Narrow" w:eastAsia="Arial Narrow" w:hAnsi="Arial Narrow"/>
          <w:b/>
          <w:bCs/>
          <w:sz w:val="22"/>
          <w:szCs w:val="22"/>
        </w:rPr>
        <w:t xml:space="preserve">bpd:</w:t>
      </w:r>
      <w:r>
        <w:rPr>
          <w:rFonts w:ascii="Arial Narrow" w:cs="Arial Narrow" w:eastAsia="Arial Narrow" w:hAnsi="Arial Narrow"/>
          <w:sz w:val="22"/>
          <w:szCs w:val="22"/>
        </w:rPr>
        <w:t xml:space="preserve"> barriles por día.</w:t>
      </w:r>
    </w:p>
    <w:p>
      <w:pPr>
        <w:pStyle w:val="ListParagraph"/>
        <w:numPr>
          <w:ilvl w:val="0"/>
          <w:numId w:val="2"/>
        </w:numPr>
        <w:spacing w:after="60"/>
        <w:jc w:val="both"/>
      </w:pPr>
      <w:r>
        <w:rPr>
          <w:rFonts w:ascii="Arial Narrow" w:cs="Arial Narrow" w:eastAsia="Arial Narrow" w:hAnsi="Arial Narrow"/>
          <w:b/>
          <w:bCs/>
          <w:sz w:val="22"/>
          <w:szCs w:val="22"/>
        </w:rPr>
        <w:t xml:space="preserve">WAPE:</w:t>
      </w:r>
      <w:r>
        <w:rPr>
          <w:rFonts w:ascii="Arial Narrow" w:cs="Arial Narrow" w:eastAsia="Arial Narrow" w:hAnsi="Arial Narrow"/>
          <w:sz w:val="22"/>
          <w:szCs w:val="22"/>
        </w:rPr>
        <w:t xml:space="preserve"> error absoluto ponderado por barriles.</w:t>
      </w:r>
    </w:p>
    <w:p>
      <w:pPr>
        <w:pStyle w:val="ListParagraph"/>
        <w:numPr>
          <w:ilvl w:val="0"/>
          <w:numId w:val="2"/>
        </w:numPr>
        <w:spacing w:after="60"/>
        <w:jc w:val="both"/>
      </w:pPr>
      <w:r>
        <w:rPr>
          <w:rFonts w:ascii="Arial Narrow" w:cs="Arial Narrow" w:eastAsia="Arial Narrow" w:hAnsi="Arial Narrow"/>
          <w:b/>
          <w:bCs/>
          <w:sz w:val="22"/>
          <w:szCs w:val="22"/>
        </w:rPr>
        <w:t xml:space="preserve">Sesgo:</w:t>
      </w:r>
      <w:r>
        <w:rPr>
          <w:rFonts w:ascii="Arial Narrow" w:cs="Arial Narrow" w:eastAsia="Arial Narrow" w:hAnsi="Arial Narrow"/>
          <w:sz w:val="22"/>
          <w:szCs w:val="22"/>
        </w:rPr>
        <w:t xml:space="preserve"> diferencia porcentual entre el total pronosticado y el real.</w:t>
      </w:r>
    </w:p>
    <w:p>
      <w:pPr>
        <w:pStyle w:val="ListParagraph"/>
        <w:numPr>
          <w:ilvl w:val="0"/>
          <w:numId w:val="2"/>
        </w:numPr>
        <w:spacing w:after="60"/>
        <w:jc w:val="both"/>
      </w:pPr>
      <w:r>
        <w:rPr>
          <w:rFonts w:ascii="Arial Narrow" w:cs="Arial Narrow" w:eastAsia="Arial Narrow" w:hAnsi="Arial Narrow"/>
          <w:b/>
          <w:bCs/>
          <w:sz w:val="22"/>
          <w:szCs w:val="22"/>
        </w:rPr>
        <w:t xml:space="preserve">Validación cruzada agrupada:</w:t>
      </w:r>
      <w:r>
        <w:rPr>
          <w:rFonts w:ascii="Arial Narrow" w:cs="Arial Narrow" w:eastAsia="Arial Narrow" w:hAnsi="Arial Narrow"/>
          <w:sz w:val="22"/>
          <w:szCs w:val="22"/>
        </w:rPr>
        <w:t xml:space="preserve"> repetir el entrenamiento cinco veces dejando fuera un grupo distinto de campos cada vez.</w:t>
      </w:r>
    </w:p>
    <w:p>
      <w:pPr>
        <w:pStyle w:val="ListParagraph"/>
        <w:numPr>
          <w:ilvl w:val="0"/>
          <w:numId w:val="2"/>
        </w:numPr>
        <w:spacing w:after="60"/>
        <w:jc w:val="both"/>
      </w:pPr>
      <w:r>
        <w:rPr>
          <w:rFonts w:ascii="Arial Narrow" w:cs="Arial Narrow" w:eastAsia="Arial Narrow" w:hAnsi="Arial Narrow"/>
          <w:b/>
          <w:bCs/>
          <w:sz w:val="22"/>
          <w:szCs w:val="22"/>
        </w:rPr>
        <w:t xml:space="preserve">Fuga de información:</w:t>
      </w:r>
      <w:r>
        <w:rPr>
          <w:rFonts w:ascii="Arial Narrow" w:cs="Arial Narrow" w:eastAsia="Arial Narrow" w:hAnsi="Arial Narrow"/>
          <w:sz w:val="22"/>
          <w:szCs w:val="22"/>
        </w:rPr>
        <w:t xml:space="preserve"> usar, sin querer, información que no se conocería al momento de pronosticar.</w:t>
      </w:r>
    </w:p>
    <w:p>
      <w:pPr>
        <w:pStyle w:val="ListParagraph"/>
        <w:numPr>
          <w:ilvl w:val="0"/>
          <w:numId w:val="2"/>
        </w:numPr>
        <w:spacing w:after="60"/>
        <w:jc w:val="both"/>
      </w:pPr>
      <w:r>
        <w:rPr>
          <w:rFonts w:ascii="Arial Narrow" w:cs="Arial Narrow" w:eastAsia="Arial Narrow" w:hAnsi="Arial Narrow"/>
          <w:b/>
          <w:bCs/>
          <w:sz w:val="22"/>
          <w:szCs w:val="22"/>
        </w:rPr>
        <w:t xml:space="preserve">Línea base:</w:t>
      </w:r>
      <w:r>
        <w:rPr>
          <w:rFonts w:ascii="Arial Narrow" w:cs="Arial Narrow" w:eastAsia="Arial Narrow" w:hAnsi="Arial Narrow"/>
          <w:sz w:val="22"/>
          <w:szCs w:val="22"/>
        </w:rPr>
        <w:t xml:space="preserve"> método simple contra el que se compara el modelo.</w:t>
      </w:r>
    </w:p>
    <w:p>
      <w:pPr>
        <w:pStyle w:val="ListParagraph"/>
        <w:numPr>
          <w:ilvl w:val="0"/>
          <w:numId w:val="2"/>
        </w:numPr>
        <w:spacing w:after="60"/>
        <w:jc w:val="both"/>
      </w:pPr>
      <w:r>
        <w:rPr>
          <w:rFonts w:ascii="Arial Narrow" w:cs="Arial Narrow" w:eastAsia="Arial Narrow" w:hAnsi="Arial Narrow"/>
          <w:b/>
          <w:bCs/>
          <w:sz w:val="22"/>
          <w:szCs w:val="22"/>
        </w:rPr>
        <w:t xml:space="preserve">Smearing:</w:t>
      </w:r>
      <w:r>
        <w:rPr>
          <w:rFonts w:ascii="Arial Narrow" w:cs="Arial Narrow" w:eastAsia="Arial Narrow" w:hAnsi="Arial Narrow"/>
          <w:sz w:val="22"/>
          <w:szCs w:val="22"/>
        </w:rPr>
        <w:t xml:space="preserve"> corrección del sesgo al volver de logaritmos a barriles.</w:t>
      </w:r>
    </w:p>
    <w:p>
      <w:pPr>
        <w:pStyle w:val="ListParagraph"/>
        <w:numPr>
          <w:ilvl w:val="0"/>
          <w:numId w:val="2"/>
        </w:numPr>
        <w:spacing w:after="60"/>
        <w:jc w:val="both"/>
      </w:pPr>
      <w:r>
        <w:rPr>
          <w:rFonts w:ascii="Arial Narrow" w:cs="Arial Narrow" w:eastAsia="Arial Narrow" w:hAnsi="Arial Narrow"/>
          <w:b/>
          <w:bCs/>
          <w:sz w:val="22"/>
          <w:szCs w:val="22"/>
        </w:rPr>
        <w:t xml:space="preserve">Silueta:</w:t>
      </w:r>
      <w:r>
        <w:rPr>
          <w:rFonts w:ascii="Arial Narrow" w:cs="Arial Narrow" w:eastAsia="Arial Narrow" w:hAnsi="Arial Narrow"/>
          <w:sz w:val="22"/>
          <w:szCs w:val="22"/>
        </w:rPr>
        <w:t xml:space="preserve"> medida de qué tan bien separados están los grupos (de −1 a 1).</w:t>
      </w:r>
    </w:p>
    <w:p>
      <w:pPr>
        <w:pStyle w:val="ListParagraph"/>
        <w:numPr>
          <w:ilvl w:val="0"/>
          <w:numId w:val="2"/>
        </w:numPr>
        <w:spacing w:after="60"/>
        <w:jc w:val="both"/>
      </w:pPr>
      <w:r>
        <w:rPr>
          <w:rFonts w:ascii="Arial Narrow" w:cs="Arial Narrow" w:eastAsia="Arial Narrow" w:hAnsi="Arial Narrow"/>
          <w:b/>
          <w:bCs/>
          <w:sz w:val="22"/>
          <w:szCs w:val="22"/>
        </w:rPr>
        <w:t xml:space="preserve">WTI / Brent:</w:t>
      </w:r>
      <w:r>
        <w:rPr>
          <w:rFonts w:ascii="Arial Narrow" w:cs="Arial Narrow" w:eastAsia="Arial Narrow" w:hAnsi="Arial Narrow"/>
          <w:sz w:val="22"/>
          <w:szCs w:val="22"/>
        </w:rPr>
        <w:t xml:space="preserve"> precios de referencia internacionales del petróleo.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76"/>
      <w:jc w:val="right"/>
    </w:pPr>
    <w:r>
      <w:rPr>
        <w:rFonts w:ascii="Arial Narrow" w:cs="Arial Narrow" w:eastAsia="Arial Narrow" w:hAnsi="Arial Narrow"/>
        <w:color w:val="404040"/>
        <w:sz w:val="22"/>
        <w:szCs w:val="22"/>
      </w:rPr>
      <w:t xml:space="preserve">Guía del PFI · Reservas 1P y regalías de petróleo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ebce1d8c385c1960ced69d06ab3076493f166f.png"/><Relationship Id="rId10" Type="http://schemas.openxmlformats.org/officeDocument/2006/relationships/image" Target="media/fd8dc52b9de649a92eca51720440a8e12b44bb1e.png"/><Relationship Id="rId11" Type="http://schemas.openxmlformats.org/officeDocument/2006/relationships/image" Target="media/996be66870a440f1a45c8a87732626ed419dc541.png"/><Relationship Id="rId12" Type="http://schemas.openxmlformats.org/officeDocument/2006/relationships/image" Target="media/b80305f2f6b1b2a1cfba70a3823cf70846b02f1b.png"/><Relationship Id="rId13" Type="http://schemas.openxmlformats.org/officeDocument/2006/relationships/image" Target="media/7ad03bc52f2c21f6bce4d6bca6a60cbe211b281c.png"/><Relationship Id="rId14" Type="http://schemas.openxmlformats.org/officeDocument/2006/relationships/image" Target="media/cd5cd1eb29988df232331aab2dc1f8dfa671e815.png"/><Relationship Id="rId15" Type="http://schemas.openxmlformats.org/officeDocument/2006/relationships/image" Target="media/0c7db40d78dc8dd85323633428ea5760b3a2a3f4.png"/><Relationship Id="rId16" Type="http://schemas.openxmlformats.org/officeDocument/2006/relationships/image" Target="media/8dca47b9f64050a8521ff6647f42e8e04da4e33f.png"/><Relationship Id="rId17" Type="http://schemas.openxmlformats.org/officeDocument/2006/relationships/image" Target="media/7b001072e9e2b20e4d7bd3d85c93a5e62ac1ca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 del PFI</dc:title>
  <dc:creator>Rafael Fajardo Moreno</dc:creator>
  <dc:description>Guía paso a paso del PFI</dc:description>
  <cp:lastModifiedBy>Un-named</cp:lastModifiedBy>
  <cp:revision>1</cp:revision>
  <dcterms:created xsi:type="dcterms:W3CDTF">2026-10-21T20:05:34.727Z</dcterms:created>
  <dcterms:modified xsi:type="dcterms:W3CDTF">2026-10-21T20:05:34.727Z</dcterms:modified>
</cp:coreProperties>
</file>

<file path=docProps/custom.xml><?xml version="1.0" encoding="utf-8"?>
<Properties xmlns="http://schemas.openxmlformats.org/officeDocument/2006/custom-properties" xmlns:vt="http://schemas.openxmlformats.org/officeDocument/2006/docPropsVTypes"/>
</file>