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ACC" w:rsidRPr="005F5CEA" w:rsidRDefault="005F5CEA">
      <w:pPr>
        <w:rPr>
          <w:u w:val="single"/>
        </w:rPr>
      </w:pPr>
      <w:r>
        <w:t>2) CVS: Eu seguirei com o modelo espiral, pois o projeto precisa ser flexível a adaptações. O dono da empresa também é capaz de monitorar a evolução do projeto e ter controle do resultado, garantindo a melhoria.</w:t>
      </w:r>
      <w:bookmarkStart w:id="0" w:name="_GoBack"/>
      <w:bookmarkEnd w:id="0"/>
    </w:p>
    <w:sectPr w:rsidR="00087ACC" w:rsidRPr="005F5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2"/>
    <w:rsid w:val="00087ACC"/>
    <w:rsid w:val="005F5CEA"/>
    <w:rsid w:val="00715532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66E4"/>
  <w15:chartTrackingRefBased/>
  <w15:docId w15:val="{F1D9E808-A0A1-4A39-BBB2-ED9C23B2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2</cp:revision>
  <dcterms:created xsi:type="dcterms:W3CDTF">2020-04-17T00:56:00Z</dcterms:created>
  <dcterms:modified xsi:type="dcterms:W3CDTF">2020-04-17T00:56:00Z</dcterms:modified>
</cp:coreProperties>
</file>