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5A9430"/>
          <w:sz w:val="28"/>
          <w:szCs w:val="28"/>
        </w:rPr>
        <w:t xml:space="preserve">FOOD GUARD</w:t>
      </w:r>
    </w:p>
    <w:p>
      <w:pPr>
        <w:spacing w:after="240"/>
      </w:pPr>
      <w:r>
        <w:rPr>
          <w:color w:val="6B7689"/>
          <w:sz w:val="22"/>
          <w:szCs w:val="22"/>
        </w:rPr>
        <w:t xml:space="preserve">DIAGNÓSTICO REGULATÓRIO · perguntas e pontuação</w:t>
      </w:r>
    </w:p>
    <w:p>
      <w:pPr>
        <w:pStyle w:val="Title"/>
        <w:spacing w:after="120"/>
      </w:pPr>
      <w:r>
        <w:t xml:space="preserve">Diagnóstico Food Guard</w:t>
      </w:r>
    </w:p>
    <w:p>
      <w:pPr>
        <w:pStyle w:val="Subtitle"/>
      </w:pPr>
      <w:r>
        <w:t xml:space="preserve">As 5 perguntas, alternativas, pontos de risco e cálculo do score</w:t>
      </w:r>
    </w:p>
    <w:p>
      <w:pPr>
        <w:pBdr>
          <w:top w:val="single" w:color="6FB23E" w:sz="12" w:space="6"/>
        </w:pBdr>
        <w:spacing w:after="0" w:before="360"/>
      </w:pPr>
    </w:p>
    <w:p>
      <w:pPr>
        <w:spacing w:after="30"/>
      </w:pPr>
      <w:r>
        <w:rPr>
          <w:color w:val="38465C"/>
          <w:sz w:val="20"/>
          <w:szCs w:val="20"/>
        </w:rPr>
        <w:t xml:space="preserve">Fonte: diagnostico-fluxo.html (fluxo construído)</w:t>
      </w:r>
    </w:p>
    <w:p>
      <w:pPr>
        <w:spacing w:after="30"/>
      </w:pPr>
      <w:r>
        <w:rPr>
          <w:color w:val="38465C"/>
          <w:sz w:val="20"/>
          <w:szCs w:val="20"/>
        </w:rPr>
        <w:t xml:space="preserve">25 de maio de 2026</w:t>
      </w:r>
    </w:p>
    <w:p>
      <w:pPr>
        <w:spacing w:after="30"/>
      </w:pPr>
      <w:r>
        <w:rPr>
          <w:color w:val="38465C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Como funciona o score</w:t>
      </w:r>
    </w:p>
    <w:p>
      <w:pPr>
        <w:spacing w:after="120" w:line="276"/>
      </w:pPr>
      <w:r>
        <w:t xml:space="preserve">Cada resposta vale pontos de risco — quanto maior, pior. O score final é 100 menos a soma dos pontos de risco, com piso de 15 e teto de 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Fórmula</w:t>
            </w:r>
          </w:p>
          <w:p>
            <w:pPr>
              <w:spacing w:after="40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score = 100 − (soma dos pontos de risco de todas as respostas)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Piso de 15 · teto de 100.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Pior caso possível: 22 + 20 + 18 + 15 + 15 = 90 pontos → score 15.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Pergunta 1 · Qual o tipo da sua operação?</w:t>
      </w: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A categoria define quais normas se aplicam (RDC 216, FSSC 22000, etc).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 de risco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Escola, creche ou refeição coletiva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Restaurante, bar, dark kitchen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Padaria, confeitaria, produção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Hotel, buffet, eventos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Indústria de alimentos / outro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22</w:t>
            </w:r>
          </w:p>
        </w:tc>
      </w:tr>
    </w:tbl>
    <w:p>
      <w:pPr>
        <w:pStyle w:val="Heading1"/>
      </w:pPr>
      <w:r>
        <w:t xml:space="preserve">Pergunta 2 · Você tem RT nutricionista no CNPJ hoje?</w:t>
      </w: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A figura do RT registrado no CRN-3 é exigida pela vigilância em quase todas as operações de alimento.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 de risco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Sim, RT ativo e visitas regulares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Sim, no papel — mas não visita (“RT-fantasma”)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Não tenho RT designado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Não sei dizer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1"/>
      </w:pPr>
      <w:r>
        <w:t xml:space="preserve">Pergunta 3 · Manual de Boas Práticas e POPs estão em dia?</w:t>
      </w: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A fiscalização pede o Manual BPF impresso. Sem ele, autuação imediata.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 de risco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Sim, atualizados nos últimos 12 meses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Existem, mas estão desatualizados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Tenho alguns, mas não todos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Não tenho / nunca foram feitos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18</w:t>
            </w:r>
          </w:p>
        </w:tc>
      </w:tr>
    </w:tbl>
    <w:p>
      <w:pPr>
        <w:pStyle w:val="Heading1"/>
      </w:pPr>
      <w:r>
        <w:t xml:space="preserve">Pergunta 4 · Quando foi a última visita da vigilância?</w:t>
      </w: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A vigilância opera por amostragem. Quem nunca foi fiscalizado pode ser o próximo da fila.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 de risco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Últimos 12 meses · sem ressalvas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Últimos 12 meses · com auto ou notificação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Há mais de 2 anos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Nunca recebi fiscalização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1"/>
      </w:pPr>
      <w:r>
        <w:t xml:space="preserve">Pergunta 5 · Sua equipe recebeu treinamento de BPF nos últimos 12 meses?</w:t>
      </w: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Treinamento registrado em ata é exigência da maioria das vigilâncias municipais.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 de risco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Sim, toda equipe · com ata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Sim, parcial · sem registro formal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Houve treinamento há mais de 12 meses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</w:t>
            </w:r>
          </w:p>
        </w:tc>
        <w:tc>
          <w:tcPr>
            <w:tcW w:type="dxa" w:w="6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Nunca foi feito</w:t>
            </w:r>
          </w:p>
        </w:tc>
        <w:tc>
          <w:tcPr>
            <w:tcW w:type="dxa" w:w="2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1"/>
      </w:pPr>
      <w:r>
        <w:t xml:space="preserve">Score → risco →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 de score</w:t>
            </w:r>
          </w:p>
        </w:tc>
        <w:tc>
          <w:tcPr>
            <w:tcW w:type="dxa" w:w="3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Plano sugerido</w:t>
            </w:r>
          </w:p>
        </w:tc>
      </w:tr>
      <w:tr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70 a 100</w:t>
            </w:r>
          </w:p>
        </w:tc>
        <w:tc>
          <w:tcPr>
            <w:tcW w:type="dxa" w:w="3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Baixo · operação madura</w:t>
            </w:r>
          </w:p>
        </w:tc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Essencial · R$ 1.500/mês · 1 visita/sem</w:t>
            </w:r>
          </w:p>
        </w:tc>
      </w:tr>
      <w:tr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45 a 69</w:t>
            </w:r>
          </w:p>
        </w:tc>
        <w:tc>
          <w:tcPr>
            <w:tcW w:type="dxa" w:w="3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 · gaps relevantes</w:t>
            </w:r>
          </w:p>
        </w:tc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Conformidade · R$ 2.700/mês · 2 visitas/sem</w:t>
            </w:r>
          </w:p>
        </w:tc>
      </w:tr>
      <w:tr>
        <w:tc>
          <w:tcPr>
            <w:tcW w:type="dxa" w:w="26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abaixo de 45</w:t>
            </w:r>
          </w:p>
        </w:tc>
        <w:tc>
          <w:tcPr>
            <w:tcW w:type="dxa" w:w="3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 · ação imediata</w:t>
            </w:r>
          </w:p>
        </w:tc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Premium · R$ 3.800/mês · 3 visitas/sem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D9842B" w:sz="18"/>
              <w:bottom w:val="single" w:color="E0DAC9" w:sz="2"/>
              <w:right w:val="single" w:color="E0DAC9" w:sz="2"/>
            </w:tcBorders>
            <w:shd w:fill="FBF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D9842B"/>
                <w:sz w:val="22"/>
                <w:szCs w:val="22"/>
              </w:rPr>
              <w:t xml:space="preserve">Atenção · divergência a reconciliar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Estas faixas (70+/45–69/&lt;45) são as do fluxo já construído (diagnostico-fluxo.html).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 tabela do PRD v2.0 usa outra régua (66–100 / 31–65 / 0–30).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Recomendação: padronizar pela régua do código e atualizar o PRD.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AC9" w:sz="4" w:space="6"/>
      </w:pBdr>
      <w:jc w:val="center"/>
    </w:pPr>
    <w:r>
      <w:rPr>
        <w:color w:val="6B7689"/>
        <w:sz w:val="16"/>
        <w:szCs w:val="16"/>
      </w:rPr>
      <w:t xml:space="preserve">Food Guard Assessoria  ·  Confidencial  ·  página </w:t>
    </w:r>
    <w:r>
      <w:rPr>
        <w:color w:val="6B76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A9430"/>
      </w:r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E2A47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5A943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6FB23E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A94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740"/>
      <w:sz w:val="22"/>
      <w:szCs w:val="22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color w:val="1B27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Guard — Diagnóstico (perguntas e score)</dc:title>
  <dc:creator>Food Guard</dc:creator>
  <cp:lastModifiedBy>Un-named</cp:lastModifiedBy>
  <cp:revision>1</cp:revision>
  <dcterms:created xsi:type="dcterms:W3CDTF">2026-05-25T22:41:16.128Z</dcterms:created>
  <dcterms:modified xsi:type="dcterms:W3CDTF">2026-05-25T22:41:16.136Z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