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5A9430"/>
          <w:sz w:val="28"/>
          <w:szCs w:val="28"/>
        </w:rPr>
        <w:t xml:space="preserve">FOOD GUARD</w:t>
      </w:r>
    </w:p>
    <w:p>
      <w:pPr>
        <w:spacing w:after="240"/>
      </w:pPr>
      <w:r>
        <w:rPr>
          <w:color w:val="6B7689"/>
          <w:sz w:val="22"/>
          <w:szCs w:val="22"/>
        </w:rPr>
        <w:t xml:space="preserve">PRD · PRODUCT REQUIREMENTS DOCUMENT  ·  revisão estratégica</w:t>
      </w:r>
    </w:p>
    <w:p>
      <w:pPr>
        <w:pStyle w:val="Title"/>
        <w:spacing w:after="120"/>
      </w:pPr>
      <w:r>
        <w:t xml:space="preserve">PRD v2.0</w:t>
      </w:r>
    </w:p>
    <w:p>
      <w:pPr>
        <w:pStyle w:val="Subtitle"/>
      </w:pPr>
      <w:r>
        <w:t xml:space="preserve">Assessoria Tech-Enabled · produto único · diagnóstico como porta de entrada</w:t>
      </w:r>
    </w:p>
    <w:p>
      <w:pPr>
        <w:pBdr>
          <w:top w:val="single" w:color="6FB23E" w:sz="12" w:space="6"/>
        </w:pBdr>
        <w:spacing w:after="0" w:before="360"/>
      </w:pPr>
    </w:p>
    <w:p>
      <w:pPr>
        <w:spacing w:after="30"/>
      </w:pPr>
      <w:r>
        <w:rPr>
          <w:color w:val="38465C"/>
          <w:sz w:val="20"/>
          <w:szCs w:val="20"/>
        </w:rPr>
        <w:t xml:space="preserve">Versão 2.0  ·  21 de maio de 2026  ·  substitui a v1.3</w:t>
      </w:r>
    </w:p>
    <w:p>
      <w:pPr>
        <w:spacing w:after="30"/>
      </w:pPr>
      <w:r>
        <w:rPr>
          <w:color w:val="38465C"/>
          <w:sz w:val="20"/>
          <w:szCs w:val="20"/>
        </w:rPr>
        <w:t xml:space="preserve">Renan Muniz (RT · co-founder · DPO) · Rafael Fernandes (produto · co-founder)</w:t>
      </w:r>
    </w:p>
    <w:p>
      <w:pPr>
        <w:spacing w:after="30"/>
      </w:pPr>
      <w:r>
        <w:rPr>
          <w:color w:val="38465C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· Resumo executivo</w:t>
      </w:r>
    </w:p>
    <w:p>
      <w:pPr>
        <w:spacing w:after="120" w:line="276"/>
      </w:pPr>
      <w:r>
        <w:t xml:space="preserve">Esta é a versão 2.0 do PRD do Food Guard. Ela formaliza duas decisões: (1) operar como um produto digital único — um só destino, com o diagnóstico regulatório como porta de entrada e uma aba de blog alimentando o topo do funil; e (2) firmar a identidade da empresa como uma Assessoria Tech-Enabled — uma assessoria de responsabilidade técnica potencializada por tecnologia, e não um software de conformidade.</w:t>
      </w:r>
    </w:p>
    <w:p>
      <w:pPr>
        <w:spacing w:after="120" w:line="276"/>
      </w:pPr>
      <w:r>
        <w:t xml:space="preserve">Essa distinção é o coração da v2.0. Internamente, a tecnologia (diagnóstico, plataforma, IA no WhatsApp, documentação digital) é o bastidor que torna o serviço barato, previsível e escalável para os sócios. Externamente, o cliente não compra software: compra um nutricionista (RT) particular, com nome, foto e CRN ativo, que funciona como escudo contra a fiscalização — com respostas na hora e zero papelada. O diagnóstico é o motor de aquisição; o que se vende é o RT humano.</w:t>
      </w:r>
    </w:p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A essência da v2.0</w:t>
            </w:r>
          </w:p>
          <w:p>
            <w:pPr>
              <w:spacing w:after="40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Identidade: Assessoria Tech-Enabled — tecnologia é bastidor, não a oferta.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Um destino só: site único (home + diagnóstico + blog), sem land/site separados.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 = motor de aquisição: mostra valor antes de pedir dado; trava o resultado completo atrás do cadastro.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Duplo CTA: agendar com o nutricionista (Calendly, primário) + assinar plano (Asaas, secundário, urgência).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Mensagem ao cliente: 'Seu nutricionista particular, com respostas na hora e zero papelada.'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Régua de abandono (Resend + retargeting) recupera quem viu o resultado e não converteu.</w:t>
            </w:r>
          </w:p>
        </w:tc>
      </w:tr>
    </w:tbl>
    <w:p>
      <w:pPr>
        <w:spacing w:after="20"/>
      </w:pP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Natureza do modelo: o produto digital gratuito (diagnóstico) puxa a aquisição (assessment-led growth, termo interno), mas o serviço recorrente — RT a R$ 1.500–3.800/mês — é high-touch e fecha majoritariamente na call. O self-service (checkout direto) é a saída de emergência para casos de urgência, não a via principal.</w:t>
      </w:r>
    </w:p>
    <w:p>
      <w:pPr>
        <w:pStyle w:val="Heading1"/>
      </w:pPr>
      <w:r>
        <w:t xml:space="preserve">2 · Changelog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Mudança em relação à v1.3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Identidade firmada: Assessoria Tech-Enabled (não 'software de conformidade'). Tecnologia é bastidor.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Camada de copy externa humana: RT nominal, escudo anti-fiscalização, respostas na hora, zero papelada.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Jargão de software ('conformidade como software', 'painel vivo', 'plataforma') banido de tudo que o cliente vê.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Arquitetura: land + site separados → site único com diagnóstico como porta de entrada e aba de blog.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 como motor de aquisição, com revelação de valor antes do gating.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Gating inteligente: score + 1 insight visíveis; resultado completo travado atrás de nome/e-mail/telefone.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Duplo CTA: agendar com o nutricionista (Calendly, primário) + assinar plano (Asaas, secundário).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Decisão técnica: formulário do diagnóstico em componentes nativos Next.js (não Typeform embed).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Motor de leads + nurture: captura no Supabase, régua de abandono via Resend e retargeting.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Métricas de produto: taxa de conclusão do diagnóstico e taxa de agendamento pós-diagnóstico.</w:t>
            </w:r>
          </w:p>
        </w:tc>
      </w:tr>
    </w:tbl>
    <w:p>
      <w:pPr>
        <w:pStyle w:val="Heading1"/>
      </w:pPr>
      <w:r>
        <w:t xml:space="preserve">3 · Visão e objetivos</w:t>
      </w:r>
    </w:p>
    <w:p>
      <w:pPr>
        <w:pStyle w:val="Heading2"/>
      </w:pPr>
      <w:r>
        <w:t xml:space="preserve">3.1 · Visão (mantida)</w:t>
      </w:r>
    </w:p>
    <w:p>
      <w:pPr>
        <w:spacing w:after="120" w:line="276"/>
      </w:pPr>
      <w:r>
        <w:t xml:space="preserve">Tornar a regulação sanitária e nutricional acessível, previsível e auditável para pequenas e médias operações de food service brasileiras — com previsibilidade contratual, responsabilidade técnica nominal (RT com nome, foto, CRN ativo) e tecnologia de bastidor.</w:t>
      </w:r>
    </w:p>
    <w:p>
      <w:pPr>
        <w:pStyle w:val="Heading2"/>
      </w:pPr>
      <w:r>
        <w:t xml:space="preserve">3.2 · OKRs · primeiros 90 dias</w:t>
      </w:r>
    </w:p>
    <w:p>
      <w:pPr>
        <w:spacing w:after="120" w:line="276"/>
      </w:pPr>
      <w:r>
        <w:t xml:space="preserve">Objetivo 1 — Validar o motor de aquisição:</w:t>
      </w:r>
    </w:p>
    <w:p>
      <w:pPr>
        <w:pStyle w:val="ListParagraph"/>
        <w:numPr>
          <w:ilvl w:val="0"/>
          <w:numId w:val="2"/>
        </w:numPr>
      </w:pPr>
      <w:r>
        <w:t xml:space="preserve">≥ 50 leads qualificados em 30 dias (lead = resultado destravado com dados válidos).</w:t>
      </w:r>
    </w:p>
    <w:p>
      <w:pPr>
        <w:pStyle w:val="ListParagraph"/>
        <w:numPr>
          <w:ilvl w:val="0"/>
          <w:numId w:val="2"/>
        </w:numPr>
      </w:pPr>
      <w:r>
        <w:t xml:space="preserve">Taxa de conclusão do diagnóstico ≥ 60% (quem inicia e chega ao gating).</w:t>
      </w:r>
    </w:p>
    <w:p>
      <w:pPr>
        <w:pStyle w:val="ListParagraph"/>
        <w:numPr>
          <w:ilvl w:val="0"/>
          <w:numId w:val="2"/>
        </w:numPr>
      </w:pPr>
      <w:r>
        <w:t xml:space="preserve">4 artigos de blog + 12 posts IG + 8 posts LinkedIn + 4 Reels no M1, todos com CTA para o diagnóstico.</w:t>
      </w:r>
    </w:p>
    <w:p>
      <w:pPr>
        <w:spacing w:after="120" w:line="276"/>
      </w:pPr>
      <w:r>
        <w:t xml:space="preserve">Objetivo 2 — Converter de forma sustentável:</w:t>
      </w:r>
    </w:p>
    <w:p>
      <w:pPr>
        <w:pStyle w:val="ListParagraph"/>
        <w:numPr>
          <w:ilvl w:val="0"/>
          <w:numId w:val="2"/>
        </w:numPr>
      </w:pPr>
      <w:r>
        <w:t xml:space="preserve">Taxa de agendamento pós-diagnóstico ≥ 24% · show-rate ≥ 75% · fechamento por call ≥ 30%.</w:t>
      </w:r>
    </w:p>
    <w:p>
      <w:pPr>
        <w:pStyle w:val="ListParagraph"/>
        <w:numPr>
          <w:ilvl w:val="0"/>
          <w:numId w:val="2"/>
        </w:numPr>
      </w:pPr>
      <w:r>
        <w:t xml:space="preserve">1–2 contratos no M1 · 3–4 no M2 · 4–5 no M3.</w:t>
      </w:r>
    </w:p>
    <w:p>
      <w:pPr>
        <w:spacing w:after="120" w:line="276"/>
      </w:pPr>
      <w:r>
        <w:t xml:space="preserve">Objetivo 3 — Base segura:</w:t>
      </w:r>
    </w:p>
    <w:p>
      <w:pPr>
        <w:pStyle w:val="ListParagraph"/>
        <w:numPr>
          <w:ilvl w:val="0"/>
          <w:numId w:val="2"/>
        </w:numPr>
      </w:pPr>
      <w:r>
        <w:t xml:space="preserve">Zero incidentes de exposição de dados · Renan formalmente designado DPO antes do go-live.</w:t>
      </w:r>
    </w:p>
    <w:p>
      <w:pPr>
        <w:pStyle w:val="Heading1"/>
      </w:pPr>
      <w:r>
        <w:t xml:space="preserve">4 · Identidade e as duas camadas de narrativa</w:t>
      </w:r>
    </w:p>
    <w:p>
      <w:pPr>
        <w:spacing w:after="120" w:line="276"/>
      </w:pPr>
      <w:r>
        <w:t xml:space="preserve">O Food Guard é uma Assessoria Tech-Enabled. Essa definição governa duas linguagens diferentes, que nunca devem se misturar: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60"/>
        <w:gridCol w:w="3900"/>
      </w:tblGrid>
      <w:tr>
        <w:trPr>
          <w:tblHeader/>
        </w:trP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 interna (sócios, PRD, investidor)</w:t>
            </w:r>
          </w:p>
        </w:tc>
        <w:tc>
          <w:tcPr>
            <w:tcW w:type="dxa" w:w="3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 externa (cliente, site, anúncios)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 que é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Assessoria de RT potencializada por tecnologia</w:t>
            </w:r>
          </w:p>
        </w:tc>
        <w:tc>
          <w:tcPr>
            <w:tcW w:type="dxa" w:w="3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Seu nutricionista particular contra a fiscalização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Tech-enabled, funil, diagnóstico, scoring, motor de leads, CRO</w:t>
            </w:r>
          </w:p>
        </w:tc>
        <w:tc>
          <w:tcPr>
            <w:tcW w:type="dxa" w:w="3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RT com nome e CRN, escudo, respostas na hora, sem papelada, sem multa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 papel da tech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Bastidor que barateia e escala o serviço</w:t>
            </w:r>
          </w:p>
        </w:tc>
        <w:tc>
          <w:tcPr>
            <w:tcW w:type="dxa" w:w="3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Invisível — o cliente só sente o benefício (rapidez, previsibilidade)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Métricas de aquisição e conversão</w:t>
            </w:r>
          </w:p>
        </w:tc>
        <w:tc>
          <w:tcPr>
            <w:tcW w:type="dxa" w:w="3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Multa, fiscalização, abertura de unidade, troca de RT</w:t>
            </w:r>
          </w:p>
        </w:tc>
      </w:tr>
    </w:tbl>
    <w:p>
      <w:pPr>
        <w:pStyle w:val="Heading2"/>
      </w:pPr>
      <w:r>
        <w:t xml:space="preserve">4.1 · Mensagens-âncora para o cliente</w:t>
      </w:r>
    </w:p>
    <w:p>
      <w:pPr>
        <w:pStyle w:val="ListParagraph"/>
        <w:numPr>
          <w:ilvl w:val="0"/>
          <w:numId w:val="2"/>
        </w:numPr>
      </w:pPr>
      <w:r>
        <w:t xml:space="preserve">“Seu nutricionista particular, com respostas na hora e zero papelada.”</w:t>
      </w:r>
    </w:p>
    <w:p>
      <w:pPr>
        <w:pStyle w:val="ListParagraph"/>
        <w:numPr>
          <w:ilvl w:val="0"/>
          <w:numId w:val="2"/>
        </w:numPr>
      </w:pPr>
      <w:r>
        <w:t xml:space="preserve">“Um RT com nome, foto e CRN ativo cuidando do seu negócio — para a fiscalização nunca te pegar de surpresa.”</w:t>
      </w:r>
    </w:p>
    <w:p>
      <w:pPr>
        <w:pStyle w:val="ListParagraph"/>
        <w:numPr>
          <w:ilvl w:val="0"/>
          <w:numId w:val="2"/>
        </w:numPr>
      </w:pPr>
      <w:r>
        <w:t xml:space="preserve">“Descubra em 90 segundos o que falta para o seu estabelecimento ficar em dia.”</w:t>
      </w:r>
    </w:p>
    <w:p>
      <w:pPr>
        <w:pStyle w:val="Heading2"/>
      </w:pPr>
      <w:r>
        <w:t xml:space="preserve">4.2 · Guia de copy — o que dizer e o que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Evitar (jargão de software)</w:t>
            </w:r>
          </w:p>
        </w:tc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Usar (linguagem humana)</w:t>
            </w:r>
          </w:p>
        </w:tc>
      </w:tr>
      <w:tr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“Conformidade como software”</w:t>
            </w:r>
          </w:p>
        </w:tc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“Um nutricionista de verdade cuidando do seu negócio”</w:t>
            </w:r>
          </w:p>
        </w:tc>
      </w:tr>
      <w:tr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“Painel vivo de conformidade”</w:t>
            </w:r>
          </w:p>
        </w:tc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“Seu RT a um clique, com tudo organizado pra você”</w:t>
            </w:r>
          </w:p>
        </w:tc>
      </w:tr>
      <w:tr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“Plataforma / SaaS / dashboard”</w:t>
            </w:r>
          </w:p>
        </w:tc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“Respostas na hora no WhatsApp, sem papelada”</w:t>
            </w:r>
          </w:p>
        </w:tc>
      </w:tr>
      <w:tr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“Assessment-led / motor de qualificação”</w:t>
            </w:r>
          </w:p>
        </w:tc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“Diagnóstico gratuito em 90 segundos”</w:t>
            </w:r>
          </w:p>
        </w:tc>
      </w:tr>
      <w:tr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“Otimizamos seu compliance”</w:t>
            </w:r>
          </w:p>
        </w:tc>
        <w:tc>
          <w:tcPr>
            <w:tcW w:type="dxa" w:w="468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“Deixamos seu estabelecimento blindado contra a Anvisa”</w:t>
            </w:r>
          </w:p>
        </w:tc>
      </w:tr>
    </w:tbl>
    <w:p>
      <w:pPr>
        <w:pStyle w:val="Heading1"/>
      </w:pPr>
      <w:r>
        <w:t xml:space="preserve">5 · Público-alvo e ICP (mantido)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Segmento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Food service · educação · hospitalidade · varejo · pequena indústria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Subverticais M1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Padarias, restaurantes, lanchonetes, buffets, dark kitchens, refeição coletiva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Porte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 a 200 colaboradores · faturamento R$ 30k–R$ 1,5M/mês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Geografia (M1–M3)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São Paulo capital · Grande SP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Decisor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Dono, CEO, diretor ou gerente operacional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Fiscalização · abertura de unidade · multa em curso · troca de RT</w:t>
            </w:r>
          </w:p>
        </w:tc>
      </w:tr>
    </w:tbl>
    <w:p>
      <w:pPr>
        <w:spacing w:after="120" w:line="276"/>
      </w:pPr>
      <w:r>
        <w:rPr>
          <w:color w:val="38465C"/>
          <w:sz w:val="19"/>
          <w:szCs w:val="19"/>
        </w:rPr>
        <w:t xml:space="preserve">Insight de copy: o ICP não acorda querendo comprar 'software de conformidade'. Acorda com medo de multa, de interdição, de não conseguir o alvará. A comunicação fala dessa dor reativa — e entrega um RT humano como a solução.</w:t>
      </w:r>
    </w:p>
    <w:p>
      <w:pPr>
        <w:pStyle w:val="ListParagraph"/>
        <w:numPr>
          <w:ilvl w:val="0"/>
          <w:numId w:val="2"/>
        </w:numPr>
      </w:pPr>
      <w:r>
        <w:t xml:space="preserve">Marcelo — dono de rede de padarias (3 unidades), 48 anos · gatilho: autuação prévia.</w:t>
      </w:r>
    </w:p>
    <w:p>
      <w:pPr>
        <w:pStyle w:val="ListParagraph"/>
        <w:numPr>
          <w:ilvl w:val="0"/>
          <w:numId w:val="2"/>
        </w:numPr>
      </w:pPr>
      <w:r>
        <w:t xml:space="preserve">Tatiana — diretora pedagógica de escola particular, 41 anos · gatilho: notificação.</w:t>
      </w:r>
    </w:p>
    <w:p>
      <w:pPr>
        <w:pStyle w:val="ListParagraph"/>
        <w:numPr>
          <w:ilvl w:val="0"/>
          <w:numId w:val="2"/>
        </w:numPr>
      </w:pPr>
      <w:r>
        <w:t xml:space="preserve">Júlio — sócio-gerente de restaurante pré-abertura, 32 anos · gatilho: alvará.</w:t>
      </w:r>
    </w:p>
    <w:p>
      <w:pPr>
        <w:pStyle w:val="Heading1"/>
      </w:pPr>
      <w:r>
        <w:t xml:space="preserve">6 · Arquitetura do funil (produto único)</w:t>
      </w:r>
    </w:p>
    <w:p>
      <w:pPr>
        <w:spacing w:after="120" w:line="276"/>
      </w:pPr>
      <w:r>
        <w:t xml:space="preserve">Todo o tráfego — pago, orgânico, outbound, indicação — cai num só lugar, cuja porta de entrada é o diagnóstico. Baixo atrito e máxima captura: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rPr>
          <w:tblHeader/>
        </w:trP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Métrica-chave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 · Chegada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Tráfego cai no produto (ads de intenção, blog, outbound, indicação)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Visitantes · origem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 · Diagnóstico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 perguntas em ≤ 90s, sem login, baixíssimo atrito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Taxa de início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 · Revelação parcial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Mostra o score e 1 insight imediatamente (valor antes do dado)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% que chega ao gating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4 · Gating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Para ver o resultado completo: nome, e-mail, telefone, cargo, empresa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Taxa de conclusão ≥ 60%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 · Resultado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Score, dinheiro em risco, checklist, plano recomendado + duplo CTA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Taxa de agendamento ≥ 24%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 · Conversão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Agendar com o nutricionista (Calendly→Renan) OU assinar (Asaas)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Fechamento por call ≥ 30%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7 · Nurture</w:t>
            </w:r>
          </w:p>
        </w:tc>
        <w:tc>
          <w:tcPr>
            <w:tcW w:type="dxa" w:w="5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Quem não converteu entra em régua de e-mail (Resend) + retargeting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Taxa de retorno</w:t>
            </w:r>
          </w:p>
        </w:tc>
      </w:tr>
    </w:tbl>
    <w:p>
      <w:pPr>
        <w:pStyle w:val="Heading2"/>
      </w:pPr>
      <w:r>
        <w:t xml:space="preserve">6.1 · Gating inteligente</w:t>
      </w:r>
    </w:p>
    <w:p>
      <w:pPr>
        <w:spacing w:after="120" w:line="276"/>
      </w:pPr>
      <w:r>
        <w:t xml:space="preserve">O resultado completo (checklist, dinheiro em risco, plano e preço) fica travado atrás do formulário. Mas o score e um insight aparecem antes — o usuário sente o valor antes de entregar os dados, o que aumenta a conclusão sem perder a captura. É nesse momento que o lead é gravado no Supabase.</w:t>
      </w:r>
    </w:p>
    <w:p>
      <w:pPr>
        <w:pStyle w:val="Heading2"/>
      </w:pPr>
      <w:r>
        <w:t xml:space="preserve">6.2 · Duplo CTA na tela de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24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Agendar avaliação com o nutricionista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Consultivo · ticket alto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Calendly integrado → call com Renan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Primário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Assinar plano [recomendado]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Self-service · urgência alta (ex: autuado)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Checkout Asaas direto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Secundário</w:t>
            </w:r>
          </w:p>
        </w:tc>
      </w:tr>
    </w:tbl>
    <w:p>
      <w:pPr>
        <w:spacing w:after="120" w:line="276"/>
      </w:pPr>
      <w:r>
        <w:rPr>
          <w:color w:val="38465C"/>
          <w:sz w:val="19"/>
          <w:szCs w:val="19"/>
        </w:rPr>
        <w:t xml:space="preserve">A call é o motor de conversão para tickets de R$ 2.700–3.800; o self-service é a saída de emergência. Instrumentar ambos, sem inverter prioridades.</w:t>
      </w:r>
    </w:p>
    <w:p>
      <w:pPr>
        <w:pStyle w:val="Heading2"/>
      </w:pPr>
      <w:r>
        <w:t xml:space="preserve">6.3 · Régua de abandono</w:t>
      </w:r>
    </w:p>
    <w:p>
      <w:pPr>
        <w:pStyle w:val="ListParagraph"/>
        <w:numPr>
          <w:ilvl w:val="0"/>
          <w:numId w:val="2"/>
        </w:numPr>
      </w:pPr>
      <w:r>
        <w:t xml:space="preserve">Viu o resultado mas não agendou nem comprou → e-mails (Resend) reforçando o risco e o convite à conversa, com link de volta ao agendamento.</w:t>
      </w:r>
    </w:p>
    <w:p>
      <w:pPr>
        <w:pStyle w:val="ListParagraph"/>
        <w:numPr>
          <w:ilvl w:val="0"/>
          <w:numId w:val="2"/>
        </w:numPr>
      </w:pPr>
      <w:r>
        <w:t xml:space="preserve">Retargeting (Meta + Google) trazendo o lead de volta para falar com o nutricionista.</w:t>
      </w:r>
    </w:p>
    <w:p>
      <w:pPr>
        <w:pStyle w:val="ListParagraph"/>
        <w:numPr>
          <w:ilvl w:val="0"/>
          <w:numId w:val="2"/>
        </w:numPr>
      </w:pPr>
      <w:r>
        <w:t xml:space="preserve">Não concluiu o diagnóstico → conteúdo educativo + novo convite ao diagnóstico.</w:t>
      </w:r>
    </w:p>
    <w:p>
      <w:pPr>
        <w:pStyle w:val="Heading1"/>
      </w:pPr>
      <w:r>
        <w:t xml:space="preserve">7 · O diagnóstico — porta de entrada</w:t>
      </w:r>
    </w:p>
    <w:p>
      <w:pPr>
        <w:spacing w:after="120" w:line="276"/>
      </w:pPr>
      <w:r>
        <w:t xml:space="preserve">Gerado em ≤ 2 segundos por motor de regras (não LLM em produção), com revisão técnica do RT Renan antes de cada release, validado contra a RDC 216/2004 e a Resolução CFN nº 600/2018. Deve parecer um relatório claro e premium, nunca um formulário de governo: revelação animada do score, números reais, linguagem simples.</w:t>
      </w:r>
    </w:p>
    <w:p>
      <w:pPr>
        <w:pStyle w:val="Heading2"/>
      </w:pPr>
      <w:r>
        <w:t xml:space="preserve">7.1 · As 5 perguntas</w:t>
      </w:r>
    </w:p>
    <w:p>
      <w:pPr>
        <w:pStyle w:val="ListParagraph"/>
        <w:numPr>
          <w:ilvl w:val="0"/>
          <w:numId w:val="2"/>
        </w:numPr>
      </w:pPr>
      <w:r>
        <w:t xml:space="preserve">Q1 — Tipo de estabelecimento e porte</w:t>
      </w:r>
    </w:p>
    <w:p>
      <w:pPr>
        <w:pStyle w:val="ListParagraph"/>
        <w:numPr>
          <w:ilvl w:val="0"/>
          <w:numId w:val="2"/>
        </w:numPr>
      </w:pPr>
      <w:r>
        <w:t xml:space="preserve">Q2 — RT nutricionista atual</w:t>
      </w:r>
    </w:p>
    <w:p>
      <w:pPr>
        <w:pStyle w:val="ListParagraph"/>
        <w:numPr>
          <w:ilvl w:val="0"/>
          <w:numId w:val="2"/>
        </w:numPr>
      </w:pPr>
      <w:r>
        <w:t xml:space="preserve">Q3 — Documentação técnica (Manual, POPs, APPCC, fichas)</w:t>
      </w:r>
    </w:p>
    <w:p>
      <w:pPr>
        <w:pStyle w:val="ListParagraph"/>
        <w:numPr>
          <w:ilvl w:val="0"/>
          <w:numId w:val="2"/>
        </w:numPr>
      </w:pPr>
      <w:r>
        <w:t xml:space="preserve">Q4 — Última fiscalização sanitária</w:t>
      </w:r>
    </w:p>
    <w:p>
      <w:pPr>
        <w:pStyle w:val="ListParagraph"/>
        <w:numPr>
          <w:ilvl w:val="0"/>
          <w:numId w:val="2"/>
        </w:numPr>
      </w:pPr>
      <w:r>
        <w:t xml:space="preserve">Q5 — Treinamento de manipuladores</w:t>
      </w:r>
    </w:p>
    <w:p>
      <w:pPr>
        <w:spacing w:after="120" w:line="276"/>
      </w:pPr>
      <w:r>
        <w:t xml:space="preserve">Cada pergunta pesa 0–20 pontos (total 0–100). Captura no gating: nome · telefone · e-mail · cargo · empresa. Aceite LGPD obrigatório · opt-in WhatsApp opcional.</w:t>
      </w:r>
    </w:p>
    <w:p>
      <w:pPr>
        <w:pStyle w:val="Heading2"/>
      </w:pPr>
      <w:r>
        <w:t xml:space="preserve">7.2 · O resultado</w:t>
      </w:r>
    </w:p>
    <w:p>
      <w:pPr>
        <w:pStyle w:val="ListParagraph"/>
        <w:numPr>
          <w:ilvl w:val="0"/>
          <w:numId w:val="2"/>
        </w:numPr>
      </w:pPr>
      <w:r>
        <w:t xml:space="preserve">Score grande (X/100) com cor por faixa e revelação animada.</w:t>
      </w:r>
    </w:p>
    <w:p>
      <w:pPr>
        <w:pStyle w:val="ListParagraph"/>
        <w:numPr>
          <w:ilvl w:val="0"/>
          <w:numId w:val="2"/>
        </w:numPr>
      </w:pPr>
      <w:r>
        <w:t xml:space="preserve">Números reais: valor de multa, custo de adequação tardia, % de autuação.</w:t>
      </w:r>
    </w:p>
    <w:p>
      <w:pPr>
        <w:pStyle w:val="ListParagraph"/>
        <w:numPr>
          <w:ilvl w:val="0"/>
          <w:numId w:val="2"/>
        </w:numPr>
      </w:pPr>
      <w:r>
        <w:t xml:space="preserve">Checklist do que falta (tangibiliza o problema, em linguagem do cliente).</w:t>
      </w:r>
    </w:p>
    <w:p>
      <w:pPr>
        <w:pStyle w:val="ListParagraph"/>
        <w:numPr>
          <w:ilvl w:val="0"/>
          <w:numId w:val="2"/>
        </w:numPr>
      </w:pPr>
      <w:r>
        <w:t xml:space="preserve">Plano recomendado em destaque + preço visível + duplo CTA + garantia de adequação em 90 dias ou devolução.</w:t>
      </w:r>
    </w:p>
    <w:p>
      <w:pPr>
        <w:pStyle w:val="ListParagraph"/>
        <w:numPr>
          <w:ilvl w:val="0"/>
          <w:numId w:val="2"/>
        </w:numPr>
      </w:pPr>
      <w:r>
        <w:t xml:space="preserve">Versão em PDF por e-mail (Resend).</w:t>
      </w:r>
    </w:p>
    <w:p>
      <w:pPr>
        <w:pStyle w:val="Heading2"/>
      </w:pPr>
      <w:r>
        <w:t xml:space="preserve">7.3 · Scoring →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Plano sugerido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1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0–30</w:t>
            </w:r>
          </w:p>
        </w:tc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Crítico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Premium · 3 visitas/sem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R$ 3.800/mês</w:t>
            </w:r>
          </w:p>
        </w:tc>
      </w:tr>
      <w:tr>
        <w:tc>
          <w:tcPr>
            <w:tcW w:type="dxa" w:w="1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31–65</w:t>
            </w:r>
          </w:p>
        </w:tc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Conformidade · 2 visitas/sem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R$ 2.700/mês</w:t>
            </w:r>
          </w:p>
        </w:tc>
      </w:tr>
      <w:tr>
        <w:tc>
          <w:tcPr>
            <w:tcW w:type="dxa" w:w="1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66–100</w:t>
            </w:r>
          </w:p>
        </w:tc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Essencial · 1 visita/sem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R$ 1.500/mês</w:t>
            </w:r>
          </w:p>
        </w:tc>
      </w:tr>
    </w:tbl>
    <w:p>
      <w:pPr>
        <w:pStyle w:val="Heading1"/>
      </w:pPr>
      <w:r>
        <w:t xml:space="preserve">8 · Motor de geração e qualificação de leads</w:t>
      </w:r>
    </w:p>
    <w:p>
      <w:pPr>
        <w:spacing w:after="120" w:line="276"/>
      </w:pPr>
      <w:r>
        <w:t xml:space="preserve">Motor nativo e proprietário, alinhado a 'donos do dado'. Fluxo: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Quiz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Componente nativo Next.js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react-hook-form + máquina de passos, sem backend para responder, LCP baixo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Scoring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Motor de regras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Score 0–100 em ≤ 2s, mapeia para plano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Captura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Supabase (tabela leads)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POST no gating · RLS por papel · consent log imutável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Roteamento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Regras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Score + cargo → prioridade de follow-up · agenda Calendly · checkout Asaas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Qualificação IA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Claude Haiku (WhatsApp, pós-captura)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Aprofunda qualificação e tira dúvidas; nunca opina tecnicamente; handoff humano sempre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Nurture</w:t>
            </w:r>
          </w:p>
        </w:tc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Resend + retargeting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Régua de abandono e reengajamento</w:t>
            </w:r>
          </w:p>
        </w:tc>
      </w:tr>
    </w:tbl>
    <w:p>
      <w:pPr>
        <w:pStyle w:val="Heading2"/>
      </w:pPr>
      <w:r>
        <w:t xml:space="preserve">8.1 · Critérios de qualificação (lead → oportunidade)</w:t>
      </w:r>
    </w:p>
    <w:p>
      <w:pPr>
        <w:pStyle w:val="ListParagraph"/>
        <w:numPr>
          <w:ilvl w:val="0"/>
          <w:numId w:val="2"/>
        </w:numPr>
      </w:pPr>
      <w:r>
        <w:t xml:space="preserve">Hard signals: porte no ICP, cargo decisor, gatilho ativo (fiscalização/abertura/multa/troca de RT).</w:t>
      </w:r>
    </w:p>
    <w:p>
      <w:pPr>
        <w:pStyle w:val="ListParagraph"/>
        <w:numPr>
          <w:ilvl w:val="0"/>
          <w:numId w:val="2"/>
        </w:numPr>
      </w:pPr>
      <w:r>
        <w:t xml:space="preserve">Score de risco 0–65 (crítico/médio) → prioridade alta de contato.</w:t>
      </w:r>
    </w:p>
    <w:p>
      <w:pPr>
        <w:pStyle w:val="ListParagraph"/>
        <w:numPr>
          <w:ilvl w:val="0"/>
          <w:numId w:val="2"/>
        </w:numPr>
      </w:pPr>
      <w:r>
        <w:t xml:space="preserve">Engajamento: concluiu o diagnóstico e abriu o e-mail/PDF.</w:t>
      </w:r>
    </w:p>
    <w:p>
      <w:pPr>
        <w:spacing w:after="120" w:line="276"/>
      </w:pPr>
      <w:r>
        <w:rPr>
          <w:color w:val="38465C"/>
          <w:sz w:val="19"/>
          <w:szCs w:val="19"/>
        </w:rPr>
        <w:t xml:space="preserve">A IA do WhatsApp deixa de ser o topo do funil (como na v1.3) e passa a ser apoio pós-captura, coerente com o controle de dados no produto.</w:t>
      </w:r>
    </w:p>
    <w:p>
      <w:pPr>
        <w:pStyle w:val="Heading1"/>
      </w:pPr>
      <w:r>
        <w:t xml:space="preserve">9 · Os três planos (mantidos)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Essencial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Tagline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17"/>
                <w:szCs w:val="17"/>
              </w:rPr>
              <w:t xml:space="preserve">Pra começar com tudo em dia.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17"/>
                <w:szCs w:val="17"/>
              </w:rPr>
              <w:t xml:space="preserve">Pra crescer com segurança. (Mais procurado)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17"/>
                <w:szCs w:val="17"/>
              </w:rPr>
              <w:t xml:space="preserve">Pra redes e operações complexas.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Visitas/semana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RT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Sênior · Renan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Manual + POPs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Inclusos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Inclusos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Inclusos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APPCC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Inclui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Treinamento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1×/sem.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1×/trim.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1×/mês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Comercial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Estendido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Auditoria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1×/ano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2×/ano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R$ 1.500/mês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R$ 2.700/mês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R$ 3.800/mês</w:t>
            </w:r>
          </w:p>
        </w:tc>
      </w:tr>
    </w:tbl>
    <w:p>
      <w:pPr>
        <w:spacing w:after="120" w:line="276"/>
      </w:pPr>
      <w:r>
        <w:rPr>
          <w:color w:val="38465C"/>
          <w:sz w:val="19"/>
          <w:szCs w:val="19"/>
        </w:rPr>
        <w:t xml:space="preserve">Carência mínima 12 meses · multa 40% por rescisão antecipada · preços visíveis no resultado do diagnóstico.</w:t>
      </w:r>
    </w:p>
    <w:p>
      <w:pPr>
        <w:pStyle w:val="Heading1"/>
      </w:pPr>
      <w:r>
        <w:t xml:space="preserve">10 · Estrutura do site único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CTA principal</w:t>
            </w:r>
          </w:p>
        </w:tc>
      </w:tr>
      <w:t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Home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Herói humano (RT/escudo) + entrada direta no diagnóstico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Fazer diagnóstico grátis</w:t>
            </w:r>
          </w:p>
        </w:tc>
      </w:tr>
      <w:t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 5 perguntas (fluxo nativo, sem login)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Avançar / ver resultado</w:t>
            </w:r>
          </w:p>
        </w:tc>
      </w:tr>
      <w:t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Resultado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Score, risco, checklist, plano + duplo CTA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Agendar com nutricionista / assinar</w:t>
            </w:r>
          </w:p>
        </w:tc>
      </w:tr>
      <w:t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Planos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Detalhe dos 3 planos e comparativo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Fazer diagnóstico</w:t>
            </w:r>
          </w:p>
        </w:tc>
      </w:tr>
      <w:t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Blog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SEO · 4 pilares · cada artigo empurra ao diagnóstico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Fazer diagnóstico</w:t>
            </w:r>
          </w:p>
        </w:tc>
      </w:tr>
      <w:tr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Sobre / confiança</w:t>
            </w:r>
          </w:p>
        </w:tc>
        <w:tc>
          <w:tcPr>
            <w:tcW w:type="dxa" w:w="5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Renan (RT, CRN ativo, foto), garantia, LGPD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Fazer diagnóstico</w:t>
            </w:r>
          </w:p>
        </w:tc>
      </w:tr>
    </w:tbl>
    <w:p>
      <w:pPr>
        <w:spacing w:after="120" w:line="276"/>
      </w:pPr>
      <w:r>
        <w:t xml:space="preserve">As páginas institucionais pesadas da v1.3 colapsam em seções leves dentro do produto — só o necessário para gerar confiança sem desviar do diagnóstico.</w:t>
      </w:r>
    </w:p>
    <w:p>
      <w:pPr>
        <w:pStyle w:val="Heading1"/>
      </w:pPr>
      <w:r>
        <w:t xml:space="preserve">11 · Posicionamento e design</w:t>
      </w:r>
    </w:p>
    <w:p>
      <w:pPr>
        <w:spacing w:after="120" w:line="276"/>
      </w:pPr>
      <w:r>
        <w:t xml:space="preserve">Posicionamento ao cliente: o Food Guard é o seu nutricionista particular — um RT com nome, foto e CRN ativo que mantém seu estabelecimento blindado contra a fiscalização, com respostas na hora e sem papelada. A tecnologia que torna isso possível fica nos bastidores; o cliente só sente o resultado: rapidez, previsibilidade e tranquilidade.</w:t>
      </w:r>
    </w:p>
    <w:p>
      <w:pPr>
        <w:spacing w:after="120" w:line="276"/>
      </w:pPr>
      <w:r>
        <w:t xml:space="preserve">Direção visual (evolução do atual, não ruptura): mantém o design system existente — display serif Fraunces + corpo Inter, paleta navy (#0E2A47) + leaf (#6FB23E) sobre paper/cream — elevando hierarquia editorial e a tela de resultado, com microinterações na revelação do score. Rosto humano em destaque (foto do Renan, CRN visível) como prova de confiança. Identidade preservada, execução mais sofisticada.</w:t>
      </w:r>
    </w:p>
    <w:p>
      <w:pPr>
        <w:pStyle w:val="Heading1"/>
      </w:pPr>
      <w:r>
        <w:t xml:space="preserve">12 · Arquitetura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Borda (DNS · WAF · CDN)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Frontend + produto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Next.js 14 + Vercel (diagnóstico em componentes nativos)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Formulário/quiz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Nativo: react-hook-form + máquina de passos + animação de revelação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CMS do blog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Sanity.io (ISR · revalidate on-publish)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Dados + auth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Supabase (Postgres + RLS · consent log imutável)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Asaas (PIX, boleto, cartão) · checkout self-service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Calendly embutido na tela de resultado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E-mail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Resend (PDF do diagnóstico + régua de abandono)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IA (apoio)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Claude Haiku no WhatsApp, pós-captura, com guardrails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Mensageria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WhatsApp Meta Cloud API direto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Observabilidade · analytics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Sentry + BetterStack · GA4 + Meta CAPI server-side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0E2A47" w:sz="18"/>
              <w:bottom w:val="single" w:color="E0DAC9" w:sz="2"/>
              <w:right w:val="single" w:color="E0DAC9" w:sz="2"/>
            </w:tcBorders>
            <w:shd w:fill="FBF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2A47"/>
                <w:sz w:val="22"/>
                <w:szCs w:val="22"/>
              </w:rPr>
              <w:t xml:space="preserve">Decisão técnica · formulário nativo (não Typeform)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Donos do dado, do tracking e da experiência; Typeform contraria a tese.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Nativo mantém o LCP baixo (KPI de funil) — sem iframe pesado.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Sem custo por resposta e sem teto de CRO.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UX de produto (progresso, microinterações), não de questionário burocrático.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Typeform só como teste descartável se for preciso lançar antes do app.</w:t>
            </w:r>
          </w:p>
        </w:tc>
      </w:tr>
    </w:tbl>
    <w:p>
      <w:pPr>
        <w:pStyle w:val="Heading1"/>
      </w:pPr>
      <w:r>
        <w:t xml:space="preserve">13 · Métricas de produto e KPIs</w:t>
      </w:r>
    </w:p>
    <w:p>
      <w:pPr>
        <w:pStyle w:val="Heading2"/>
      </w:pPr>
      <w:r>
        <w:t xml:space="preserve">13.1 · Métricas de produto (diárias)</w:t>
      </w:r>
    </w:p>
    <w:p>
      <w:pPr>
        <w:pStyle w:val="ListParagraph"/>
        <w:numPr>
          <w:ilvl w:val="0"/>
          <w:numId w:val="2"/>
        </w:numPr>
      </w:pPr>
      <w:r>
        <w:t xml:space="preserve">Taxa de conclusão do diagnóstico — % de quem inicia e chega ao gating (meta ≥ 60%).</w:t>
      </w:r>
    </w:p>
    <w:p>
      <w:pPr>
        <w:pStyle w:val="ListParagraph"/>
        <w:numPr>
          <w:ilvl w:val="0"/>
          <w:numId w:val="2"/>
        </w:numPr>
      </w:pPr>
      <w:r>
        <w:t xml:space="preserve">Taxa de agendamento pós-diagnóstico — % de leads que agendam a call (meta ≥ 24%).</w:t>
      </w:r>
    </w:p>
    <w:p>
      <w:pPr>
        <w:pStyle w:val="ListParagraph"/>
        <w:numPr>
          <w:ilvl w:val="0"/>
          <w:numId w:val="2"/>
        </w:numPr>
      </w:pPr>
      <w:r>
        <w:t xml:space="preserve">Taxa de uso do self-service — % que assina direto via Asaas (esperado &lt; 10%).</w:t>
      </w:r>
    </w:p>
    <w:p>
      <w:pPr>
        <w:pStyle w:val="ListParagraph"/>
        <w:numPr>
          <w:ilvl w:val="0"/>
          <w:numId w:val="2"/>
        </w:numPr>
      </w:pPr>
      <w:r>
        <w:t xml:space="preserve">Taxa de recuperação por nurture — % de abandonadores que retornam e convertem.</w:t>
      </w:r>
    </w:p>
    <w:p>
      <w:pPr>
        <w:pStyle w:val="Heading2"/>
      </w:pPr>
      <w:r>
        <w:t xml:space="preserve">13.2 · KPIs herdados</w:t>
      </w:r>
    </w:p>
    <w:p>
      <w:pPr>
        <w:pStyle w:val="ListParagraph"/>
        <w:numPr>
          <w:ilvl w:val="0"/>
          <w:numId w:val="2"/>
        </w:numPr>
      </w:pPr>
      <w:r>
        <w:t xml:space="preserve">Negócio (semanal): leads · CPL · calls · fechamentos · MRR · CAC · LTV.</w:t>
      </w:r>
    </w:p>
    <w:p>
      <w:pPr>
        <w:pStyle w:val="ListParagraph"/>
        <w:numPr>
          <w:ilvl w:val="0"/>
          <w:numId w:val="2"/>
        </w:numPr>
      </w:pPr>
      <w:r>
        <w:t xml:space="preserve">Técnico (diário): uptime · LCP · INP · erros 5xx · falhas de webhook.</w:t>
      </w:r>
    </w:p>
    <w:p>
      <w:pPr>
        <w:pStyle w:val="ListParagraph"/>
        <w:numPr>
          <w:ilvl w:val="0"/>
          <w:numId w:val="2"/>
        </w:numPr>
      </w:pPr>
      <w:r>
        <w:t xml:space="preserve">Conteúdo (semanal): alcance IG · engajamento · cliques na bio · visitas ao blog · downloads de lead magnet.</w:t>
      </w:r>
    </w:p>
    <w:p>
      <w:pPr>
        <w:pStyle w:val="Heading1"/>
      </w:pPr>
      <w:r>
        <w:t xml:space="preserve">14 · Segurança, LGPD e guardrails (mantido)</w:t>
      </w:r>
    </w:p>
    <w:p>
      <w:pPr>
        <w:pStyle w:val="ListParagraph"/>
        <w:numPr>
          <w:ilvl w:val="0"/>
          <w:numId w:val="2"/>
        </w:numPr>
      </w:pPr>
      <w:r>
        <w:t xml:space="preserve">DPO: Renan Muniz · dpo@foodguard.com.br · designação formal antes do go-live.</w:t>
      </w:r>
    </w:p>
    <w:p>
      <w:pPr>
        <w:pStyle w:val="ListParagraph"/>
        <w:numPr>
          <w:ilvl w:val="0"/>
          <w:numId w:val="2"/>
        </w:numPr>
      </w:pPr>
      <w:r>
        <w:t xml:space="preserve">Política de privacidade pública · consent log imutável · direito ao esquecimento self-service.</w:t>
      </w:r>
    </w:p>
    <w:p>
      <w:pPr>
        <w:pStyle w:val="ListParagraph"/>
        <w:numPr>
          <w:ilvl w:val="0"/>
          <w:numId w:val="2"/>
        </w:numPr>
      </w:pPr>
      <w:r>
        <w:t xml:space="preserve">Retenção: leads 24m · contratos 5 anos. Criptografia AES-256 em repouso · TLS 1.3 em trânsito · 2FA admin.</w:t>
      </w:r>
    </w:p>
    <w:p>
      <w:pPr>
        <w:pStyle w:val="ListParagraph"/>
        <w:numPr>
          <w:ilvl w:val="0"/>
          <w:numId w:val="2"/>
        </w:numPr>
      </w:pPr>
      <w:r>
        <w:t xml:space="preserve">Asaas tokeniza; o Food Guard nunca vê PAN/CVV. Backup diário · RPO 24h · RTO 4h.</w:t>
      </w:r>
    </w:p>
    <w:p>
      <w:pPr>
        <w:pStyle w:val="ListParagraph"/>
        <w:numPr>
          <w:ilvl w:val="0"/>
          <w:numId w:val="2"/>
        </w:numPr>
      </w:pPr>
      <w:r>
        <w:t xml:space="preserve">IA: prompts versionados · PII redaction · zero retention contratado · nunca emite opinião técnica definitiva.</w:t>
      </w:r>
    </w:p>
    <w:p>
      <w:pPr>
        <w:pStyle w:val="Heading1"/>
      </w:pPr>
      <w:r>
        <w:t xml:space="preserve">15 · Estratégia de aquisição</w:t>
      </w:r>
    </w:p>
    <w:p>
      <w:pPr>
        <w:spacing w:after="120" w:line="276"/>
      </w:pPr>
      <w:r>
        <w:t xml:space="preserve">A lógica é 'otimizar tráfego qualificado para o diagnóstico'. A copy dos anúncios fala a dor reativa do cliente (multa, fiscalização, alvará) e promete um nutricionista de verdade — não software.</w:t>
      </w:r>
    </w:p>
    <w:p>
      <w:pPr>
        <w:pStyle w:val="ListParagraph"/>
        <w:numPr>
          <w:ilvl w:val="0"/>
          <w:numId w:val="2"/>
        </w:numPr>
      </w:pPr>
      <w:r>
        <w:t xml:space="preserve">Google Ads (intenção): buscas por regularização de alvará, recurso de multa, RT nutricionista → caem no diagnóstico. CPL-alvo ~R$ 20.</w:t>
      </w:r>
    </w:p>
    <w:p>
      <w:pPr>
        <w:pStyle w:val="ListParagraph"/>
        <w:numPr>
          <w:ilvl w:val="0"/>
          <w:numId w:val="2"/>
        </w:numPr>
      </w:pPr>
      <w:r>
        <w:t xml:space="preserve">Meta Ads (com o site no ar): 70% retargeting + 30% lookalike · cold off no M1 · R$ 1.000 totais 50/50 com o Google.</w:t>
      </w:r>
    </w:p>
    <w:p>
      <w:pPr>
        <w:pStyle w:val="ListParagraph"/>
        <w:numPr>
          <w:ilvl w:val="0"/>
          <w:numId w:val="2"/>
        </w:numPr>
      </w:pPr>
      <w:r>
        <w:t xml:space="preserve">Blog/SEO (Sanity): 1 artigo/semana, 12 pautas em banco, cada um com CTA para o diagnóstico e lead magnet.</w:t>
      </w:r>
    </w:p>
    <w:p>
      <w:pPr>
        <w:pStyle w:val="ListParagraph"/>
        <w:numPr>
          <w:ilvl w:val="0"/>
          <w:numId w:val="2"/>
        </w:numPr>
      </w:pPr>
      <w:r>
        <w:t xml:space="preserve">Orgânico: IG @foodguard.assessoria (3 posts + 5 stories + 1 Reel/sem) e LinkedIn do Renan (2 posts/sem).</w:t>
      </w:r>
    </w:p>
    <w:p>
      <w:pPr>
        <w:pStyle w:val="ListParagraph"/>
        <w:numPr>
          <w:ilvl w:val="0"/>
          <w:numId w:val="2"/>
        </w:numPr>
      </w:pPr>
      <w:r>
        <w:t xml:space="preserve">Outbound leve (4 toques/14 dias, 15–20 prospects/sem) e network direto na semana 1 (30–50 contatos).</w:t>
      </w:r>
    </w:p>
    <w:p>
      <w:pPr>
        <w:pStyle w:val="Heading1"/>
      </w:pPr>
      <w:r>
        <w:t xml:space="preserve">16 ·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Jargão de software afasta o ICP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Copy humana · guia do/don't · revisão de toda peça externa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Atrito alto no self-service (R$ 2.700 sem call)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Call como CTA primário · self-service só para urgência · CRO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Baixa taxa de conclusão do diagnóstico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Valor antes do gating · quiz rápido e bonito · A/B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Sem calor humano no topo → conversão cai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 de alto valor · nurture forte · retargeting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Vazamento de PII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Baixa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RLS · criptografia · DPO Renan · consent log imutável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CPL acima do estimado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Tráfego de intenção · retargeting pesado · A/B</w:t>
            </w:r>
          </w:p>
        </w:tc>
      </w:tr>
      <w:tr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Capacidade de visitas do RT satura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 de contratação da 1ª RT (~15–20 clientes)</w:t>
            </w:r>
          </w:p>
        </w:tc>
      </w:tr>
    </w:tbl>
    <w:p>
      <w:pPr>
        <w:pStyle w:val="Heading1"/>
      </w:pPr>
      <w:r>
        <w:t xml:space="preserve">17 · Roadmap (resumo)</w:t>
      </w:r>
    </w:p>
    <w:p>
      <w:pPr>
        <w:spacing w:after="120" w:line="276"/>
      </w:pPr>
      <w:r>
        <w:t xml:space="preserve">Execução detalhada no documento 'Food Guard — Roadmap de Implementação'. Prioridade de construção: (1) diagnóstico + resultado + gating; (2) captura no Supabase + duplo CTA (Calendly/Asaas); (3) blog/SEO; (4) nurture (Resend + retargeting); (5) painel do cliente. Mídia paga entra após o produto no ar.</w:t>
      </w:r>
    </w:p>
    <w:p>
      <w:pPr>
        <w:pStyle w:val="Heading1"/>
      </w:pPr>
      <w:r>
        <w:t xml:space="preserve">18 · Decisões aprovadas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1–13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Decisões herdadas (Asaas, carência 12m/40%, WhatsApp Cloud API, DPO Renan, conta única, Sanity, Opção D, meta M1, marca IG, network direto, plano 'Conformidade', preços visíveis, copy honesta)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v1.1–v1.3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14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Identidade: Assessoria Tech-Enabled (tecnologia é bastidor)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15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Copy externa humana, sem jargão de software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16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Site único PLG: matar land+site separados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17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 como motor de aquisição, com valor antes do gating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18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Duplo CTA (Calendly primário / Asaas secundário)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19</w:t>
            </w:r>
          </w:p>
        </w:tc>
        <w:tc>
          <w:tcPr>
            <w:tcW w:type="dxa" w:w="7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Formulário nativo em Next.js (não Typeform)</w:t>
            </w:r>
          </w:p>
        </w:tc>
        <w:tc>
          <w:tcPr>
            <w:tcW w:type="dxa" w:w="1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v2.0</w:t>
            </w:r>
          </w:p>
        </w:tc>
      </w:tr>
    </w:tbl>
    <w:p>
      <w:pPr>
        <w:pStyle w:val="Heading1"/>
      </w:pPr>
      <w:r>
        <w:t xml:space="preserve">19 · Próximos passos</w:t>
      </w:r>
    </w:p>
    <w:p>
      <w:pPr>
        <w:pStyle w:val="ListParagraph"/>
        <w:numPr>
          <w:ilvl w:val="0"/>
          <w:numId w:val="3"/>
        </w:numPr>
      </w:pPr>
      <w:r>
        <w:t xml:space="preserve">Aprovar este PRD v2.0 com o Renan (reunião de alinhamento).</w:t>
      </w:r>
    </w:p>
    <w:p>
      <w:pPr>
        <w:pStyle w:val="ListParagraph"/>
        <w:numPr>
          <w:ilvl w:val="0"/>
          <w:numId w:val="3"/>
        </w:numPr>
      </w:pPr>
      <w:r>
        <w:t xml:space="preserve">Construir o diagnóstico funcional (5 perguntas + score animado + resultado + gating + duplo CTA).</w:t>
      </w:r>
    </w:p>
    <w:p>
      <w:pPr>
        <w:pStyle w:val="ListParagraph"/>
        <w:numPr>
          <w:ilvl w:val="0"/>
          <w:numId w:val="3"/>
        </w:numPr>
      </w:pPr>
      <w:r>
        <w:t xml:space="preserve">Redesenhar o site único (home humana + blog) na evolução visual atual, com a copy do guia.</w:t>
      </w:r>
    </w:p>
    <w:p>
      <w:pPr>
        <w:pStyle w:val="ListParagraph"/>
        <w:numPr>
          <w:ilvl w:val="0"/>
          <w:numId w:val="3"/>
        </w:numPr>
      </w:pPr>
      <w:r>
        <w:t xml:space="preserve">Integrar captura no Supabase, Calendly e checkout Asaas.</w:t>
      </w:r>
    </w:p>
    <w:p>
      <w:pPr>
        <w:pStyle w:val="ListParagraph"/>
        <w:numPr>
          <w:ilvl w:val="0"/>
          <w:numId w:val="3"/>
        </w:numPr>
      </w:pPr>
      <w:r>
        <w:t xml:space="preserve">Montar a régua de abandono (Resend) e o retargeting; subir mídia de intenção.</w:t>
      </w:r>
    </w:p>
    <w:p>
      <w:pPr>
        <w:pStyle w:val="Heading1"/>
      </w:pPr>
      <w:r>
        <w:t xml:space="preserve">20 · Termo de aprovação</w:t>
      </w:r>
    </w:p>
    <w:p>
      <w:pPr>
        <w:spacing w:after="160"/>
      </w:pPr>
    </w:p>
    <w:p>
      <w:pPr>
        <w:spacing w:after="120" w:line="276"/>
      </w:pPr>
      <w:r>
        <w:t xml:space="preserve">______________________________________</w:t>
      </w:r>
    </w:p>
    <w:p>
      <w:pPr>
        <w:spacing w:after="120" w:line="276"/>
      </w:pPr>
      <w:r>
        <w:t xml:space="preserve">Rafael · Co-founder Food Guard · ____/____/______</w:t>
      </w:r>
    </w:p>
    <w:p>
      <w:pPr>
        <w:spacing w:after="80"/>
      </w:pPr>
    </w:p>
    <w:p>
      <w:pPr>
        <w:spacing w:after="120" w:line="276"/>
      </w:pPr>
      <w:r>
        <w:t xml:space="preserve">______________________________________</w:t>
      </w:r>
    </w:p>
    <w:p>
      <w:pPr>
        <w:spacing w:after="120" w:line="276"/>
      </w:pPr>
      <w:r>
        <w:t xml:space="preserve">Renan Muniz · Co-founder · RT · DPO · ____/____/______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AC9" w:sz="4" w:space="6"/>
      </w:pBdr>
      <w:jc w:val="center"/>
    </w:pPr>
    <w:r>
      <w:rPr>
        <w:color w:val="6B7689"/>
        <w:sz w:val="16"/>
        <w:szCs w:val="16"/>
      </w:rPr>
      <w:t xml:space="preserve">Food Guard Assessoria  ·  Confidencial  ·  página </w:t>
    </w:r>
    <w:r>
      <w:rPr>
        <w:color w:val="6B76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5A9430"/>
      </w:r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E2A47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/>
    </w:pPr>
    <w:rPr>
      <w:rFonts w:ascii="Calibri" w:cs="Calibri" w:eastAsia="Calibri" w:hAnsi="Calibri"/>
      <w:color w:val="5A943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6FB23E" w:sz="8" w:space="4"/>
      </w:pBdr>
      <w:spacing w:after="140" w:before="320"/>
      <w:outlineLvl w:val="0"/>
    </w:pPr>
    <w:rPr>
      <w:rFonts w:ascii="Calibri" w:cs="Calibri" w:eastAsia="Calibri" w:hAnsi="Calibri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5A94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B2740"/>
      <w:sz w:val="22"/>
      <w:szCs w:val="22"/>
    </w:rPr>
  </w:style>
  <w:style w:type="paragraph" w:styleId="Normal">
    <w:name w:val="Normal"/>
    <w:pPr>
      <w:spacing w:after="120" w:line="276"/>
    </w:pPr>
    <w:rPr>
      <w:rFonts w:ascii="Calibri" w:cs="Calibri" w:eastAsia="Calibri" w:hAnsi="Calibri"/>
      <w:color w:val="1B27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Guard — PRD v2.0</dc:title>
  <dc:creator>Food Guard</dc:creator>
  <cp:lastModifiedBy>Un-named</cp:lastModifiedBy>
  <cp:revision>1</cp:revision>
  <dcterms:created xsi:type="dcterms:W3CDTF">2026-05-22T19:36:41.063Z</dcterms:created>
  <dcterms:modified xsi:type="dcterms:W3CDTF">2026-05-22T19:36:41.071Z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