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5A9430"/>
          <w:sz w:val="28"/>
          <w:szCs w:val="28"/>
        </w:rPr>
        <w:t xml:space="preserve">FOOD GUARD</w:t>
      </w:r>
    </w:p>
    <w:p>
      <w:pPr>
        <w:spacing w:after="240"/>
      </w:pPr>
      <w:r>
        <w:rPr>
          <w:color w:val="6B7689"/>
          <w:sz w:val="22"/>
          <w:szCs w:val="22"/>
        </w:rPr>
        <w:t xml:space="preserve">PLANO DE NEGÓCIO  ·  uso interno e apresentação a investidores</w:t>
      </w:r>
    </w:p>
    <w:p>
      <w:pPr>
        <w:pStyle w:val="Title"/>
        <w:spacing w:after="120"/>
      </w:pPr>
      <w:r>
        <w:t xml:space="preserve">Plano de Negócio</w:t>
      </w:r>
    </w:p>
    <w:p>
      <w:pPr>
        <w:pStyle w:val="Subtitle"/>
      </w:pPr>
      <w:r>
        <w:t xml:space="preserve">Assessoria Tech-Enabled de conformidade para food service</w:t>
      </w:r>
    </w:p>
    <w:p>
      <w:pPr>
        <w:pBdr>
          <w:top w:val="single" w:color="6FB23E" w:sz="12" w:space="6"/>
        </w:pBdr>
        <w:spacing w:after="0" w:before="360"/>
      </w:pPr>
    </w:p>
    <w:p>
      <w:pPr>
        <w:spacing w:after="30"/>
      </w:pPr>
      <w:r>
        <w:rPr>
          <w:color w:val="38465C"/>
          <w:sz w:val="20"/>
          <w:szCs w:val="20"/>
        </w:rPr>
        <w:t xml:space="preserve">Versão 1.0  ·  21 de maio de 2026</w:t>
      </w:r>
    </w:p>
    <w:p>
      <w:pPr>
        <w:spacing w:after="30"/>
      </w:pPr>
      <w:r>
        <w:rPr>
          <w:color w:val="38465C"/>
          <w:sz w:val="20"/>
          <w:szCs w:val="20"/>
        </w:rPr>
        <w:t xml:space="preserve">Renan Muniz (RT · co-founder) · Rafael Fernandes (produto · co-founder)</w:t>
      </w:r>
    </w:p>
    <w:p>
      <w:pPr>
        <w:spacing w:after="30"/>
      </w:pPr>
      <w:r>
        <w:rPr>
          <w:color w:val="38465C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· Sumário executivo</w:t>
      </w:r>
    </w:p>
    <w:p>
      <w:pPr>
        <w:spacing w:after="120" w:line="276"/>
      </w:pPr>
      <w:r>
        <w:t xml:space="preserve">O Food Guard é uma Assessoria Tech-Enabled: uma assessoria de responsabilidade técnica sanitária e nutricional para food service, potencializada por tecnologia. Para o cliente, é simples — é o seu nutricionista particular, com nome, foto e CRN ativo, que mantém o estabelecimento blindado contra a fiscalização, com respostas na hora e zero papelada. A tecnologia (diagnóstico digital, plataforma, IA de apoio) fica nos bastidores e é o que torna esse serviço barato, previsível e escalável para os sócios.</w:t>
      </w:r>
    </w:p>
    <w:p>
      <w:pPr>
        <w:spacing w:after="120" w:line="276"/>
      </w:pPr>
      <w:r>
        <w:t xml:space="preserve">Fundada em 2026 por Renan Muniz (RT nutricionista, CRN-3 ativo, +10 anos em food service) e Rafael Fernandes (produto, IA e operação digital), a empresa opera como um produto digital único: um só site, com um diagnóstico regulatório gratuito (5 perguntas, resultado em 90 segundos) como porta de entrada e motor de aquisição, e uma aba de blog alimentando o topo do funil.</w:t>
      </w:r>
    </w:p>
    <w:p>
      <w:pPr>
        <w:spacing w:after="120" w:line="276"/>
      </w:pPr>
      <w:r>
        <w:t xml:space="preserve">O modelo é de receita recorrente em três planos — Essencial (R$ 1.500), Conformidade (R$ 2.700) e Premium (R$ 3.800) — com carência mínima de 12 meses e multa de 40% por rescisão antecipada, o que dá alta previsibilidade de receita e churn próximo de zero no primeiro ano. A entrada de mercado é cirúrgica (São Paulo capital e Grande SP).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5A9430" w:sz="18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A9430"/>
                <w:sz w:val="22"/>
                <w:szCs w:val="22"/>
              </w:rPr>
              <w:t xml:space="preserve">Resumo em números (cenário-base · projeção)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Ticket médio combinado: R$ 2.560/mês  ·  mix 30% Essencial / 50% Conformidade / 20% Premium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MRR projetado:  M3 ≈ R$ 23.040   ·   M6 ≈ R$ 64.000   ·   M12 ≈ R$ 179.200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ARR de saída (run-rate M12): ≈ R$ 2.150.400  ·  70 contratos acumulados em 12 meses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Unit economics: CAC-alvo R$ 800  ·  LTV 24m ≈ R$ 61.440  ·  payback &lt; 1 mês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Investimento inicial de mídia: R$ 1.000/mês  ·  operação enxuta, 2 sócios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i/>
          <w:iCs/>
          <w:color w:val="38465C"/>
          <w:sz w:val="19"/>
          <w:szCs w:val="19"/>
        </w:rPr>
        <w:t xml:space="preserve">Este documento serve a dois públicos: internamente, é o plano operacional dos sócios; externamente, apresenta a tese a um eventual investidor, parceiro ou linha de crédito. As projeções financeiras são metas baseadas nas premissas da Seção 9, não garantia de resultado.</w:t>
      </w:r>
    </w:p>
    <w:p>
      <w:pPr>
        <w:pStyle w:val="Heading1"/>
      </w:pPr>
      <w:r>
        <w:t xml:space="preserve">2 · A empresa e os fundadores</w:t>
      </w:r>
    </w:p>
    <w:p>
      <w:pPr>
        <w:pStyle w:val="Heading2"/>
      </w:pPr>
      <w:r>
        <w:t xml:space="preserve">2.1 · Visão</w:t>
      </w:r>
    </w:p>
    <w:p>
      <w:pPr>
        <w:spacing w:after="120" w:line="276"/>
      </w:pPr>
      <w:r>
        <w:t xml:space="preserve">Tornar a regulação sanitária e nutricional acessível, previsível e auditável para pequenas e médias operações de food service brasileiras — entregando previsibilidade contratual, responsabilidade técnica nominal e tecnologia que reduz custo e erro.</w:t>
      </w:r>
    </w:p>
    <w:p>
      <w:pPr>
        <w:pStyle w:val="Heading2"/>
      </w:pPr>
      <w:r>
        <w:t xml:space="preserve">2.2 · Identidade e posicionamento</w:t>
      </w:r>
    </w:p>
    <w:p>
      <w:pPr>
        <w:spacing w:after="120" w:line="276"/>
      </w:pPr>
      <w:r>
        <w:t xml:space="preserve">Identidade interna: Assessoria Tech-Enabled. Não somos um software de conformidade; somos uma assessoria de RT cujo diferencial é a tecnologia de bastidor. Mensagem externa: o cliente compra um nutricionista de verdade — um RT com nome, foto e CRN ativo — que serve de escudo contra a fiscalização. Nenhuma comunicação ao cliente usa jargão de software.</w:t>
      </w:r>
    </w:p>
    <w:p>
      <w:pPr>
        <w:spacing w:after="120" w:line="276"/>
      </w:pPr>
      <w:r>
        <w:t xml:space="preserve">Posicionamento honesto: o Food Guard é novo. Não temos 180 clientes nem 15 anos. Temos um RT com registro ativo, rosto e disposição de atender pessoalmente os primeiros clientes — o que, num setor cheio de promessas vazias, é em si um diferencial de confiança.</w:t>
      </w:r>
    </w:p>
    <w:p>
      <w:pPr>
        <w:pStyle w:val="Heading2"/>
      </w:pPr>
      <w:r>
        <w:t xml:space="preserve">2.3 · Sócios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Sócio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Credenciais</w:t>
            </w:r>
          </w:p>
        </w:tc>
      </w:tr>
      <w:t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Renan Muniz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RT · co-founder · DPO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Nutricionista CRN-3 ativo · +10 anos em food service · atende os primeiros clientes pessoalmente</w:t>
            </w:r>
          </w:p>
        </w:tc>
      </w:tr>
      <w:t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Rafael Fernandes</w:t>
            </w:r>
          </w:p>
        </w:tc>
        <w:tc>
          <w:tcPr>
            <w:tcW w:type="dxa" w:w="3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Produto · IA · operação · co-founder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Plataforma, automações, aquisição digital e gestão do negócio</w:t>
            </w:r>
          </w:p>
        </w:tc>
      </w:tr>
    </w:tbl>
    <w:p>
      <w:pPr>
        <w:pStyle w:val="Heading1"/>
      </w:pPr>
      <w:r>
        <w:t xml:space="preserve">3 · O problema</w:t>
      </w:r>
    </w:p>
    <w:p>
      <w:pPr>
        <w:spacing w:after="120" w:line="276"/>
      </w:pPr>
      <w:r>
        <w:t xml:space="preserve">Estabelecimentos que produzem ou comercializam alimentos no Brasil estão sujeitos a exigências sanitárias e nutricionais — entre elas a RDC 216/2004 e a Resolução CFN nº 600/2018 — que exigem um RT nutricionista e documentação técnica (Manual de Boas Práticas, POPs, APPCC, fichas) e treinamento de manipuladores. Na prática, o empresário enfrenta três dores:</w:t>
      </w:r>
    </w:p>
    <w:p>
      <w:pPr>
        <w:pStyle w:val="ListParagraph"/>
        <w:numPr>
          <w:ilvl w:val="0"/>
          <w:numId w:val="2"/>
        </w:numPr>
      </w:pPr>
      <w:r>
        <w:t xml:space="preserve">Medo de multa e interdição — fiscalização sem aviso, autuação e custo de adequação tardia muito maior que o da prevenção.</w:t>
      </w:r>
    </w:p>
    <w:p>
      <w:pPr>
        <w:pStyle w:val="ListParagraph"/>
        <w:numPr>
          <w:ilvl w:val="0"/>
          <w:numId w:val="2"/>
        </w:numPr>
      </w:pPr>
      <w:r>
        <w:t xml:space="preserve">Opacidade — não sabe o que falta, quanto custa, nem em quanto tempo resolve; o RT tradicional é informal, sem SLA.</w:t>
      </w:r>
    </w:p>
    <w:p>
      <w:pPr>
        <w:pStyle w:val="ListParagraph"/>
        <w:numPr>
          <w:ilvl w:val="0"/>
          <w:numId w:val="2"/>
        </w:numPr>
      </w:pPr>
      <w:r>
        <w:t xml:space="preserve">Falta de previsibilidade — contrato verbal, RT que aparece esporadicamente, nenhuma trilha de auditoria.</w:t>
      </w:r>
    </w:p>
    <w:p>
      <w:pPr>
        <w:spacing w:after="120" w:line="276"/>
      </w:pPr>
      <w:r>
        <w:t xml:space="preserve">O gatilho de compra é reativo: uma fiscalização, uma notificação, a abertura de uma unidade que exige alvará, ou a troca de um RT que saiu. É dessa dor que a comunicação parte.</w:t>
      </w:r>
    </w:p>
    <w:p>
      <w:pPr>
        <w:pStyle w:val="Heading1"/>
      </w:pPr>
      <w:r>
        <w:t xml:space="preserve">4 · A solução</w:t>
      </w:r>
    </w:p>
    <w:p>
      <w:pPr>
        <w:spacing w:after="120" w:line="276"/>
      </w:pPr>
      <w:r>
        <w:t xml:space="preserve">O Food Guard entrega um nutricionista particular por assinatura — responsabilidade técnica nominal, com SLA, escopo claro e garantia de adequação em 90 dias ou devolução. Para o cliente, a promessa é humana e direta: 'Seu nutricionista particular, com respostas na hora e zero papelada.' Quatro atributos que o mercado informal não oferece:</w:t>
      </w:r>
    </w:p>
    <w:p>
      <w:pPr>
        <w:pStyle w:val="ListParagraph"/>
        <w:numPr>
          <w:ilvl w:val="0"/>
          <w:numId w:val="2"/>
        </w:numPr>
      </w:pPr>
      <w:r>
        <w:t xml:space="preserve">RT nominal — nutricionista com nome, foto e CRN ativo assinando pela operação.</w:t>
      </w:r>
    </w:p>
    <w:p>
      <w:pPr>
        <w:pStyle w:val="ListParagraph"/>
        <w:numPr>
          <w:ilvl w:val="0"/>
          <w:numId w:val="2"/>
        </w:numPr>
      </w:pPr>
      <w:r>
        <w:t xml:space="preserve">Previsibilidade — escopo e número de visitas definidos, SLA de atendimento e garantia de 90 dias.</w:t>
      </w:r>
    </w:p>
    <w:p>
      <w:pPr>
        <w:pStyle w:val="ListParagraph"/>
        <w:numPr>
          <w:ilvl w:val="0"/>
          <w:numId w:val="2"/>
        </w:numPr>
      </w:pPr>
      <w:r>
        <w:t xml:space="preserve">Respostas na hora — WhatsApp com apoio de IA nos bastidores, sem o cliente perceber a tecnologia.</w:t>
      </w:r>
    </w:p>
    <w:p>
      <w:pPr>
        <w:pStyle w:val="ListParagraph"/>
        <w:numPr>
          <w:ilvl w:val="0"/>
          <w:numId w:val="2"/>
        </w:numPr>
      </w:pPr>
      <w:r>
        <w:t xml:space="preserve">Zero papelada — documentação e auditoria digitalizadas, organizadas pelo Food Guard.</w:t>
      </w:r>
    </w:p>
    <w:p>
      <w:pPr>
        <w:spacing w:after="20"/>
      </w:pPr>
    </w:p>
    <w:p>
      <w:pPr>
        <w:spacing w:after="120" w:line="276"/>
      </w:pPr>
      <w:r>
        <w:t xml:space="preserve">Como o cliente entra: o diagnóstico regulatório gratuito é a porta de entrada e o motor de aquisição. Em 90 segundos, 5 perguntas geram um score de risco (0–100), o que falta, o custo do problema e o plano recomendado. O resultado completo destrava após o cadastro (gating) e oferece dois caminhos: agendar a avaliação com o nutricionista (primário) ou assinar o plano direto (secundário, para urgência).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0E2A47" w:sz="18"/>
              <w:bottom w:val="single" w:color="E0DAC9" w:sz="2"/>
              <w:right w:val="single" w:color="E0DAC9" w:sz="2"/>
            </w:tcBorders>
            <w:shd w:fill="FBFA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0E2A47"/>
                <w:sz w:val="22"/>
                <w:szCs w:val="22"/>
              </w:rPr>
              <w:t xml:space="preserve">Como o diagnóstico funciona (bastidor)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 perguntas: tipo/porte · RT atual · documentação · última fiscalização · treinamento.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Motor de regras (não LLM em produção) gera o resultado em ≤ 2 segundos, sob revisão técnica do RT.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Score → plano: 0–30 Crítico (Premium) · 31–65 Médio (Conformidade) · 66–100 Baixo (Essencial).</w:t>
            </w:r>
          </w:p>
        </w:tc>
      </w:tr>
    </w:tbl>
    <w:p>
      <w:pPr>
        <w:pStyle w:val="Heading1"/>
      </w:pPr>
      <w:r>
        <w:t xml:space="preserve">5 · Mercado e oportunidade</w:t>
      </w:r>
    </w:p>
    <w:p>
      <w:pPr>
        <w:spacing w:after="120" w:line="276"/>
      </w:pPr>
      <w:r>
        <w:t xml:space="preserve">O Brasil tem da ordem de um milhão de estabelecimentos de food service, além de educação, hospitalidade e varejo alimentar que também demandam RT. Uma parcela relevante opera sem RT formal ou sem documentação em dia — o público do Food Guard. As estimativas abaixo são de ordem de grandeza, para dimensionar a oportunidade.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4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Dimensão (estimativa)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TAM</w:t>
            </w:r>
          </w:p>
        </w:tc>
        <w:tc>
          <w:tcPr>
            <w:tcW w:type="dxa" w:w="4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Estabelecimentos de food service e correlatos no Brasil que demandam RT/conformidade</w:t>
            </w:r>
          </w:p>
        </w:tc>
        <w:tc>
          <w:tcPr>
            <w:tcW w:type="dxa" w:w="3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Centenas de milhares de operações · mercado na casa do bilhão/ano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SAM</w:t>
            </w:r>
          </w:p>
        </w:tc>
        <w:tc>
          <w:tcPr>
            <w:tcW w:type="dxa" w:w="4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PMEs (5–200 colab.) em food service, educação e hospitalidade</w:t>
            </w:r>
          </w:p>
        </w:tc>
        <w:tc>
          <w:tcPr>
            <w:tcW w:type="dxa" w:w="3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Dezenas de milhares de operações no Sudeste</w:t>
            </w:r>
          </w:p>
        </w:tc>
      </w:tr>
      <w:tr>
        <w:tc>
          <w:tcPr>
            <w:tcW w:type="dxa" w:w="1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SOM (M1–M3)</w:t>
            </w:r>
          </w:p>
        </w:tc>
        <w:tc>
          <w:tcPr>
            <w:tcW w:type="dxa" w:w="4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Padarias, restaurantes, buffets, dark kitchens, refeição coletiva em SP capital e Grande SP</w:t>
            </w:r>
          </w:p>
        </w:tc>
        <w:tc>
          <w:tcPr>
            <w:tcW w:type="dxa" w:w="36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Milhares de alvos · meta inicial de dezenas de contratos</w:t>
            </w:r>
          </w:p>
        </w:tc>
      </w:tr>
    </w:tbl>
    <w:p>
      <w:pPr>
        <w:pStyle w:val="Heading2"/>
      </w:pPr>
      <w:r>
        <w:t xml:space="preserve">5.1 · ICP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Segmento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Food service · educação · hospitalidade · varejo · pequena indústria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Subverticais M1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Padarias, restaurantes, lanchonetes, buffets, dark kitchens, refeição coletiva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Porte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 a 200 colaboradores · faturamento R$ 30k–R$ 1,5M/mês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Geografia (M1–M3)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São Paulo capital · Grande SP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Decisor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Dono, CEO, diretor ou gerente operacional</w:t>
            </w:r>
          </w:p>
        </w:tc>
      </w:tr>
      <w:tr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Gatilho</w:t>
            </w:r>
          </w:p>
        </w:tc>
        <w:tc>
          <w:tcPr>
            <w:tcW w:type="dxa" w:w="6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Fiscalização · abertura de unidade · multa em curso · troca de RT</w:t>
            </w:r>
          </w:p>
        </w:tc>
      </w:tr>
    </w:tbl>
    <w:p>
      <w:pPr>
        <w:pStyle w:val="Heading1"/>
      </w:pPr>
      <w:r>
        <w:t xml:space="preserve">6 · Modelo de negócio</w:t>
      </w:r>
    </w:p>
    <w:p>
      <w:pPr>
        <w:spacing w:after="120" w:line="276"/>
      </w:pPr>
      <w:r>
        <w:t xml:space="preserve">Receita 100% recorrente por assinatura mensal, em três planos. Preços visíveis no resultado do diagnóstico. Carência de 12 meses e multa de 40% protegem receita e LTV no primeiro ano.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Essencial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Conformidade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Posicionamento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18"/>
                <w:szCs w:val="18"/>
              </w:rPr>
              <w:t xml:space="preserve">Pra começar com tudo em dia.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18"/>
                <w:szCs w:val="18"/>
              </w:rPr>
              <w:t xml:space="preserve">Pra crescer com segurança. (Mais procurado)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18"/>
                <w:szCs w:val="18"/>
              </w:rPr>
              <w:t xml:space="preserve">Pra redes e operações complexas.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Visitas / semana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RT nutricionista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Sim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Sênior · Renan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Manual + POPs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Inclusos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Inclusos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Inclusos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APPCC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Sob demanda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Inclui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Completo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Treinamento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1×/semestre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1×/trimestre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1×/mês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Comercial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Estendido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24/7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Auditoria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1×/ano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2×/ano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R$ 1.500/mês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R$ 2.700/mês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1B2740"/>
                <w:sz w:val="20"/>
                <w:szCs w:val="20"/>
              </w:rPr>
              <w:t xml:space="preserve">R$ 3.800/mês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5A9430" w:sz="18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A9430"/>
                <w:sz w:val="22"/>
                <w:szCs w:val="22"/>
              </w:rPr>
              <w:t xml:space="preserve">Unit economics (cenário-base)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Ticket médio combinado: R$ 2.560/mês (mix 30/50/20)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CAC-alvo: R$ 800 (faixa R$ 500–1.000 no M1)  ·  CPL-alvo: R$ 20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LTV em 24 meses: ≈ R$ 61.440 (≥ R$ 36k mesmo no plano de entrada)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Relação LTV/CAC: &gt; 40×  ·  payback do CAC: inferior a 1 mês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Carência de 12 meses ⇒ churn próximo de zero no primeiro ano de cada coorte</w:t>
            </w:r>
          </w:p>
        </w:tc>
      </w:tr>
    </w:tbl>
    <w:p>
      <w:pPr>
        <w:pStyle w:val="Heading1"/>
      </w:pPr>
      <w:r>
        <w:t xml:space="preserve">7 · Estratégia de aquisição (produto único)</w:t>
      </w:r>
    </w:p>
    <w:p>
      <w:pPr>
        <w:spacing w:after="120" w:line="276"/>
      </w:pPr>
      <w:r>
        <w:t xml:space="preserve">Todo o tráfego converge para um só destino — o diagnóstico. A copy fala a dor reativa (multa, fiscalização, alvará) e promete um nutricionista de verdade, nunca software. Cold tráfego cortado no M1; o orçamento (R$ 1.000) concentra-se em retargeting e lookalike.</w:t>
      </w:r>
    </w:p>
    <w:p>
      <w:pPr>
        <w:pStyle w:val="Heading2"/>
      </w:pPr>
      <w:r>
        <w:t xml:space="preserve">7.1 · Canais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Tática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M1</w:t>
            </w:r>
          </w:p>
        </w:tc>
      </w:tr>
      <w:t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Mídia paga (R$ 1.000)</w:t>
            </w:r>
          </w:p>
        </w:tc>
        <w:tc>
          <w:tcPr>
            <w:tcW w:type="dxa" w:w="4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50% Google (crise + regulatório) · 50% Meta (70% retargeting / 30% lookalike) → diagnóstico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~50 leads · CPL ~R$ 20</w:t>
            </w:r>
          </w:p>
        </w:tc>
      </w:tr>
      <w:t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Conteúdo / blog</w:t>
            </w:r>
          </w:p>
        </w:tc>
        <w:tc>
          <w:tcPr>
            <w:tcW w:type="dxa" w:w="4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IG repaginado · LinkedIn do Renan · blog SEO (1 artigo/sem), todos com CTA ao diagnóstico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Autoridade + leads orgânicos</w:t>
            </w:r>
          </w:p>
        </w:tc>
      </w:tr>
      <w:t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Outbound</w:t>
            </w:r>
          </w:p>
        </w:tc>
        <w:tc>
          <w:tcPr>
            <w:tcW w:type="dxa" w:w="4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Cadência leve de 4 toques em 14 dias · 15–20 prospects/sem com pesquisa prévia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20+ prospects qualificados</w:t>
            </w:r>
          </w:p>
        </w:tc>
      </w:tr>
      <w:tr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Network direto</w:t>
            </w:r>
          </w:p>
        </w:tc>
        <w:tc>
          <w:tcPr>
            <w:tcW w:type="dxa" w:w="47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30–50 contatos pessoais na semana 1 · WhatsApp pessoal</w:t>
            </w:r>
          </w:p>
        </w:tc>
        <w:tc>
          <w:tcPr>
            <w:tcW w:type="dxa" w:w="2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1–2 contratos via indicação</w:t>
            </w:r>
          </w:p>
        </w:tc>
      </w:tr>
    </w:tbl>
    <w:p>
      <w:pPr>
        <w:pStyle w:val="Heading2"/>
      </w:pPr>
      <w:r>
        <w:t xml:space="preserve">7.2 · Funil (volumetria 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700"/>
        <w:gridCol w:w="2700"/>
      </w:tblGrid>
      <w:tr>
        <w:trPr>
          <w:tblHeader/>
        </w:trP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</w:tr>
      <w:t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Impressões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~30.000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Cliques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~350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1,2%</w:t>
            </w:r>
          </w:p>
        </w:tc>
      </w:tr>
      <w:t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Engajados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~200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 iniciado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~80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Lead capturado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~50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62%</w:t>
            </w:r>
          </w:p>
        </w:tc>
      </w:tr>
      <w:t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Call agendada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~12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Contrato fechado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1–2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10–15%</w:t>
            </w:r>
          </w:p>
        </w:tc>
      </w:tr>
    </w:tbl>
    <w:p>
      <w:pPr>
        <w:pStyle w:val="Heading2"/>
      </w:pPr>
      <w:r>
        <w:t xml:space="preserve">7.3 · OKRs (90 dias)</w:t>
      </w:r>
    </w:p>
    <w:p>
      <w:pPr>
        <w:pStyle w:val="ListParagraph"/>
        <w:numPr>
          <w:ilvl w:val="0"/>
          <w:numId w:val="2"/>
        </w:numPr>
      </w:pPr>
      <w:r>
        <w:t xml:space="preserve">Validar o motor: ≥ 50 leads em 30 dias · conclusão do diagnóstico ≥ 60% · conteúdo do M1 publicado.</w:t>
      </w:r>
    </w:p>
    <w:p>
      <w:pPr>
        <w:pStyle w:val="ListParagraph"/>
        <w:numPr>
          <w:ilvl w:val="0"/>
          <w:numId w:val="2"/>
        </w:numPr>
      </w:pPr>
      <w:r>
        <w:t xml:space="preserve">Converter: agendamento pós-diagnóstico ≥ 24% · show-rate ≥ 75% · fechamento por call ≥ 30% · 1–2 contratos M1.</w:t>
      </w:r>
    </w:p>
    <w:p>
      <w:pPr>
        <w:pStyle w:val="ListParagraph"/>
        <w:numPr>
          <w:ilvl w:val="0"/>
          <w:numId w:val="2"/>
        </w:numPr>
      </w:pPr>
      <w:r>
        <w:t xml:space="preserve">Base segura: zero incidentes de PII · Renan DPO antes do go-live.</w:t>
      </w:r>
    </w:p>
    <w:p>
      <w:pPr>
        <w:pStyle w:val="Heading1"/>
      </w:pPr>
      <w:r>
        <w:t xml:space="preserve">8 · Operação e entrega</w:t>
      </w:r>
    </w:p>
    <w:p>
      <w:pPr>
        <w:pStyle w:val="Heading2"/>
      </w:pPr>
      <w:r>
        <w:t xml:space="preserve">8.1 · Jornada do cliente (6 estágios)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60"/>
        <w:gridCol w:w="2900"/>
        <w:gridCol w:w="2100"/>
        <w:gridCol w:w="1400"/>
      </w:tblGrid>
      <w:tr>
        <w:trPr>
          <w:tblHeader/>
        </w:trP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Estágio</w:t>
            </w:r>
          </w:p>
        </w:tc>
        <w:tc>
          <w:tcPr>
            <w:tcW w:type="dxa" w:w="2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01</w:t>
            </w:r>
          </w:p>
        </w:tc>
        <w:tc>
          <w:tcPr>
            <w:tcW w:type="dxa" w:w="2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Descoberta</w:t>
            </w:r>
          </w:p>
        </w:tc>
        <w:tc>
          <w:tcPr>
            <w:tcW w:type="dxa" w:w="2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Ads · orgânico · network · outbound</w:t>
            </w:r>
          </w:p>
        </w:tc>
        <w:tc>
          <w:tcPr>
            <w:tcW w:type="dxa" w:w="2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Sistema + humano</w:t>
            </w:r>
          </w:p>
        </w:tc>
        <w:tc>
          <w:tcPr>
            <w:tcW w:type="dxa" w:w="1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LCP ≤ 1,5s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02</w:t>
            </w:r>
          </w:p>
        </w:tc>
        <w:tc>
          <w:tcPr>
            <w:tcW w:type="dxa" w:w="2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2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Site (produto)</w:t>
            </w:r>
          </w:p>
        </w:tc>
        <w:tc>
          <w:tcPr>
            <w:tcW w:type="dxa" w:w="2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Sistema</w:t>
            </w:r>
          </w:p>
        </w:tc>
        <w:tc>
          <w:tcPr>
            <w:tcW w:type="dxa" w:w="1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Bounce ≤ 45%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03</w:t>
            </w:r>
          </w:p>
        </w:tc>
        <w:tc>
          <w:tcPr>
            <w:tcW w:type="dxa" w:w="2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Resultado</w:t>
            </w:r>
          </w:p>
        </w:tc>
        <w:tc>
          <w:tcPr>
            <w:tcW w:type="dxa" w:w="2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Plataforma</w:t>
            </w:r>
          </w:p>
        </w:tc>
        <w:tc>
          <w:tcPr>
            <w:tcW w:type="dxa" w:w="2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Sistema</w:t>
            </w:r>
          </w:p>
        </w:tc>
        <w:tc>
          <w:tcPr>
            <w:tcW w:type="dxa" w:w="1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≤ 90s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04</w:t>
            </w:r>
          </w:p>
        </w:tc>
        <w:tc>
          <w:tcPr>
            <w:tcW w:type="dxa" w:w="2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Call RT</w:t>
            </w:r>
          </w:p>
        </w:tc>
        <w:tc>
          <w:tcPr>
            <w:tcW w:type="dxa" w:w="2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Calendly + Meet</w:t>
            </w:r>
          </w:p>
        </w:tc>
        <w:tc>
          <w:tcPr>
            <w:tcW w:type="dxa" w:w="2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Humano (Renan)</w:t>
            </w:r>
          </w:p>
        </w:tc>
        <w:tc>
          <w:tcPr>
            <w:tcW w:type="dxa" w:w="1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≤ 48h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05</w:t>
            </w:r>
          </w:p>
        </w:tc>
        <w:tc>
          <w:tcPr>
            <w:tcW w:type="dxa" w:w="2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Pagamento</w:t>
            </w:r>
          </w:p>
        </w:tc>
        <w:tc>
          <w:tcPr>
            <w:tcW w:type="dxa" w:w="2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Asaas</w:t>
            </w:r>
          </w:p>
        </w:tc>
        <w:tc>
          <w:tcPr>
            <w:tcW w:type="dxa" w:w="2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Sistema</w:t>
            </w:r>
          </w:p>
        </w:tc>
        <w:tc>
          <w:tcPr>
            <w:tcW w:type="dxa" w:w="1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Imediato</w:t>
            </w:r>
          </w:p>
        </w:tc>
      </w:tr>
      <w:tr>
        <w:tc>
          <w:tcPr>
            <w:tcW w:type="dxa" w:w="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06</w:t>
            </w:r>
          </w:p>
        </w:tc>
        <w:tc>
          <w:tcPr>
            <w:tcW w:type="dxa" w:w="22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Contrato + onboarding</w:t>
            </w:r>
          </w:p>
        </w:tc>
        <w:tc>
          <w:tcPr>
            <w:tcW w:type="dxa" w:w="29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D4Sign + 1ª visita</w:t>
            </w:r>
          </w:p>
        </w:tc>
        <w:tc>
          <w:tcPr>
            <w:tcW w:type="dxa" w:w="21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Humano + sistema</w:t>
            </w:r>
          </w:p>
        </w:tc>
        <w:tc>
          <w:tcPr>
            <w:tcW w:type="dxa" w:w="1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≤ 7 dias úteis</w:t>
            </w:r>
          </w:p>
        </w:tc>
      </w:tr>
    </w:tbl>
    <w:p>
      <w:pPr>
        <w:pStyle w:val="Heading2"/>
      </w:pPr>
      <w:r>
        <w:t xml:space="preserve">8.2 · Stack (bastidor)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Frontend + produto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Next.js 14 + Vercel (diagnóstico nativo)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Blog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Sanity.io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Dados + auth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Supabase (Postgres + RLS)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Pagamentos / contrato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Asaas · D4Sign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Agendamento / e-mail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Calendly · Resend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IA de apoio / mensageria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Claude Haiku · WhatsApp Meta Cloud API</w:t>
            </w:r>
          </w:p>
        </w:tc>
      </w:tr>
      <w:tr>
        <w:tc>
          <w:tcPr>
            <w:tcW w:type="dxa" w:w="34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Observabilidade / analytics</w:t>
            </w:r>
          </w:p>
        </w:tc>
        <w:tc>
          <w:tcPr>
            <w:tcW w:type="dxa" w:w="5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Sentry + BetterStack · GA4 + Meta CAPI</w:t>
            </w:r>
          </w:p>
        </w:tc>
      </w:tr>
    </w:tbl>
    <w:p>
      <w:pPr>
        <w:pStyle w:val="Heading1"/>
      </w:pPr>
      <w:r>
        <w:t xml:space="preserve">9 · Concorrência e diferenciais</w:t>
      </w:r>
    </w:p>
    <w:p>
      <w:pPr>
        <w:spacing w:after="120" w:line="276"/>
      </w:pPr>
      <w:r>
        <w:t xml:space="preserve">O mercado é dominado por nutricionistas autônomos e pequenas assessorias informais (contrato verbal, sem SLA, sem tecnologia, preço opaco) e por consultorias maiores e caras para grandes redes. O Food Guard ocupa o meio, com diferenciais que o cliente entende sem ouvir uma palavra técnica: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500"/>
        <w:gridCol w:w="3700"/>
      </w:tblGrid>
      <w:tr>
        <w:trPr>
          <w:tblHeader/>
        </w:trP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Mercado informal</w:t>
            </w:r>
          </w:p>
        </w:tc>
        <w:tc>
          <w:tcPr>
            <w:tcW w:type="dxa" w:w="3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Food Guard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Preço</w:t>
            </w:r>
          </w:p>
        </w:tc>
        <w:tc>
          <w:tcPr>
            <w:tcW w:type="dxa" w:w="3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Opaco, caso a caso</w:t>
            </w:r>
          </w:p>
        </w:tc>
        <w:tc>
          <w:tcPr>
            <w:tcW w:type="dxa" w:w="3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Transparente, no resultado do diagnóstico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Contrato</w:t>
            </w:r>
          </w:p>
        </w:tc>
        <w:tc>
          <w:tcPr>
            <w:tcW w:type="dxa" w:w="3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Verbal / informal</w:t>
            </w:r>
          </w:p>
        </w:tc>
        <w:tc>
          <w:tcPr>
            <w:tcW w:type="dxa" w:w="3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SLA, escopo e garantia de 90 dias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Quem responde</w:t>
            </w:r>
          </w:p>
        </w:tc>
        <w:tc>
          <w:tcPr>
            <w:tcW w:type="dxa" w:w="3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RT difuso, sem rosto</w:t>
            </w:r>
          </w:p>
        </w:tc>
        <w:tc>
          <w:tcPr>
            <w:tcW w:type="dxa" w:w="3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Um nutricionista com nome, foto e CRN ativo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Rapidez</w:t>
            </w:r>
          </w:p>
        </w:tc>
        <w:tc>
          <w:tcPr>
            <w:tcW w:type="dxa" w:w="3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Some por semanas</w:t>
            </w:r>
          </w:p>
        </w:tc>
        <w:tc>
          <w:tcPr>
            <w:tcW w:type="dxa" w:w="3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Respostas na hora no WhatsApp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Burocracia</w:t>
            </w:r>
          </w:p>
        </w:tc>
        <w:tc>
          <w:tcPr>
            <w:tcW w:type="dxa" w:w="3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Papelada com o dono</w:t>
            </w:r>
          </w:p>
        </w:tc>
        <w:tc>
          <w:tcPr>
            <w:tcW w:type="dxa" w:w="3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Zero papelada — o Food Guard organiza</w:t>
            </w:r>
          </w:p>
        </w:tc>
      </w:tr>
    </w:tbl>
    <w:p>
      <w:pPr>
        <w:pStyle w:val="Heading1"/>
      </w:pPr>
      <w:r>
        <w:t xml:space="preserve">10 · Time e estrutura</w:t>
      </w:r>
    </w:p>
    <w:p>
      <w:pPr>
        <w:spacing w:after="120" w:line="276"/>
      </w:pPr>
      <w:r>
        <w:t xml:space="preserve">Operação enxuta: Rafael cobre produto/tecnologia/aquisição e Renan a entrega técnica/atendimento, com 2h/dia compartilhadas no motor de aquisição do M1. O modelo escala por adição de RTs: a partir de ~15–20 clientes ativos (capacidade de visitas do RT sênior saturando), entra a primeira RT adicional para sustentar o SLA.</w:t>
      </w:r>
    </w:p>
    <w:p>
      <w:pPr>
        <w:pStyle w:val="Heading1"/>
      </w:pPr>
      <w:r>
        <w:t xml:space="preserve">11 · Projeções financeiras (12 meses)</w:t>
      </w:r>
    </w:p>
    <w:p>
      <w:pPr>
        <w:spacing w:after="120" w:line="276"/>
      </w:pPr>
      <w:r>
        <w:t xml:space="preserve">Premissas: ticket médio combinado de R$ 2.560/mês; novos contratos de 2/mês (M1) a 9/mês (M12); churn próximo de zero no ano 1 (carência); mídia inicial de R$ 1.000/mês. Valores são projeções (metas).</w:t>
      </w:r>
    </w:p>
    <w:p>
      <w:pPr>
        <w:spacing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00"/>
        <w:gridCol w:w="2200"/>
        <w:gridCol w:w="2200"/>
      </w:tblGrid>
      <w:tr>
        <w:trPr>
          <w:tblHeader/>
        </w:trP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Novos contratos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Base ativa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MRR projetado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R$ 5.120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R$ 12.800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R$ 23.040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R$ 35.840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M5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R$ 48.640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M6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25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R$ 64.000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M7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31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R$ 79.360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M8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38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R$ 97.280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M9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45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R$ 115.200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M10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53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R$ 135.680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M11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61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R$ 156.160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M12</w:t>
            </w:r>
          </w:p>
        </w:tc>
        <w:tc>
          <w:tcPr>
            <w:tcW w:type="dxa" w:w="28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70</w:t>
            </w:r>
          </w:p>
        </w:tc>
        <w:tc>
          <w:tcPr>
            <w:tcW w:type="dxa" w:w="2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R$ 179.200</w:t>
            </w:r>
          </w:p>
        </w:tc>
      </w:tr>
    </w:tbl>
    <w:p>
      <w:pPr>
        <w:spacing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0DAC9" w:sz="2"/>
              <w:left w:val="single" w:color="5A9430" w:sz="18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5A9430"/>
                <w:sz w:val="22"/>
                <w:szCs w:val="22"/>
              </w:rPr>
              <w:t xml:space="preserve">Marcos de receita (cenário-base)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MRR M3 ≈ R$ 23.040   ·   MRR M6 ≈ R$ 64.000   ·   MRR M12 ≈ R$ 179.200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ARR de saída (run-rate ao fim do M12): ≈ R$ 2.150.400</w:t>
            </w:r>
          </w:p>
          <w:p>
            <w:pPr>
              <w:spacing w:after="40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Contratos acumulados em 12 meses: 70</w:t>
            </w:r>
          </w:p>
        </w:tc>
      </w:tr>
    </w:tbl>
    <w:p>
      <w:pPr>
        <w:pStyle w:val="Heading2"/>
      </w:pPr>
      <w:r>
        <w:t xml:space="preserve">11.1 · Estrutura de custos (ordem de grandeza, mensal)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500"/>
        <w:gridCol w:w="2700"/>
      </w:tblGrid>
      <w:tr>
        <w:trPr>
          <w:tblHeader/>
        </w:trP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4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Itens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Aquisição</w:t>
            </w:r>
          </w:p>
        </w:tc>
        <w:tc>
          <w:tcPr>
            <w:tcW w:type="dxa" w:w="4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Google + Meta Ads (escala gradual a partir de R$ 1.000)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R$ 1.000–3.000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4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Vercel, Supabase, Sanity, D4Sign, Calendly, Resend, observabilidade, API de IA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R$ 1.000–2.000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Taxas de pagamento</w:t>
            </w:r>
          </w:p>
        </w:tc>
        <w:tc>
          <w:tcPr>
            <w:tcW w:type="dxa" w:w="4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Asaas sobre a receita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~2–4% da receita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Entrega técnica</w:t>
            </w:r>
          </w:p>
        </w:tc>
        <w:tc>
          <w:tcPr>
            <w:tcW w:type="dxa" w:w="4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Visitas/RT — escala com a base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Variável por plano</w:t>
            </w:r>
          </w:p>
        </w:tc>
      </w:tr>
      <w:tr>
        <w:tc>
          <w:tcPr>
            <w:tcW w:type="dxa" w:w="21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Pró-labore</w:t>
            </w:r>
          </w:p>
        </w:tc>
        <w:tc>
          <w:tcPr>
            <w:tcW w:type="dxa" w:w="45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Sócios (sweat equity no início)</w:t>
            </w:r>
          </w:p>
        </w:tc>
        <w:tc>
          <w:tcPr>
            <w:tcW w:type="dxa" w:w="27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 definir</w:t>
            </w:r>
          </w:p>
        </w:tc>
      </w:tr>
    </w:tbl>
    <w:p>
      <w:pPr>
        <w:spacing w:after="120" w:line="276"/>
      </w:pPr>
      <w:r>
        <w:rPr>
          <w:color w:val="38465C"/>
          <w:sz w:val="19"/>
          <w:szCs w:val="19"/>
        </w:rPr>
        <w:t xml:space="preserve">A margem de contribuição por cliente é alta — a entrega é majoritariamente tempo de RT, sem CMV de produto — e o ponto de equilíbrio chega cedo.</w:t>
      </w:r>
    </w:p>
    <w:p>
      <w:pPr>
        <w:pStyle w:val="Heading1"/>
      </w:pPr>
      <w:r>
        <w:t xml:space="preserve">12 ·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0E2A4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Jargão de software afasta o ICP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Copy humana · guia do/don't</w:t>
            </w:r>
          </w:p>
        </w:tc>
      </w:tr>
      <w:tr>
        <w:tc>
          <w:tcPr>
            <w:tcW w:type="dxa" w:w="3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Atrito no self-service (R$ 2.700 sem call)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Call como CTA primário · self-service só urgência</w:t>
            </w:r>
          </w:p>
        </w:tc>
      </w:tr>
      <w:tr>
        <w:tc>
          <w:tcPr>
            <w:tcW w:type="dxa" w:w="3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Baixa conclusão do diagnóstico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Valor antes do gating · quiz rápido · A/B</w:t>
            </w:r>
          </w:p>
        </w:tc>
      </w:tr>
      <w:tr>
        <w:tc>
          <w:tcPr>
            <w:tcW w:type="dxa" w:w="3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Vazamento de PII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Baixa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RLS · criptografia · DPO Renan</w:t>
            </w:r>
          </w:p>
        </w:tc>
      </w:tr>
      <w:tr>
        <w:tc>
          <w:tcPr>
            <w:tcW w:type="dxa" w:w="3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CPL acima do estimado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Tráfego de intenção · retargeting · A/B</w:t>
            </w:r>
          </w:p>
        </w:tc>
      </w:tr>
      <w:tr>
        <w:tc>
          <w:tcPr>
            <w:tcW w:type="dxa" w:w="30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Capacidade do RT satura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Médio</w:t>
            </w:r>
          </w:p>
        </w:tc>
        <w:tc>
          <w:tcPr>
            <w:tcW w:type="dxa" w:w="120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Média</w:t>
            </w:r>
          </w:p>
        </w:tc>
        <w:tc>
          <w:tcPr>
            <w:tcW w:type="dxa" w:w="3960"/>
            <w:tcBorders>
              <w:top w:val="single" w:color="E0DAC9" w:sz="2"/>
              <w:left w:val="single" w:color="E0DAC9" w:sz="2"/>
              <w:bottom w:val="single" w:color="E0DAC9" w:sz="2"/>
              <w:right w:val="single" w:color="E0DAC9" w:sz="2"/>
            </w:tcBorders>
            <w:shd w:fill="F4EFE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1B2740"/>
                <w:sz w:val="20"/>
                <w:szCs w:val="20"/>
              </w:rPr>
              <w:t xml:space="preserve">Gatilho de contratação da 1ª RT (~15–20 clientes)</w:t>
            </w:r>
          </w:p>
        </w:tc>
      </w:tr>
    </w:tbl>
    <w:p>
      <w:pPr>
        <w:pStyle w:val="Heading1"/>
      </w:pPr>
      <w:r>
        <w:t xml:space="preserve">13 · Roadmap (resumo)</w:t>
      </w:r>
    </w:p>
    <w:p>
      <w:pPr>
        <w:spacing w:after="120" w:line="276"/>
      </w:pPr>
      <w:r>
        <w:t xml:space="preserve">Detalhe no documento 'Food Guard — Roadmap de Implementação'. Quatro horizontes:</w:t>
      </w:r>
    </w:p>
    <w:p>
      <w:pPr>
        <w:pStyle w:val="ListParagraph"/>
        <w:numPr>
          <w:ilvl w:val="0"/>
          <w:numId w:val="2"/>
        </w:numPr>
      </w:pPr>
      <w:r>
        <w:t xml:space="preserve">Fase 1 · Fundação e lançamento (S1–S12): infra, site único + diagnóstico, pagamento + contrato, conteúdo, WhatsApp IA, go-live de mídia, painel do cliente e auditoria.</w:t>
      </w:r>
    </w:p>
    <w:p>
      <w:pPr>
        <w:pStyle w:val="ListParagraph"/>
        <w:numPr>
          <w:ilvl w:val="0"/>
          <w:numId w:val="2"/>
        </w:numPr>
      </w:pPr>
      <w:r>
        <w:t xml:space="preserve">Fase 2 · Tração e otimização (M4–M6): CRO, escala de mídia, 1ª RT, processos de entrega.</w:t>
      </w:r>
    </w:p>
    <w:p>
      <w:pPr>
        <w:pStyle w:val="ListParagraph"/>
        <w:numPr>
          <w:ilvl w:val="0"/>
          <w:numId w:val="2"/>
        </w:numPr>
      </w:pPr>
      <w:r>
        <w:t xml:space="preserve">Fase 3 · Escala e produto (M7–M12): automação de onboarding, painel maduro, expansão de carteira.</w:t>
      </w:r>
    </w:p>
    <w:p>
      <w:pPr>
        <w:pStyle w:val="ListParagraph"/>
        <w:numPr>
          <w:ilvl w:val="0"/>
          <w:numId w:val="2"/>
        </w:numPr>
      </w:pPr>
      <w:r>
        <w:t xml:space="preserve">Fase 4 · Expansão (Ano 2): novas verticais/geografias, time de RTs, parcerias.</w:t>
      </w:r>
    </w:p>
    <w:p>
      <w:pPr>
        <w:pStyle w:val="Heading1"/>
      </w:pPr>
      <w:r>
        <w:t xml:space="preserve">14 · Necessidades e próximos passos</w:t>
      </w:r>
    </w:p>
    <w:p>
      <w:pPr>
        <w:spacing w:after="120" w:line="276"/>
      </w:pPr>
      <w:r>
        <w:t xml:space="preserve">O Food Guard é viável com investimento inicial baixo (mídia de R$ 1.000/mês e ferramentas de baixo custo). Capital incremental acelera dois vetores: escala de mídia além do M1 e antecipação de RTs para sustentar o SLA.</w:t>
      </w:r>
    </w:p>
    <w:p>
      <w:pPr>
        <w:pStyle w:val="Heading2"/>
      </w:pPr>
      <w:r>
        <w:t xml:space="preserve">14.1 · Uso de recursos (caso haja aporte ou crédito)</w:t>
      </w:r>
    </w:p>
    <w:p>
      <w:pPr>
        <w:pStyle w:val="ListParagraph"/>
        <w:numPr>
          <w:ilvl w:val="0"/>
          <w:numId w:val="2"/>
        </w:numPr>
      </w:pPr>
      <w:r>
        <w:t xml:space="preserve">Mídia: ampliar de R$ 1.000 para R$ 3.000–5.000/mês após provar o CPL.</w:t>
      </w:r>
    </w:p>
    <w:p>
      <w:pPr>
        <w:pStyle w:val="ListParagraph"/>
        <w:numPr>
          <w:ilvl w:val="0"/>
          <w:numId w:val="2"/>
        </w:numPr>
      </w:pPr>
      <w:r>
        <w:t xml:space="preserve">Equipe: antecipar a 1ª e 2ª RT para destravar capacidade de visitas.</w:t>
      </w:r>
    </w:p>
    <w:p>
      <w:pPr>
        <w:pStyle w:val="ListParagraph"/>
        <w:numPr>
          <w:ilvl w:val="0"/>
          <w:numId w:val="2"/>
        </w:numPr>
      </w:pPr>
      <w:r>
        <w:t xml:space="preserve">Produto: acelerar painel do cliente e automações de onboarding e auditoria.</w:t>
      </w:r>
    </w:p>
    <w:p>
      <w:pPr>
        <w:pStyle w:val="Heading2"/>
      </w:pPr>
      <w:r>
        <w:t xml:space="preserve">14.2 · Próximos passos imediatos</w:t>
      </w:r>
    </w:p>
    <w:p>
      <w:pPr>
        <w:pStyle w:val="ListParagraph"/>
        <w:numPr>
          <w:ilvl w:val="0"/>
          <w:numId w:val="3"/>
        </w:numPr>
      </w:pPr>
      <w:r>
        <w:t xml:space="preserve">Aprovar o PRD v2.0 com o Renan.</w:t>
      </w:r>
    </w:p>
    <w:p>
      <w:pPr>
        <w:pStyle w:val="ListParagraph"/>
        <w:numPr>
          <w:ilvl w:val="0"/>
          <w:numId w:val="3"/>
        </w:numPr>
      </w:pPr>
      <w:r>
        <w:t xml:space="preserve">Construir o diagnóstico funcional e o site único (com a copy humana do guia).</w:t>
      </w:r>
    </w:p>
    <w:p>
      <w:pPr>
        <w:pStyle w:val="ListParagraph"/>
        <w:numPr>
          <w:ilvl w:val="0"/>
          <w:numId w:val="3"/>
        </w:numPr>
      </w:pPr>
      <w:r>
        <w:t xml:space="preserve">Integrar Supabase, Calendly e checkout Asaas.</w:t>
      </w:r>
    </w:p>
    <w:p>
      <w:pPr>
        <w:pStyle w:val="ListParagraph"/>
        <w:numPr>
          <w:ilvl w:val="0"/>
          <w:numId w:val="3"/>
        </w:numPr>
      </w:pPr>
      <w:r>
        <w:t xml:space="preserve">Ativar network direto e a primeira cadência de outbound.</w:t>
      </w:r>
    </w:p>
    <w:p>
      <w:pPr>
        <w:pStyle w:val="ListParagraph"/>
        <w:numPr>
          <w:ilvl w:val="0"/>
          <w:numId w:val="3"/>
        </w:numPr>
      </w:pPr>
      <w:r>
        <w:t xml:space="preserve">Go-live de mídia de intenção com pixel, GA4 e CAPI.</w:t>
      </w:r>
    </w:p>
    <w:p>
      <w:pPr>
        <w:spacing w:after="120"/>
      </w:pPr>
    </w:p>
    <w:p>
      <w:pPr>
        <w:spacing w:after="120" w:line="276"/>
      </w:pPr>
      <w:r>
        <w:rPr>
          <w:i/>
          <w:iCs/>
          <w:color w:val="6B7689"/>
          <w:sz w:val="17"/>
          <w:szCs w:val="17"/>
        </w:rPr>
        <w:t xml:space="preserve">Documento de apoio à decisão. Projeções são estimativas baseadas nas premissas declaradas, não garantia de resultado nem recomendação de investimento.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AC9" w:sz="4" w:space="6"/>
      </w:pBdr>
      <w:jc w:val="center"/>
    </w:pPr>
    <w:r>
      <w:rPr>
        <w:color w:val="6B7689"/>
        <w:sz w:val="16"/>
        <w:szCs w:val="16"/>
      </w:rPr>
      <w:t xml:space="preserve">Food Guard Assessoria  ·  Confidencial  ·  página </w:t>
    </w:r>
    <w:r>
      <w:rPr>
        <w:color w:val="6B768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5A9430"/>
      </w:r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74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0E2A47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/>
    </w:pPr>
    <w:rPr>
      <w:rFonts w:ascii="Calibri" w:cs="Calibri" w:eastAsia="Calibri" w:hAnsi="Calibri"/>
      <w:color w:val="5A9430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6FB23E" w:sz="8" w:space="4"/>
      </w:pBdr>
      <w:spacing w:after="140" w:before="320"/>
      <w:outlineLvl w:val="0"/>
    </w:pPr>
    <w:rPr>
      <w:rFonts w:ascii="Calibri" w:cs="Calibri" w:eastAsia="Calibri" w:hAnsi="Calibri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5A9430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B2740"/>
      <w:sz w:val="22"/>
      <w:szCs w:val="22"/>
    </w:rPr>
  </w:style>
  <w:style w:type="paragraph" w:styleId="Normal">
    <w:name w:val="Normal"/>
    <w:pPr>
      <w:spacing w:after="120" w:line="276"/>
    </w:pPr>
    <w:rPr>
      <w:rFonts w:ascii="Calibri" w:cs="Calibri" w:eastAsia="Calibri" w:hAnsi="Calibri"/>
      <w:color w:val="1B27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Guard — Plano de Negócio</dc:title>
  <dc:creator>Food Guard</dc:creator>
  <cp:lastModifiedBy>Un-named</cp:lastModifiedBy>
  <cp:revision>1</cp:revision>
  <dcterms:created xsi:type="dcterms:W3CDTF">2026-05-22T19:38:23.654Z</dcterms:created>
  <dcterms:modified xsi:type="dcterms:W3CDTF">2026-05-22T19:38:23.654Z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