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5A9430"/>
          <w:sz w:val="28"/>
          <w:szCs w:val="28"/>
        </w:rPr>
        <w:t xml:space="preserve">FOOD GUARD</w:t>
      </w:r>
    </w:p>
    <w:p>
      <w:pPr>
        <w:spacing w:after="240"/>
      </w:pPr>
      <w:r>
        <w:rPr>
          <w:color w:val="6B7689"/>
          <w:sz w:val="22"/>
          <w:szCs w:val="22"/>
        </w:rPr>
        <w:t xml:space="preserve">ROADMAP DE IMPLEMENTAÇÃO E DESENVOLVIMENTO</w:t>
      </w:r>
    </w:p>
    <w:p>
      <w:pPr>
        <w:pStyle w:val="Title"/>
        <w:spacing w:after="120"/>
      </w:pPr>
      <w:r>
        <w:t xml:space="preserve">Roadmap de Implementação</w:t>
      </w:r>
    </w:p>
    <w:p>
      <w:pPr>
        <w:pStyle w:val="Subtitle"/>
      </w:pPr>
      <w:r>
        <w:t xml:space="preserve">Do go-live à escala — trilhos de negócio e de produto</w:t>
      </w:r>
    </w:p>
    <w:p>
      <w:pPr>
        <w:pBdr>
          <w:top w:val="single" w:color="6FB23E" w:sz="12" w:space="6"/>
        </w:pBdr>
        <w:spacing w:after="0" w:before="360"/>
      </w:pPr>
    </w:p>
    <w:p>
      <w:pPr>
        <w:spacing w:after="30"/>
      </w:pPr>
      <w:r>
        <w:rPr>
          <w:color w:val="38465C"/>
          <w:sz w:val="20"/>
          <w:szCs w:val="20"/>
        </w:rPr>
        <w:t xml:space="preserve">Versão 1.0  ·  21 de maio de 2026</w:t>
      </w:r>
    </w:p>
    <w:p>
      <w:pPr>
        <w:spacing w:after="30"/>
      </w:pPr>
      <w:r>
        <w:rPr>
          <w:color w:val="38465C"/>
          <w:sz w:val="20"/>
          <w:szCs w:val="20"/>
        </w:rPr>
        <w:t xml:space="preserve">Base: PRD v1.3 e Plano de Negócio v1.0</w:t>
      </w:r>
    </w:p>
    <w:p>
      <w:pPr>
        <w:spacing w:after="30"/>
      </w:pPr>
      <w:r>
        <w:rPr>
          <w:color w:val="38465C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· Visão geral do roadmap</w:t>
      </w:r>
    </w:p>
    <w:p>
      <w:pPr>
        <w:spacing w:after="120" w:line="276"/>
      </w:pPr>
      <w:r>
        <w:t xml:space="preserve">Este roadmap traduz o PRD v1.3 e o plano de negócio em um plano de execução faseado, do go-live à escala. Ele cobre dois trilhos que correm em paralelo: o trilho de negócio/operação (aquisição, vendas, entrega) e o trilho de produto/tecnologia (plataforma, automações, dados). Cada fase tem objetivo, entregáveis, responsável e um 'gate' — a condição que precisa ser verdadeira para avançar.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760"/>
        <w:gridCol w:w="2400"/>
      </w:tblGrid>
      <w:tr>
        <w:trPr>
          <w:tblHeader/>
        </w:trPr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2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 de saída</w:t>
            </w:r>
          </w:p>
        </w:tc>
      </w:tr>
      <w:tr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1 · Fundação e lançamento</w:t>
            </w:r>
          </w:p>
        </w:tc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Semanas 1–12</w:t>
            </w:r>
          </w:p>
        </w:tc>
        <w:tc>
          <w:tcPr>
            <w:tcW w:type="dxa" w:w="2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Infra, site, diagnóstico, pagamento, conteúdo, go-live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Motor de aquisição validado + 1–2 contratos</w:t>
            </w:r>
          </w:p>
        </w:tc>
      </w:tr>
      <w:tr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2 · Tração e otimização</w:t>
            </w:r>
          </w:p>
        </w:tc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Meses 4–6</w:t>
            </w:r>
          </w:p>
        </w:tc>
        <w:tc>
          <w:tcPr>
            <w:tcW w:type="dxa" w:w="2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CRO, escala de mídia, 1ª RT, processos de entrega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CAC estável + 9–14 clientes ativos</w:t>
            </w:r>
          </w:p>
        </w:tc>
      </w:tr>
      <w:tr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3 · Escala e produto</w:t>
            </w:r>
          </w:p>
        </w:tc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Meses 7–12</w:t>
            </w:r>
          </w:p>
        </w:tc>
        <w:tc>
          <w:tcPr>
            <w:tcW w:type="dxa" w:w="2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Automação, painel maduro, expansão de carteira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≈ 25+ clientes + onboarding automatizado</w:t>
            </w:r>
          </w:p>
        </w:tc>
      </w:tr>
      <w:tr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4 · Expansão</w:t>
            </w:r>
          </w:p>
        </w:tc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Ano 2</w:t>
            </w:r>
          </w:p>
        </w:tc>
        <w:tc>
          <w:tcPr>
            <w:tcW w:type="dxa" w:w="2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Novas verticais/geografias, time de RTs, parcerias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Operação multi-RT replicável</w:t>
            </w:r>
          </w:p>
        </w:tc>
      </w:tr>
    </w:tbl>
    <w:p>
      <w:pPr>
        <w:pStyle w:val="Heading1"/>
      </w:pPr>
      <w:r>
        <w:t xml:space="preserve">2 · Fase 1 — Fundação e lançamento (semanas 1–12)</w:t>
      </w:r>
    </w:p>
    <w:p>
      <w:pPr>
        <w:spacing w:after="120" w:line="276"/>
      </w:pPr>
      <w:r>
        <w:t xml:space="preserve">Detalhamento semana a semana do plano de 90 dias. Os entregáveis seguem o roadmap aprovado no PRD v1.3, com responsável indicado (R = Renan / RF = Rafael / Sis = sistema/plataforma).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50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S1–S2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Fundação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Domínios · contas (Vercel, Supabase, Asaas, D4Sign, Sanity) · DPO formalizado · política LGPD · repaginação do Instagram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 + R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S3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Site único + diagnóstico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 (5 perguntas + score) · página de resultado com gating + duplo CTA · setup Sanity · 2 artigos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S4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Pagamento + contrato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Asaas · webhook · D4Sign · contrato 12m/multa 40%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 + R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S5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Conteúdo + outbound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1ª cadência de outbound (15 prospects) · iniciar network direto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 + RF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S6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WhatsApp IA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Meta Cloud API · prompt versionado · tools · handoff humano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S7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Site único (institucional leve)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Seções de confiança (RT nominal, garantia, planos) integradas ao produto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S8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Mídia paga · go-live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Google + Meta no ar · pixel · GA4 · Meta CAPI server-side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S9–S10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Operação + otimização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Ajuste de criativos · testes A/B · CRO da landing e do diagnóstico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 + R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S11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Painel do cliente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Área logada · agenda de visitas · documentos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S12</w:t>
            </w:r>
          </w:p>
        </w:tc>
        <w:tc>
          <w:tcPr>
            <w:tcW w:type="dxa" w:w="1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Auditoria final</w:t>
            </w:r>
          </w:p>
        </w:tc>
        <w:tc>
          <w:tcPr>
            <w:tcW w:type="dxa" w:w="50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Pen test · RIPD · status page · checklist de segurança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RF + R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5A9430" w:sz="18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A9430"/>
                <w:sz w:val="22"/>
                <w:szCs w:val="22"/>
              </w:rPr>
              <w:t xml:space="preserve">Gate da Fase 1 (condição para escalar)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≥ 50 leads qualificados captados e CPL próximo de R$ 20.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1–2 contratos fechados; show-rate ≥ 75% e fechamento por call ≥ 30%.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Zero incidentes de exposição de dados; DPO formalizado antes do go-live.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Diagnóstico, pagamento, contrato e onboarding funcionando ponta a ponta.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0E2A47" w:sz="18"/>
              <w:bottom w:val="single" w:color="E0DAC9" w:sz="2"/>
              <w:right w:val="single" w:color="E0DAC9" w:sz="2"/>
            </w:tcBorders>
            <w:shd w:fill="FBF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2A47"/>
                <w:sz w:val="22"/>
                <w:szCs w:val="22"/>
              </w:rPr>
              <w:t xml:space="preserve">Direção de copy (vale para todo o trilho)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Toda peça externa fala a linguagem do cliente: RT com nome e CRN, escudo contra a fiscalização, respostas na hora, zero papelada.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Jargão de software (plataforma, dashboard, conformidade como software) fica só na documentação interna.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Gatilhos reativos (multa, fiscalização, alvará) na frente de anúncios e do herói do site.</w:t>
            </w:r>
          </w:p>
        </w:tc>
      </w:tr>
    </w:tbl>
    <w:p>
      <w:pPr>
        <w:pStyle w:val="Heading1"/>
      </w:pPr>
      <w:r>
        <w:t xml:space="preserve">3 · Fase 2 — Tração e otimização (meses 4–6)</w:t>
      </w:r>
    </w:p>
    <w:p>
      <w:pPr>
        <w:spacing w:after="120" w:line="276"/>
      </w:pPr>
      <w:r>
        <w:t xml:space="preserve">Com o motor validado, o foco passa de 'provar' para 'repetir e melhorar'. Otimiza-se a conversão, escala-se a mídia com cautela e prepara-se a capacidade de entrega para o crescimento da carteira.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460"/>
        <w:gridCol w:w="2200"/>
      </w:tblGrid>
      <w:tr>
        <w:trPr>
          <w:tblHeader/>
        </w:trP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Métrica/Gate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Aquisição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Escalar mídia mantendo CAC</w:t>
            </w:r>
          </w:p>
        </w:tc>
        <w:tc>
          <w:tcPr>
            <w:tcW w:type="dxa" w:w="3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Ampliar verba para R$ 3.000–5.000/mês · reativar cold gradual · novos criativos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CAC estável · CPL ≤ meta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Vendas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Aumentar fechamento</w:t>
            </w:r>
          </w:p>
        </w:tc>
        <w:tc>
          <w:tcPr>
            <w:tcW w:type="dxa" w:w="3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Script de call refinado · prova social com cases reais autorizados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Fechamento por call ≥ 35%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Entrega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Sustentar SLA</w:t>
            </w:r>
          </w:p>
        </w:tc>
        <w:tc>
          <w:tcPr>
            <w:tcW w:type="dxa" w:w="3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Contratar 1ª RT adicional · padronizar visita e checklist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SLA de visitas mantido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Conteúdo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Consolidar autoridade</w:t>
            </w:r>
          </w:p>
        </w:tc>
        <w:tc>
          <w:tcPr>
            <w:tcW w:type="dxa" w:w="3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Cadência IG/LinkedIn/blog estável · repurposing 1-para-N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Crescimento de alcance e leads orgânicos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Produto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Reduzir trabalho manual</w:t>
            </w:r>
          </w:p>
        </w:tc>
        <w:tc>
          <w:tcPr>
            <w:tcW w:type="dxa" w:w="34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Automatizar e-mails transacionais · melhorar painel · relatórios de auditoria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Menos horas/cliente</w:t>
            </w:r>
          </w:p>
        </w:tc>
      </w:tr>
    </w:tbl>
    <w:p>
      <w:pPr>
        <w:spacing w:after="120" w:line="276"/>
      </w:pPr>
      <w:r>
        <w:rPr>
          <w:color w:val="38465C"/>
          <w:sz w:val="19"/>
          <w:szCs w:val="19"/>
        </w:rPr>
        <w:t xml:space="preserve">Marco de negócio: base ativa de 9 a 14 clientes ao fim do M6, com processos de entrega documentados e a primeira RT integrada.</w:t>
      </w:r>
    </w:p>
    <w:p>
      <w:pPr>
        <w:pStyle w:val="Heading1"/>
      </w:pPr>
      <w:r>
        <w:t xml:space="preserve">4 · Fase 3 — Escala e produto (meses 7–12)</w:t>
      </w:r>
    </w:p>
    <w:p>
      <w:pPr>
        <w:spacing w:after="120" w:line="276"/>
      </w:pPr>
      <w:r>
        <w:t xml:space="preserve">A empresa passa a operar como uma máquina: aquisição previsível, entrega padronizada e produto reduzindo custo marginal por cliente. O objetivo é chegar ao fim do ano 1 com base recorrente sólida e operação pronta para multiplicar.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Produto/tech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Escalar sem escalar custo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Onboarding automatizado · painel do cliente maduro · auditoria digital com trilha imutável · biblioteca de POPs/manuais reutilizáveis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Padronizar a entrega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Playbook de RT · gestão de carteira por RT · indicadores de SLA por cliente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Aquisição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Diversificar canais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SEO consolidado (12 pautas) · indicações estruturadas · parcerias (contadores, associações do setor)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Dados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Decidir com número</w:t>
            </w:r>
          </w:p>
        </w:tc>
        <w:tc>
          <w:tcPr>
            <w:tcW w:type="dxa" w:w="5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Dashboards de negócio (MRR, churn, CAC, LTV) e técnico (uptime, LCP, erros)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5A9430" w:sz="18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A9430"/>
                <w:sz w:val="22"/>
                <w:szCs w:val="22"/>
              </w:rPr>
              <w:t xml:space="preserve">Gate da Fase 3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≈ 25+ clientes ativos e MRR consistente.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Onboarding e auditoria majoritariamente automatizados.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Operação documentada o suficiente para uma nova RT assumir carteira sozinha.</w:t>
            </w:r>
          </w:p>
        </w:tc>
      </w:tr>
    </w:tbl>
    <w:p>
      <w:pPr>
        <w:pStyle w:val="Heading1"/>
      </w:pPr>
      <w:r>
        <w:t xml:space="preserve">5 · Fase 4 — Expansão (ano 2)</w:t>
      </w:r>
    </w:p>
    <w:p>
      <w:pPr>
        <w:spacing w:after="120" w:line="276"/>
      </w:pPr>
      <w:r>
        <w:t xml:space="preserve">Replicação do modelo validado para novos públicos e regiões, com time de RTs e possíveis parcerias. Direções candidatas (a priorizar conforme dados do ano 1):</w:t>
      </w:r>
    </w:p>
    <w:p>
      <w:pPr>
        <w:pStyle w:val="ListParagraph"/>
        <w:numPr>
          <w:ilvl w:val="0"/>
          <w:numId w:val="2"/>
        </w:numPr>
      </w:pPr>
      <w:r>
        <w:t xml:space="preserve">Geografia: além de São Paulo capital e Grande SP, abrir interior de SP e outras capitais do Sudeste.</w:t>
      </w:r>
    </w:p>
    <w:p>
      <w:pPr>
        <w:pStyle w:val="ListParagraph"/>
        <w:numPr>
          <w:ilvl w:val="0"/>
          <w:numId w:val="2"/>
        </w:numPr>
      </w:pPr>
      <w:r>
        <w:t xml:space="preserve">Verticais: aprofundar educação (escolas), refeição coletiva e redes/franquias com múltiplas unidades.</w:t>
      </w:r>
    </w:p>
    <w:p>
      <w:pPr>
        <w:pStyle w:val="ListParagraph"/>
        <w:numPr>
          <w:ilvl w:val="0"/>
          <w:numId w:val="2"/>
        </w:numPr>
      </w:pPr>
      <w:r>
        <w:t xml:space="preserve">Time: estruturar squad de RTs com coordenação técnica do RT sênior; processos de recrutamento e treinamento.</w:t>
      </w:r>
    </w:p>
    <w:p>
      <w:pPr>
        <w:pStyle w:val="ListParagraph"/>
        <w:numPr>
          <w:ilvl w:val="0"/>
          <w:numId w:val="2"/>
        </w:numPr>
      </w:pPr>
      <w:r>
        <w:t xml:space="preserve">Produto: portal de cliente self-service, API de status de conformidade, possível módulo para grandes redes.</w:t>
      </w:r>
    </w:p>
    <w:p>
      <w:pPr>
        <w:pStyle w:val="ListParagraph"/>
        <w:numPr>
          <w:ilvl w:val="0"/>
          <w:numId w:val="2"/>
        </w:numPr>
      </w:pPr>
      <w:r>
        <w:t xml:space="preserve">Modelo: avaliar parceria/licenciamento com RTs autônomos sob a marca e a plataforma Food Guard.</w:t>
      </w:r>
    </w:p>
    <w:p>
      <w:pPr>
        <w:pStyle w:val="Heading1"/>
      </w:pPr>
      <w:r>
        <w:t xml:space="preserve">6 · Trilho de desenvolvimento de produto</w:t>
      </w:r>
    </w:p>
    <w:p>
      <w:pPr>
        <w:spacing w:after="120" w:line="276"/>
      </w:pPr>
      <w:r>
        <w:t xml:space="preserve">Visão de evolução da plataforma, do MVP ao produto maduro. Cada incremento deve reduzir trabalho manual e/ou aumentar conversão.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MVP</w:t>
            </w:r>
          </w:p>
        </w:tc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1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Landing + diagnóstico (motor de regras) · pagamento Asaas · contrato D4Sign · WhatsApp IA · site institucional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v1 — Painel</w:t>
            </w:r>
          </w:p>
        </w:tc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Fim da Fase 1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Área logada do cliente: agenda de visitas, documentos, status de conformidade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v2 — Automação</w:t>
            </w:r>
          </w:p>
        </w:tc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2–3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Onboarding automatizado · e-mails transacionais · relatórios de auditoria gerados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v3 — Escala</w:t>
            </w:r>
          </w:p>
        </w:tc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3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Trilha de auditoria imutável · biblioteca de POPs/manuais · dashboards de negócio e técnico</w:t>
            </w:r>
          </w:p>
        </w:tc>
      </w:tr>
      <w:tr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v4 — Plataforma</w:t>
            </w:r>
          </w:p>
        </w:tc>
        <w:tc>
          <w:tcPr>
            <w:tcW w:type="dxa" w:w="1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Ano 2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Multi-RT · self-service · integrações · módulo para redes</w:t>
            </w:r>
          </w:p>
        </w:tc>
      </w:tr>
    </w:tbl>
    <w:p>
      <w:pPr>
        <w:pStyle w:val="Heading1"/>
      </w:pPr>
      <w:r>
        <w:t xml:space="preserve">7 · Governança e indicadores</w:t>
      </w:r>
    </w:p>
    <w:p>
      <w:pPr>
        <w:spacing w:after="120" w:line="276"/>
      </w:pPr>
      <w:r>
        <w:t xml:space="preserve">Ritmo de acompanhamento e métricas que governam as decisões de avançar de fase.</w:t>
      </w:r>
    </w:p>
    <w:p>
      <w:pPr>
        <w:pStyle w:val="Heading2"/>
      </w:pPr>
      <w:r>
        <w:t xml:space="preserve">7.1 · Cadência</w:t>
      </w:r>
    </w:p>
    <w:p>
      <w:pPr>
        <w:pStyle w:val="ListParagraph"/>
        <w:numPr>
          <w:ilvl w:val="0"/>
          <w:numId w:val="2"/>
        </w:numPr>
      </w:pPr>
      <w:r>
        <w:t xml:space="preserve">Diário (técnico): uptime, LCP, INP, erros 5xx, falhas de webhook.</w:t>
      </w:r>
    </w:p>
    <w:p>
      <w:pPr>
        <w:pStyle w:val="ListParagraph"/>
        <w:numPr>
          <w:ilvl w:val="0"/>
          <w:numId w:val="2"/>
        </w:numPr>
      </w:pPr>
      <w:r>
        <w:t xml:space="preserve">Semanal (negócio): leads, CPL, taxa de conclusão do diagnóstico, calls, fechamentos, MRR, CAC, LTV.</w:t>
      </w:r>
    </w:p>
    <w:p>
      <w:pPr>
        <w:pStyle w:val="ListParagraph"/>
        <w:numPr>
          <w:ilvl w:val="0"/>
          <w:numId w:val="2"/>
        </w:numPr>
      </w:pPr>
      <w:r>
        <w:t xml:space="preserve">Semanal (conteúdo): alcance IG, engajamento, cliques na bio, visitas ao blog, downloads de lead magnet.</w:t>
      </w:r>
    </w:p>
    <w:p>
      <w:pPr>
        <w:pStyle w:val="ListParagraph"/>
        <w:numPr>
          <w:ilvl w:val="0"/>
          <w:numId w:val="2"/>
        </w:numPr>
      </w:pPr>
      <w:r>
        <w:t xml:space="preserve">Mensal: revisão de fase, decisão de gate, replanejamento de mídia e contratações.</w:t>
      </w:r>
    </w:p>
    <w:p>
      <w:pPr>
        <w:pStyle w:val="Heading2"/>
      </w:pPr>
      <w:r>
        <w:t xml:space="preserve">7.2 · Indicadores-chave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000"/>
        <w:gridCol w:w="3200"/>
      </w:tblGrid>
      <w:tr>
        <w:trPr>
          <w:tblHeader/>
        </w:trP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KPI-âncora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1</w:t>
            </w:r>
          </w:p>
        </w:tc>
        <w:tc>
          <w:tcPr>
            <w:tcW w:type="dxa" w:w="4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Contratos fechados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1–2 (M1) → 4–5 (M3)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2</w:t>
            </w:r>
          </w:p>
        </w:tc>
        <w:tc>
          <w:tcPr>
            <w:tcW w:type="dxa" w:w="4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CAC e fechamento por call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CAC estável · fechamento ≥ 35%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3</w:t>
            </w:r>
          </w:p>
        </w:tc>
        <w:tc>
          <w:tcPr>
            <w:tcW w:type="dxa" w:w="4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Base ativa e automação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≈ 25+ clientes · onboarding automatizado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Fase 4</w:t>
            </w:r>
          </w:p>
        </w:tc>
        <w:tc>
          <w:tcPr>
            <w:tcW w:type="dxa" w:w="4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Replicabilidade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Operação multi-RT funcionando</w:t>
            </w:r>
          </w:p>
        </w:tc>
      </w:tr>
    </w:tbl>
    <w:p>
      <w:pPr>
        <w:pStyle w:val="Heading1"/>
      </w:pPr>
      <w:r>
        <w:t xml:space="preserve">8 · Riscos de execução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 de execução</w:t>
            </w:r>
          </w:p>
        </w:tc>
        <w:tc>
          <w:tcPr>
            <w:tcW w:type="dxa" w:w="5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Sobrecarga dos 2 sócios (2h/dia no M1)</w:t>
            </w:r>
          </w:p>
        </w:tc>
        <w:tc>
          <w:tcPr>
            <w:tcW w:type="dxa" w:w="5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Escopo enxuto por semana · automatizar cedo · cortar cold no M1</w:t>
            </w:r>
          </w:p>
        </w:tc>
      </w:tr>
      <w:tr>
        <w:tc>
          <w:tcPr>
            <w:tcW w:type="dxa" w:w="4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Atraso no go-live por dependências técnicas</w:t>
            </w:r>
          </w:p>
        </w:tc>
        <w:tc>
          <w:tcPr>
            <w:tcW w:type="dxa" w:w="5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Sequência de blocos no roadmap · contas e infra primeiro (S1–S2)</w:t>
            </w:r>
          </w:p>
        </w:tc>
      </w:tr>
      <w:tr>
        <w:tc>
          <w:tcPr>
            <w:tcW w:type="dxa" w:w="4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Capacidade de visitas do RT satura</w:t>
            </w:r>
          </w:p>
        </w:tc>
        <w:tc>
          <w:tcPr>
            <w:tcW w:type="dxa" w:w="5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Gatilho claro de contratação da 1ª RT (~15–20 clientes)</w:t>
            </w:r>
          </w:p>
        </w:tc>
      </w:tr>
      <w:tr>
        <w:tc>
          <w:tcPr>
            <w:tcW w:type="dxa" w:w="4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CPL acima do previsto trava a escala</w:t>
            </w:r>
          </w:p>
        </w:tc>
        <w:tc>
          <w:tcPr>
            <w:tcW w:type="dxa" w:w="5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Validar CPL antes de ampliar verba · retargeting pesado · A/B</w:t>
            </w:r>
          </w:p>
        </w:tc>
      </w:tr>
      <w:tr>
        <w:tc>
          <w:tcPr>
            <w:tcW w:type="dxa" w:w="43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Conteúdo/LinkedIn demoram a engajar</w:t>
            </w:r>
          </w:p>
        </w:tc>
        <w:tc>
          <w:tcPr>
            <w:tcW w:type="dxa" w:w="5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Aceitar curva de 4–6 meses · foco em outbound e network no início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6B7689"/>
          <w:sz w:val="17"/>
          <w:szCs w:val="17"/>
        </w:rPr>
        <w:t xml:space="preserve">Roadmap de execução. Datas e janelas são metas de planejamento e devem ser revisadas a cada gate de fase.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AC9" w:sz="4" w:space="6"/>
      </w:pBdr>
      <w:jc w:val="center"/>
    </w:pPr>
    <w:r>
      <w:rPr>
        <w:color w:val="6B7689"/>
        <w:sz w:val="16"/>
        <w:szCs w:val="16"/>
      </w:rPr>
      <w:t xml:space="preserve">Food Guard Assessoria  ·  Confidencial  ·  página </w:t>
    </w:r>
    <w:r>
      <w:rPr>
        <w:color w:val="6B76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5A9430"/>
      </w:r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E2A47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/>
    </w:pPr>
    <w:rPr>
      <w:rFonts w:ascii="Calibri" w:cs="Calibri" w:eastAsia="Calibri" w:hAnsi="Calibri"/>
      <w:color w:val="5A943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6FB23E" w:sz="8" w:space="4"/>
      </w:pBdr>
      <w:spacing w:after="140" w:before="320"/>
      <w:outlineLvl w:val="0"/>
    </w:pPr>
    <w:rPr>
      <w:rFonts w:ascii="Calibri" w:cs="Calibri" w:eastAsia="Calibri" w:hAnsi="Calibri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5A943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B2740"/>
      <w:sz w:val="22"/>
      <w:szCs w:val="22"/>
    </w:rPr>
  </w:style>
  <w:style w:type="paragraph" w:styleId="Normal">
    <w:name w:val="Normal"/>
    <w:pPr>
      <w:spacing w:after="120" w:line="276"/>
    </w:pPr>
    <w:rPr>
      <w:rFonts w:ascii="Calibri" w:cs="Calibri" w:eastAsia="Calibri" w:hAnsi="Calibri"/>
      <w:color w:val="1B27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Guard — Roadmap de Implementação</dc:title>
  <dc:creator>Food Guard</dc:creator>
  <cp:lastModifiedBy>Un-named</cp:lastModifiedBy>
  <cp:revision>1</cp:revision>
  <dcterms:created xsi:type="dcterms:W3CDTF">2026-05-22T19:38:41.046Z</dcterms:created>
  <dcterms:modified xsi:type="dcterms:W3CDTF">2026-05-22T19:38:41.046Z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