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LAPORAN PROYEK DATA MINING</w:t>
      </w:r>
    </w:p>
    <w:p>
      <w:pPr>
        <w:jc w:val="center"/>
      </w:pPr>
      <w:r>
        <w:rPr>
          <w:b/>
          <w:i/>
          <w:sz w:val="28"/>
        </w:rPr>
        <w:t>Segmentasi Pelanggan untuk Mengatasi Ketidakefektifan Strategi Pemasaran Menggunakan Metode RFM dan Algoritma K-Means</w:t>
      </w:r>
    </w:p>
    <w:p/>
    <w:p>
      <w:pPr>
        <w:jc w:val="center"/>
      </w:pPr>
      <w:r>
        <w:rPr>
          <w:sz w:val="24"/>
        </w:rPr>
        <w:t>Studi Kasus: Brazilian E-Commerce Public Dataset by Olist</w:t>
        <w:br/>
        <w:t>Periode September 2016 – Oktober 2018</w:t>
      </w:r>
    </w:p>
    <w:p/>
    <w:p/>
    <w:p/>
    <w:p>
      <w:r>
        <w:br w:type="page"/>
      </w:r>
    </w:p>
    <w:p>
      <w:pPr>
        <w:pStyle w:val="Heading1"/>
      </w:pPr>
      <w:r>
        <w:rPr>
          <w:color w:val="1F3A5F"/>
        </w:rPr>
        <w:t>1. Judul Proyek</w:t>
      </w:r>
    </w:p>
    <w:p>
      <w:pPr>
        <w:spacing w:after="120"/>
        <w:ind w:firstLine="425"/>
        <w:jc w:val="both"/>
      </w:pPr>
      <w:r>
        <w:rPr>
          <w:sz w:val="22"/>
        </w:rPr>
        <w:t>Judul proyek data mining yang diangkat dalam penelitian ini adalah:</w:t>
      </w:r>
    </w:p>
    <w:p>
      <w:pPr>
        <w:jc w:val="center"/>
      </w:pPr>
      <w:r>
        <w:rPr>
          <w:b/>
          <w:i/>
          <w:sz w:val="26"/>
        </w:rPr>
        <w:t>"Segmentasi Pelanggan untuk Mengatasi Ketidakefektifan Strategi Pemasaran Menggunakan Metode RFM dan Algoritma K-Means"</w:t>
      </w:r>
    </w:p>
    <w:p>
      <w:pPr>
        <w:jc w:val="center"/>
      </w:pPr>
      <w:r>
        <w:rPr>
          <w:i/>
        </w:rPr>
        <w:t>(Studi Kasus: Brazilian E-Commerce Public Dataset by Olist, Periode September 2016 – Oktober 2018)</w:t>
      </w:r>
    </w:p>
    <w:p>
      <w:pPr>
        <w:pStyle w:val="Heading1"/>
      </w:pPr>
      <w:r>
        <w:rPr>
          <w:color w:val="1F3A5F"/>
        </w:rPr>
        <w:t>2. Latar Belakang Penelitian</w:t>
      </w:r>
    </w:p>
    <w:p>
      <w:pPr>
        <w:spacing w:after="120"/>
        <w:ind w:firstLine="425"/>
        <w:jc w:val="both"/>
      </w:pPr>
      <w:r>
        <w:rPr>
          <w:sz w:val="22"/>
        </w:rPr>
        <w:t>Perkembangan e-commerce dalam satu dekade terakhir telah mengubah lanskap perdagangan global secara fundamental. Marketplace seperti Olist — platform e-commerce terbesar di Brazil — menghubungkan ribuan penjual UMKM dengan jutaan pelanggan setiap harinya. Volume transaksi yang besar ini menghasilkan basis pelanggan yang sangat heterogen: ada pelanggan loyal yang sering bertransaksi dengan nilai tinggi, pelanggan baru yang masih dalam tahap eksplorasi, hingga pelanggan yang sudah lama tidak aktif.</w:t>
      </w:r>
    </w:p>
    <w:p>
      <w:pPr>
        <w:spacing w:after="120"/>
        <w:ind w:firstLine="425"/>
        <w:jc w:val="both"/>
      </w:pPr>
      <w:r>
        <w:rPr>
          <w:sz w:val="22"/>
        </w:rPr>
        <w:t>Tantangan utama yang dihadapi tim pemasaran adalah ketidakefektifan strategi pemasaran "one-size-fits-all". Ketika promosi yang sama dikirimkan ke seluruh basis pelanggan tanpa memperhatikan karakteristik perilaku mereka, hasilnya adalah:</w:t>
      </w:r>
    </w:p>
    <w:p>
      <w:pPr>
        <w:pStyle w:val="ListNumber"/>
        <w:spacing w:after="40"/>
      </w:pPr>
      <w:r>
        <w:rPr>
          <w:sz w:val="22"/>
        </w:rPr>
        <w:t>Pemborosan anggaran marketing — pelanggan VIP yang sudah loyal tidak butuh diskon agresif; sebaliknya, pelanggan yang sudah lama tidak transaksi tidak akan tergerak oleh newsletter biasa.</w:t>
      </w:r>
    </w:p>
    <w:p>
      <w:pPr>
        <w:pStyle w:val="ListNumber"/>
        <w:spacing w:after="40"/>
      </w:pPr>
      <w:r>
        <w:rPr>
          <w:sz w:val="22"/>
        </w:rPr>
        <w:t>Rendahnya conversion rate — pesan yang tidak relevan akan diabaikan, bahkan berpotensi membuat pelanggan unsubscribe.</w:t>
      </w:r>
    </w:p>
    <w:p>
      <w:pPr>
        <w:pStyle w:val="ListNumber"/>
        <w:spacing w:after="40"/>
      </w:pPr>
      <w:r>
        <w:rPr>
          <w:sz w:val="22"/>
        </w:rPr>
        <w:t>Churn yang tidak terdeteksi dini — pelanggan bernilai tinggi yang mulai menurun aktivitasnya tidak mendapat intervensi tepat waktu.</w:t>
      </w:r>
    </w:p>
    <w:p>
      <w:pPr>
        <w:pStyle w:val="ListNumber"/>
        <w:spacing w:after="40"/>
      </w:pPr>
      <w:r>
        <w:rPr>
          <w:sz w:val="22"/>
        </w:rPr>
        <w:t>Customer Lifetime Value (CLV) tidak teroptimalkan — segmen yang seharusnya bisa di-upsell justru diperlakukan sama seperti pelanggan one-time buyer.</w:t>
      </w:r>
    </w:p>
    <w:p>
      <w:pPr>
        <w:spacing w:after="120"/>
        <w:ind w:firstLine="425"/>
        <w:jc w:val="both"/>
      </w:pPr>
      <w:r>
        <w:rPr>
          <w:sz w:val="22"/>
        </w:rPr>
        <w:t>Untuk mengatasi permasalahan tersebut, diperlukan pendekatan data-driven customer segmentation yang mampu mengelompokkan pelanggan berdasarkan perilaku transaksi mereka secara objektif. Salah satu metode yang sudah teruji secara empiris adalah RFM Analysis (Recency, Frequency, Monetary) yang dikembangkan Hughes (1995) dan menjadi standar de-facto di industri customer analytics. RFM hanya membutuhkan data transaksi (tidak butuh data demografis/PII) dan menghasilkan tiga dimensi perilaku yang interpretable bagi tim bisnis:</w:t>
      </w:r>
    </w:p>
    <w:p>
      <w:pPr>
        <w:pStyle w:val="ListBullet"/>
        <w:spacing w:after="40"/>
      </w:pPr>
      <w:r>
        <w:rPr>
          <w:sz w:val="22"/>
        </w:rPr>
        <w:t>Recency — kapan terakhir kali pelanggan bertransaksi (mengukur engagement terkini).</w:t>
      </w:r>
    </w:p>
    <w:p>
      <w:pPr>
        <w:pStyle w:val="ListBullet"/>
        <w:spacing w:after="40"/>
      </w:pPr>
      <w:r>
        <w:rPr>
          <w:sz w:val="22"/>
        </w:rPr>
        <w:t>Frequency — seberapa sering pelanggan bertransaksi (mengukur loyalitas).</w:t>
      </w:r>
    </w:p>
    <w:p>
      <w:pPr>
        <w:pStyle w:val="ListBullet"/>
        <w:spacing w:after="40"/>
      </w:pPr>
      <w:r>
        <w:rPr>
          <w:sz w:val="22"/>
        </w:rPr>
        <w:t>Monetary — total nilai transaksi pelanggan (mengukur nilai ekonomis).</w:t>
      </w:r>
    </w:p>
    <w:p>
      <w:pPr>
        <w:spacing w:after="120"/>
        <w:ind w:firstLine="425"/>
        <w:jc w:val="both"/>
      </w:pPr>
      <w:r>
        <w:rPr>
          <w:sz w:val="22"/>
        </w:rPr>
        <w:t>Setelah fitur RFM dihasilkan, dibutuhkan algoritma clustering untuk membentuk segmen secara otomatis. K-Means Clustering dipilih karena cocok untuk data numerik kontinu, skalabel ke ratusan ribu pelanggan dengan kompleksitas O(nki), menghasilkan centroid yang dapat dipakai untuk klasifikasi pelanggan baru, serta mudah diinterpretasikan oleh stakeholder non-teknis.</w:t>
      </w:r>
    </w:p>
    <w:p>
      <w:pPr>
        <w:spacing w:after="120"/>
        <w:ind w:firstLine="425"/>
        <w:jc w:val="both"/>
      </w:pPr>
      <w:r>
        <w:rPr>
          <w:sz w:val="22"/>
        </w:rPr>
        <w:t>Penelitian ini menggunakan Brazilian E-Commerce Public Dataset by Olist yang berisi sekitar 100.000 transaksi dari 99.000 pelanggan unik dalam periode 2016–2018. Hasil akhir penelitian diharapkan dapat: (1) menghasilkan model segmentasi pelanggan yang dapat dievaluasi secara kuantitatif, (2) menghasilkan profil dan label segmen yang interpretable secara bisnis, serta (3) memberikan rekomendasi strategi pemasaran yang spesifik untuk tiap segmen.</w:t>
      </w:r>
    </w:p>
    <w:p>
      <w:pPr>
        <w:pStyle w:val="Heading2"/>
      </w:pPr>
      <w:r>
        <w:rPr>
          <w:color w:val="1F3A5F"/>
        </w:rPr>
        <w:t>Rumusan Masalah</w:t>
      </w:r>
    </w:p>
    <w:p>
      <w:pPr>
        <w:pStyle w:val="ListNumber"/>
        <w:spacing w:after="40"/>
      </w:pPr>
      <w:r>
        <w:rPr>
          <w:sz w:val="22"/>
        </w:rPr>
        <w:t>Bagaimana mengelompokkan pelanggan Olist berdasarkan perilaku transaksi menggunakan metode RFM dan algoritma K-Means?</w:t>
      </w:r>
    </w:p>
    <w:p>
      <w:pPr>
        <w:pStyle w:val="ListNumber"/>
        <w:spacing w:after="40"/>
      </w:pPr>
      <w:r>
        <w:rPr>
          <w:sz w:val="22"/>
        </w:rPr>
        <w:t>Apa karakteristik tiap segmen yang dihasilkan?</w:t>
      </w:r>
    </w:p>
    <w:p>
      <w:pPr>
        <w:pStyle w:val="ListNumber"/>
        <w:spacing w:after="40"/>
      </w:pPr>
      <w:r>
        <w:rPr>
          <w:sz w:val="22"/>
        </w:rPr>
        <w:t>Rekomendasi strategi pemasaran apa yang sesuai untuk tiap segmen pelanggan?</w:t>
      </w:r>
    </w:p>
    <w:p>
      <w:pPr>
        <w:pStyle w:val="Heading2"/>
      </w:pPr>
      <w:r>
        <w:rPr>
          <w:color w:val="1F3A5F"/>
        </w:rPr>
        <w:t>Tujuan Penelitian</w:t>
      </w:r>
    </w:p>
    <w:p>
      <w:pPr>
        <w:pStyle w:val="ListNumber"/>
        <w:spacing w:after="40"/>
      </w:pPr>
      <w:r>
        <w:rPr>
          <w:sz w:val="22"/>
        </w:rPr>
        <w:t>Mengimplementasikan pipeline data mining dari raw data hingga deployment yang reproducible.</w:t>
      </w:r>
    </w:p>
    <w:p>
      <w:pPr>
        <w:pStyle w:val="ListNumber"/>
        <w:spacing w:after="40"/>
      </w:pPr>
      <w:r>
        <w:rPr>
          <w:sz w:val="22"/>
        </w:rPr>
        <w:t>Menentukan jumlah cluster optimal menggunakan kombinasi Elbow Method, Silhouette Score, dan Davies-Bouldin Index.</w:t>
      </w:r>
    </w:p>
    <w:p>
      <w:pPr>
        <w:pStyle w:val="ListNumber"/>
        <w:spacing w:after="40"/>
      </w:pPr>
      <w:r>
        <w:rPr>
          <w:sz w:val="22"/>
        </w:rPr>
        <w:t>Menyusun rekomendasi strategi pemasaran berbasis profil tiap segmen.</w:t>
      </w:r>
    </w:p>
    <w:p>
      <w:pPr>
        <w:pStyle w:val="ListNumber"/>
        <w:spacing w:after="40"/>
      </w:pPr>
      <w:r>
        <w:rPr>
          <w:sz w:val="22"/>
        </w:rPr>
        <w:t>Mengembangkan layanan deployment (REST API + Web UI) sebagai bukti bahwa model siap digunakan.</w:t>
      </w:r>
    </w:p>
    <w:p>
      <w:r>
        <w:br w:type="page"/>
      </w:r>
    </w:p>
    <w:p>
      <w:pPr>
        <w:pStyle w:val="Heading1"/>
      </w:pPr>
      <w:r>
        <w:rPr>
          <w:color w:val="1F3A5F"/>
        </w:rPr>
        <w:t>3. Diagram Alur Penelitian</w:t>
      </w:r>
    </w:p>
    <w:p>
      <w:pPr>
        <w:spacing w:after="120"/>
        <w:ind w:firstLine="425"/>
        <w:jc w:val="both"/>
      </w:pPr>
      <w:r>
        <w:rPr>
          <w:sz w:val="22"/>
        </w:rPr>
        <w:t>Penelitian ini mengikuti kerangka CRISP-DM (Cross-Industry Standard Process for Data Mining) yang terdiri dari enam fase. Berikut diagram alur penelitian yang dilakukan:</w:t>
      </w:r>
    </w:p>
    <w:p>
      <w:pPr>
        <w:jc w:val="center"/>
      </w:pPr>
      <w:r>
        <w:drawing>
          <wp:inline xmlns:a="http://schemas.openxmlformats.org/drawingml/2006/main" xmlns:pic="http://schemas.openxmlformats.org/drawingml/2006/picture">
            <wp:extent cx="5040000" cy="5965195"/>
            <wp:docPr id="1" name="Picture 1"/>
            <wp:cNvGraphicFramePr>
              <a:graphicFrameLocks noChangeAspect="1"/>
            </wp:cNvGraphicFramePr>
            <a:graphic>
              <a:graphicData uri="http://schemas.openxmlformats.org/drawingml/2006/picture">
                <pic:pic>
                  <pic:nvPicPr>
                    <pic:cNvPr id="0" name="01_research_flow.png"/>
                    <pic:cNvPicPr/>
                  </pic:nvPicPr>
                  <pic:blipFill>
                    <a:blip r:embed="rId9"/>
                    <a:stretch>
                      <a:fillRect/>
                    </a:stretch>
                  </pic:blipFill>
                  <pic:spPr>
                    <a:xfrm>
                      <a:off x="0" y="0"/>
                      <a:ext cx="5040000" cy="5965195"/>
                    </a:xfrm>
                    <a:prstGeom prst="rect"/>
                  </pic:spPr>
                </pic:pic>
              </a:graphicData>
            </a:graphic>
          </wp:inline>
        </w:drawing>
      </w:r>
    </w:p>
    <w:p>
      <w:pPr>
        <w:spacing w:after="240"/>
        <w:jc w:val="center"/>
      </w:pPr>
      <w:r>
        <w:rPr>
          <w:i/>
          <w:color w:val="555555"/>
          <w:sz w:val="20"/>
        </w:rPr>
        <w:t>Gambar 3.1 — Diagram alur penelitian data mining (adaptasi CRISP-DM untuk segmentasi pelanggan)</w:t>
      </w:r>
    </w:p>
    <w:p>
      <w:pPr>
        <w:pStyle w:val="Heading2"/>
      </w:pPr>
      <w:r>
        <w:rPr>
          <w:color w:val="1F3A5F"/>
        </w:rPr>
        <w:t>Penjelasan Tiap Fase</w:t>
      </w:r>
    </w:p>
    <w:p>
      <w:pPr>
        <w:spacing w:after="120"/>
      </w:pPr>
      <w:r>
        <w:rPr>
          <w:b/>
          <w:i w:val="0"/>
          <w:sz w:val="22"/>
        </w:rPr>
        <w:t>Fase 1 — Business Understanding</w:t>
      </w:r>
    </w:p>
    <w:p>
      <w:pPr>
        <w:spacing w:after="120"/>
        <w:ind w:firstLine="425"/>
        <w:jc w:val="both"/>
      </w:pPr>
      <w:r>
        <w:rPr>
          <w:sz w:val="22"/>
        </w:rPr>
        <w:t>Tahap awal yang bertujuan memahami konteks bisnis dan tujuan dari proyek data mining. Pada penelitian ini diidentifikasi bahwa strategi pemasaran seragam Olist tidak efektif karena basis pelanggannya sangat heterogen. Tujuan ditetapkan untuk membentuk segmen pelanggan yang dapat ditarget secara spesifik.</w:t>
      </w:r>
    </w:p>
    <w:p>
      <w:pPr>
        <w:spacing w:after="120"/>
      </w:pPr>
      <w:r>
        <w:rPr>
          <w:b/>
          <w:i w:val="0"/>
          <w:sz w:val="22"/>
        </w:rPr>
        <w:t>Fase 2 — Data Understanding</w:t>
      </w:r>
    </w:p>
    <w:p>
      <w:pPr>
        <w:spacing w:after="120"/>
        <w:ind w:firstLine="425"/>
        <w:jc w:val="both"/>
      </w:pPr>
      <w:r>
        <w:rPr>
          <w:sz w:val="22"/>
        </w:rPr>
        <w:t>Loading 9 tabel Olist (sekitar 120 MB), validasi schema, dan eksplorasi data melalui EDA yang mencakup analisis univariate (distribusi tiap variabel), bivariate (hubungan dua variabel), multivariate (korelasi antar fitur), time-series (tren bulanan dan harian), serta analisis geografis. Total 21 visualisasi dihasilkan sebagai bukti pemahaman data sebelum modeling.</w:t>
      </w:r>
    </w:p>
    <w:p>
      <w:pPr>
        <w:spacing w:after="120"/>
      </w:pPr>
      <w:r>
        <w:rPr>
          <w:b/>
          <w:i w:val="0"/>
          <w:sz w:val="22"/>
        </w:rPr>
        <w:t>Fase 3 — Data Preparation</w:t>
      </w:r>
    </w:p>
    <w:p>
      <w:pPr>
        <w:spacing w:after="120"/>
        <w:ind w:firstLine="425"/>
        <w:jc w:val="both"/>
      </w:pPr>
      <w:r>
        <w:rPr>
          <w:sz w:val="22"/>
        </w:rPr>
        <w:t>Tahap paling kritis dan memakan waktu paling besar (sekitar 60% waktu proyek). Termasuk filtering data, merging antar tabel, agregasi pembayaran, feature engineering RFM, penanganan outlier via winsorize, transformasi log, dan RFM scoring. Output utama: tabel RFM dengan 93.357 pelanggan unik siap-modeling.</w:t>
      </w:r>
    </w:p>
    <w:p>
      <w:pPr>
        <w:spacing w:after="120"/>
      </w:pPr>
      <w:r>
        <w:rPr>
          <w:b/>
          <w:i w:val="0"/>
          <w:sz w:val="22"/>
        </w:rPr>
        <w:t>Fase 4 — Modeling</w:t>
      </w:r>
    </w:p>
    <w:p>
      <w:pPr>
        <w:spacing w:after="120"/>
        <w:ind w:firstLine="425"/>
        <w:jc w:val="both"/>
      </w:pPr>
      <w:r>
        <w:rPr>
          <w:sz w:val="22"/>
        </w:rPr>
        <w:t>Standardisasi fitur menggunakan StandardScaler dilanjutkan dengan pemilihan jumlah cluster optimal melalui kombinasi tiga metrik (Elbow, Silhouette, Davies-Bouldin) untuk menghindari bias metrik tunggal. Hasil: k = 4 dengan parameter n_init=20 dan random_state=42 untuk reproducibility.</w:t>
      </w:r>
    </w:p>
    <w:p>
      <w:pPr>
        <w:spacing w:after="120"/>
      </w:pPr>
      <w:r>
        <w:rPr>
          <w:b/>
          <w:i w:val="0"/>
          <w:sz w:val="22"/>
        </w:rPr>
        <w:t>Fase 5 — Evaluation</w:t>
      </w:r>
    </w:p>
    <w:p>
      <w:pPr>
        <w:spacing w:after="120"/>
        <w:ind w:firstLine="425"/>
        <w:jc w:val="both"/>
      </w:pPr>
      <w:r>
        <w:rPr>
          <w:sz w:val="22"/>
        </w:rPr>
        <w:t>Evaluasi dilakukan dari dua sisi: teknis (silhouette, davies-bouldin, inertia) dan bisnis (interpretasi profil tiap cluster menjadi segmen yang actionable). Visualisasi snake plot dan PCA scatter membantu memvalidasi kualitas separasi cluster.</w:t>
      </w:r>
    </w:p>
    <w:p>
      <w:pPr>
        <w:spacing w:after="120"/>
      </w:pPr>
      <w:r>
        <w:rPr>
          <w:b/>
          <w:i w:val="0"/>
          <w:sz w:val="22"/>
        </w:rPr>
        <w:t>Fase 6 — Deployment</w:t>
      </w:r>
    </w:p>
    <w:p>
      <w:pPr>
        <w:spacing w:after="120"/>
        <w:ind w:firstLine="425"/>
        <w:jc w:val="both"/>
      </w:pPr>
      <w:r>
        <w:rPr>
          <w:sz w:val="22"/>
        </w:rPr>
        <w:t>Model di-wrap dalam REST API (FastAPI) dan Web UI (Streamlit) agar dapat digunakan tim bisnis untuk klasifikasi pelanggan baru maupun analisis batch. Pipeline preprocessing lengkap juga di-serving sehingga user cukup mengirimkan nilai RFM mentah.</w:t>
      </w:r>
    </w:p>
    <w:p>
      <w:r>
        <w:br w:type="page"/>
      </w:r>
    </w:p>
    <w:p>
      <w:pPr>
        <w:pStyle w:val="Heading1"/>
      </w:pPr>
      <w:r>
        <w:rPr>
          <w:color w:val="1F3A5F"/>
        </w:rPr>
        <w:t>4. Analisa Kode Program</w:t>
      </w:r>
    </w:p>
    <w:p>
      <w:pPr>
        <w:pStyle w:val="Heading2"/>
      </w:pPr>
      <w:r>
        <w:rPr>
          <w:color w:val="1F3A5F"/>
        </w:rPr>
        <w:t>4.1 Pengambilan Data (src/data_loader.py)</w:t>
      </w:r>
    </w:p>
    <w:p>
      <w:pPr>
        <w:spacing w:after="120"/>
        <w:ind w:firstLine="425"/>
        <w:jc w:val="both"/>
      </w:pPr>
      <w:r>
        <w:rPr>
          <w:sz w:val="22"/>
        </w:rPr>
        <w:t>Loader data dibuat modular sebagai fungsi tunggal yang mengembalikan dict of DataFrames. Memudahkan unit-testing dan reuse baik di notebook maupun di API.</w:t>
      </w:r>
    </w:p>
    <w:p>
      <w:pPr>
        <w:spacing w:after="120"/>
        <w:ind w:left="283"/>
        <w:shd w:fill="F2F2F2"/>
      </w:pPr>
      <w:r>
        <w:rPr>
          <w:rFonts w:ascii="Consolas" w:hAnsi="Consolas"/>
          <w:sz w:val="18"/>
          <w:rFonts w:ascii="Consolas" w:hAnsi="Consolas" w:cs="Consolas"/>
        </w:rPr>
        <w:t>def load_olist(raw_dir: Path | str = DEFAULT_RAW_DIR) -&gt; Dict[str, pd.DataFrame]:</w:t>
        <w:br/>
        <w:t xml:space="preserve">    raw_dir = Path(raw_dir)</w:t>
        <w:br/>
        <w:t xml:space="preserve">    out: Dict[str, pd.DataFrame] = {}</w:t>
        <w:br/>
        <w:t xml:space="preserve">    for key, fname in FILE_MAP.items():</w:t>
        <w:br/>
        <w:t xml:space="preserve">        kwargs = {}</w:t>
        <w:br/>
        <w:t xml:space="preserve">        if key in PARSE_DATES:</w:t>
        <w:br/>
        <w:t xml:space="preserve">            kwargs["parse_dates"] = PARSE_DATES[key]</w:t>
        <w:br/>
        <w:t xml:space="preserve">        out[key] = pd.read_csv(raw_dir / fname, **kwargs)</w:t>
        <w:br/>
        <w:t xml:space="preserve">    return out</w:t>
      </w:r>
    </w:p>
    <w:p>
      <w:pPr>
        <w:spacing w:after="120"/>
      </w:pPr>
      <w:r>
        <w:rPr>
          <w:b/>
          <w:i w:val="0"/>
          <w:sz w:val="22"/>
        </w:rPr>
        <w:t>Analisa:</w:t>
      </w:r>
    </w:p>
    <w:p>
      <w:pPr>
        <w:pStyle w:val="ListBullet"/>
        <w:spacing w:after="40"/>
      </w:pPr>
      <w:r>
        <w:rPr>
          <w:sz w:val="22"/>
        </w:rPr>
        <w:t>parse_dates di-pass langsung ke read_csv agar parsing datetime dilakukan di level C (lebih cepat).</w:t>
      </w:r>
    </w:p>
    <w:p>
      <w:pPr>
        <w:pStyle w:val="ListBullet"/>
        <w:spacing w:after="40"/>
      </w:pPr>
      <w:r>
        <w:rPr>
          <w:sz w:val="22"/>
        </w:rPr>
        <w:t>PROJECT_ROOT dihitung relatif terhadap lokasi file sehingga loader bisa dipanggil dari direktori manapun.</w:t>
      </w:r>
    </w:p>
    <w:p>
      <w:pPr>
        <w:pStyle w:val="ListBullet"/>
        <w:spacing w:after="40"/>
      </w:pPr>
      <w:r>
        <w:rPr>
          <w:sz w:val="22"/>
        </w:rPr>
        <w:t>Mendukung 9 tabel Olist sekaligus dalam satu pemanggilan.</w:t>
      </w:r>
    </w:p>
    <w:p>
      <w:pPr>
        <w:pStyle w:val="Heading2"/>
      </w:pPr>
      <w:r>
        <w:rPr>
          <w:color w:val="1F3A5F"/>
        </w:rPr>
        <w:t>4.2 Exploratory Data Analysis (02_eda.ipynb)</w:t>
      </w:r>
    </w:p>
    <w:p>
      <w:pPr>
        <w:spacing w:after="120"/>
        <w:ind w:firstLine="425"/>
        <w:jc w:val="both"/>
      </w:pPr>
      <w:r>
        <w:rPr>
          <w:sz w:val="22"/>
        </w:rPr>
        <w:t>EDA dilakukan dengan pendekatan top-down: dari distribusi tiap variabel (univariate), hubungan dua variabel (bivariate), korelasi antar fitur (multivariate), hingga tren temporal dan geografis.</w:t>
      </w:r>
    </w:p>
    <w:p>
      <w:pPr>
        <w:spacing w:after="120"/>
        <w:ind w:left="283"/>
        <w:shd w:fill="F2F2F2"/>
      </w:pPr>
      <w:r>
        <w:rPr>
          <w:rFonts w:ascii="Consolas" w:hAnsi="Consolas"/>
          <w:sz w:val="18"/>
          <w:rFonts w:ascii="Consolas" w:hAnsi="Consolas" w:cs="Consolas"/>
        </w:rPr>
        <w:t># Univariate</w:t>
        <w:br/>
        <w:t>sns.histplot(payments["payment_value"], bins=50, kde=True)</w:t>
        <w:br/>
        <w:br/>
        <w:t># Bivariate: review score vs delivery time</w:t>
        <w:br/>
        <w:t>delivery_days = (orders["order_delivered_customer_date"]</w:t>
        <w:br/>
        <w:t xml:space="preserve">                 - orders["order_purchase_timestamp"]).dt.days</w:t>
        <w:br/>
        <w:t>sns.boxplot(x=reviews["review_score"], y=delivery_days)</w:t>
        <w:br/>
        <w:br/>
        <w:t># Multivariate: correlation heatmap</w:t>
        <w:br/>
        <w:t>sns.heatmap(merged[numeric_cols].corr(), annot=True, cmap="coolwarm")</w:t>
        <w:br/>
        <w:br/>
        <w:t># Time-series</w:t>
        <w:br/>
        <w:t>orders_monthly = orders.set_index("order_purchase_timestamp").resample("M").size()</w:t>
        <w:br/>
        <w:t>orders_monthly.plot(kind="line")</w:t>
      </w:r>
    </w:p>
    <w:p>
      <w:pPr>
        <w:spacing w:after="120"/>
      </w:pPr>
      <w:r>
        <w:rPr>
          <w:b/>
          <w:i w:val="0"/>
          <w:sz w:val="22"/>
        </w:rPr>
        <w:t>Temuan kunci dari EDA:</w:t>
      </w:r>
    </w:p>
    <w:p>
      <w:pPr>
        <w:pStyle w:val="ListBullet"/>
        <w:spacing w:after="40"/>
      </w:pPr>
      <w:r>
        <w:rPr>
          <w:sz w:val="22"/>
        </w:rPr>
        <w:t>Distribusi payment_value sangat right-skewed → memotivasi log transform.</w:t>
      </w:r>
    </w:p>
    <w:p>
      <w:pPr>
        <w:pStyle w:val="ListBullet"/>
        <w:spacing w:after="40"/>
      </w:pPr>
      <w:r>
        <w:rPr>
          <w:sz w:val="22"/>
        </w:rPr>
        <w:t>Sebagian besar pelanggan hanya bertransaksi 1 kali (Frequency=1).</w:t>
      </w:r>
    </w:p>
    <w:p>
      <w:pPr>
        <w:pStyle w:val="ListBullet"/>
        <w:spacing w:after="40"/>
      </w:pPr>
      <w:r>
        <w:rPr>
          <w:sz w:val="22"/>
        </w:rPr>
        <w:t>Mayoritas pelanggan berasal dari state SP (Sao Paulo).</w:t>
      </w:r>
    </w:p>
    <w:p>
      <w:pPr>
        <w:pStyle w:val="ListBullet"/>
        <w:spacing w:after="40"/>
      </w:pPr>
      <w:r>
        <w:rPr>
          <w:sz w:val="22"/>
        </w:rPr>
        <w:t>Volume order meningkat tajam dari Q1 2017 (tren positif).</w:t>
      </w:r>
    </w:p>
    <w:p>
      <w:pPr>
        <w:jc w:val="center"/>
      </w:pPr>
      <w:r>
        <w:drawing>
          <wp:inline xmlns:a="http://schemas.openxmlformats.org/drawingml/2006/main" xmlns:pic="http://schemas.openxmlformats.org/drawingml/2006/picture">
            <wp:extent cx="4680000" cy="1304539"/>
            <wp:docPr id="2" name="Picture 2"/>
            <wp:cNvGraphicFramePr>
              <a:graphicFrameLocks noChangeAspect="1"/>
            </wp:cNvGraphicFramePr>
            <a:graphic>
              <a:graphicData uri="http://schemas.openxmlformats.org/drawingml/2006/picture">
                <pic:pic>
                  <pic:nvPicPr>
                    <pic:cNvPr id="0" name="univariate_payment_value.png"/>
                    <pic:cNvPicPr/>
                  </pic:nvPicPr>
                  <pic:blipFill>
                    <a:blip r:embed="rId10"/>
                    <a:stretch>
                      <a:fillRect/>
                    </a:stretch>
                  </pic:blipFill>
                  <pic:spPr>
                    <a:xfrm>
                      <a:off x="0" y="0"/>
                      <a:ext cx="4680000" cy="1304539"/>
                    </a:xfrm>
                    <a:prstGeom prst="rect"/>
                  </pic:spPr>
                </pic:pic>
              </a:graphicData>
            </a:graphic>
          </wp:inline>
        </w:drawing>
      </w:r>
    </w:p>
    <w:p>
      <w:pPr>
        <w:spacing w:after="240"/>
        <w:jc w:val="center"/>
      </w:pPr>
      <w:r>
        <w:rPr>
          <w:i/>
          <w:color w:val="555555"/>
          <w:sz w:val="20"/>
        </w:rPr>
        <w:t>Gambar 4.1 — Distribusi payment_value (right-skewed)</w:t>
      </w:r>
    </w:p>
    <w:p>
      <w:pPr>
        <w:jc w:val="center"/>
      </w:pPr>
      <w:r>
        <w:drawing>
          <wp:inline xmlns:a="http://schemas.openxmlformats.org/drawingml/2006/main" xmlns:pic="http://schemas.openxmlformats.org/drawingml/2006/picture">
            <wp:extent cx="4680000" cy="3472644"/>
            <wp:docPr id="3" name="Picture 3"/>
            <wp:cNvGraphicFramePr>
              <a:graphicFrameLocks noChangeAspect="1"/>
            </wp:cNvGraphicFramePr>
            <a:graphic>
              <a:graphicData uri="http://schemas.openxmlformats.org/drawingml/2006/picture">
                <pic:pic>
                  <pic:nvPicPr>
                    <pic:cNvPr id="0" name="multivariate_corr_heatmap.png"/>
                    <pic:cNvPicPr/>
                  </pic:nvPicPr>
                  <pic:blipFill>
                    <a:blip r:embed="rId11"/>
                    <a:stretch>
                      <a:fillRect/>
                    </a:stretch>
                  </pic:blipFill>
                  <pic:spPr>
                    <a:xfrm>
                      <a:off x="0" y="0"/>
                      <a:ext cx="4680000" cy="3472644"/>
                    </a:xfrm>
                    <a:prstGeom prst="rect"/>
                  </pic:spPr>
                </pic:pic>
              </a:graphicData>
            </a:graphic>
          </wp:inline>
        </w:drawing>
      </w:r>
    </w:p>
    <w:p>
      <w:pPr>
        <w:spacing w:after="240"/>
        <w:jc w:val="center"/>
      </w:pPr>
      <w:r>
        <w:rPr>
          <w:i/>
          <w:color w:val="555555"/>
          <w:sz w:val="20"/>
        </w:rPr>
        <w:t>Gambar 4.2 — Correlation heatmap antar fitur numerik</w:t>
      </w:r>
    </w:p>
    <w:p>
      <w:pPr>
        <w:jc w:val="center"/>
      </w:pPr>
      <w:r>
        <w:drawing>
          <wp:inline xmlns:a="http://schemas.openxmlformats.org/drawingml/2006/main" xmlns:pic="http://schemas.openxmlformats.org/drawingml/2006/picture">
            <wp:extent cx="5040000" cy="1642167"/>
            <wp:docPr id="4" name="Picture 4"/>
            <wp:cNvGraphicFramePr>
              <a:graphicFrameLocks noChangeAspect="1"/>
            </wp:cNvGraphicFramePr>
            <a:graphic>
              <a:graphicData uri="http://schemas.openxmlformats.org/drawingml/2006/picture">
                <pic:pic>
                  <pic:nvPicPr>
                    <pic:cNvPr id="0" name="timeseries_orders_per_month.png"/>
                    <pic:cNvPicPr/>
                  </pic:nvPicPr>
                  <pic:blipFill>
                    <a:blip r:embed="rId12"/>
                    <a:stretch>
                      <a:fillRect/>
                    </a:stretch>
                  </pic:blipFill>
                  <pic:spPr>
                    <a:xfrm>
                      <a:off x="0" y="0"/>
                      <a:ext cx="5040000" cy="1642167"/>
                    </a:xfrm>
                    <a:prstGeom prst="rect"/>
                  </pic:spPr>
                </pic:pic>
              </a:graphicData>
            </a:graphic>
          </wp:inline>
        </w:drawing>
      </w:r>
    </w:p>
    <w:p>
      <w:pPr>
        <w:spacing w:after="240"/>
        <w:jc w:val="center"/>
      </w:pPr>
      <w:r>
        <w:rPr>
          <w:i/>
          <w:color w:val="555555"/>
          <w:sz w:val="20"/>
        </w:rPr>
        <w:t>Gambar 4.3 — Tren volume order per bulan (2016–2018)</w:t>
      </w:r>
    </w:p>
    <w:p>
      <w:pPr>
        <w:pStyle w:val="Heading2"/>
      </w:pPr>
      <w:r>
        <w:rPr>
          <w:color w:val="1F3A5F"/>
        </w:rPr>
        <w:t>4.3 Preprocessing (03_data_preprocessing.ipynb)</w:t>
      </w:r>
    </w:p>
    <w:p>
      <w:pPr>
        <w:spacing w:after="120"/>
        <w:ind w:left="283"/>
        <w:shd w:fill="F2F2F2"/>
      </w:pPr>
      <w:r>
        <w:rPr>
          <w:rFonts w:ascii="Consolas" w:hAnsi="Consolas"/>
          <w:sz w:val="18"/>
          <w:rFonts w:ascii="Consolas" w:hAnsi="Consolas" w:cs="Consolas"/>
        </w:rPr>
        <w:t># 1. Filter status delivered</w:t>
        <w:br/>
        <w:t>orders_d = orders[orders["order_status"] == "delivered"].copy()</w:t>
        <w:br/>
        <w:t>orders_d = orders_d.dropna(subset=["order_purchase_timestamp"])</w:t>
        <w:br/>
        <w:br/>
        <w:t># 2. Agregasi pembayaran per order</w:t>
        <w:br/>
        <w:t>pay_per_order = (payments.groupby("order_id", as_index=False)</w:t>
        <w:br/>
        <w:t xml:space="preserve">                 .agg(payment_value=("payment_value", "sum")))</w:t>
        <w:br/>
        <w:br/>
        <w:t># 3. Merge orders &lt;-&gt; customers &lt;-&gt; payments</w:t>
        <w:br/>
        <w:t>df = (orders_d</w:t>
        <w:br/>
        <w:t xml:space="preserve">      .merge(customers[["customer_id", "customer_unique_id"]], on="customer_id")</w:t>
        <w:br/>
        <w:t xml:space="preserve">      .merge(pay_per_order, on="order_id"))</w:t>
        <w:br/>
        <w:br/>
        <w:t># 4. Feature Engineering RFM</w:t>
        <w:br/>
        <w:t>snapshot_date = df["order_purchase_timestamp"].max() + pd.Timedelta(days=1)</w:t>
        <w:br/>
        <w:t>rfm = (df.groupby("customer_unique_id").agg(</w:t>
        <w:br/>
        <w:t xml:space="preserve">    Recency=("order_purchase_timestamp", lambda x: (snapshot_date - x.max()).days),</w:t>
        <w:br/>
        <w:t xml:space="preserve">    Frequency=("order_id", "nunique"),</w:t>
        <w:br/>
        <w:t xml:space="preserve">    Monetary=("payment_value", "sum")</w:t>
        <w:br/>
        <w:t>).reset_index())</w:t>
        <w:br/>
        <w:br/>
        <w:t># 5. Winsorize + Log transform</w:t>
        <w:br/>
        <w:t>rfm["Monetary_w"]   = winsorize(rfm["Monetary"], upper=0.99)</w:t>
        <w:br/>
        <w:t>rfm["Monetary_log"] = np.log1p(rfm["Monetary_w"])</w:t>
        <w:br/>
        <w:t>rfm["Frequency_log"] = np.log1p(winsorize(rfm["Frequency"], upper=0.99))</w:t>
        <w:br/>
        <w:br/>
        <w:t># 6. RFM Score (quintile)</w:t>
        <w:br/>
        <w:t>rfm["R_score"] = pd.qcut(rfm["Recency_w"].rank(method="first"), 5,</w:t>
        <w:br/>
        <w:t xml:space="preserve">                          labels=[5,4,3,2,1]).astype(int)</w:t>
      </w:r>
    </w:p>
    <w:p>
      <w:pPr>
        <w:spacing w:after="120"/>
      </w:pPr>
      <w:r>
        <w:rPr>
          <w:b/>
          <w:i w:val="0"/>
          <w:sz w:val="22"/>
        </w:rPr>
        <w:t>Analisa:</w:t>
      </w:r>
    </w:p>
    <w:p>
      <w:pPr>
        <w:pStyle w:val="ListBullet"/>
        <w:spacing w:after="40"/>
      </w:pPr>
      <w:r>
        <w:rPr>
          <w:sz w:val="22"/>
        </w:rPr>
        <w:t>customer_unique_id digunakan, bukan customer_id, karena di Olist customer_id unik per order, bukan per pelanggan.</w:t>
      </w:r>
    </w:p>
    <w:p>
      <w:pPr>
        <w:pStyle w:val="ListBullet"/>
        <w:spacing w:after="40"/>
      </w:pPr>
      <w:r>
        <w:rPr>
          <w:sz w:val="22"/>
        </w:rPr>
        <w:t>snapshot_date = max(timestamp) + 1 hari untuk menghindari Recency bernilai 0 yang ambigu.</w:t>
      </w:r>
    </w:p>
    <w:p>
      <w:pPr>
        <w:pStyle w:val="ListBullet"/>
        <w:spacing w:after="40"/>
      </w:pPr>
      <w:r>
        <w:rPr>
          <w:sz w:val="22"/>
        </w:rPr>
        <w:t>Winsorize 99% mengurangi pengaruh outlier ekstrem tanpa membuang data.</w:t>
      </w:r>
    </w:p>
    <w:p>
      <w:pPr>
        <w:pStyle w:val="ListBullet"/>
        <w:spacing w:after="40"/>
      </w:pPr>
      <w:r>
        <w:rPr>
          <w:sz w:val="22"/>
        </w:rPr>
        <w:t>Log transform mengatasi right-skewness Monetary &amp; Frequency.</w:t>
      </w:r>
    </w:p>
    <w:p>
      <w:pPr>
        <w:pStyle w:val="ListBullet"/>
        <w:spacing w:after="40"/>
      </w:pPr>
      <w:r>
        <w:rPr>
          <w:sz w:val="22"/>
        </w:rPr>
        <w:t>rank(method='first') pada qcut menangani nilai duplikat (banyak pelanggan Frequency=1) yang akan error tanpa rank.</w:t>
      </w:r>
    </w:p>
    <w:p>
      <w:pPr>
        <w:pStyle w:val="ListBullet"/>
        <w:spacing w:after="40"/>
      </w:pPr>
      <w:r>
        <w:rPr>
          <w:sz w:val="22"/>
        </w:rPr>
        <w:t>Output: 93.357 pelanggan unik dengan fitur RFM siap-modeling.</w:t>
      </w:r>
    </w:p>
    <w:p>
      <w:pPr>
        <w:jc w:val="center"/>
      </w:pPr>
      <w:r>
        <w:drawing>
          <wp:inline xmlns:a="http://schemas.openxmlformats.org/drawingml/2006/main" xmlns:pic="http://schemas.openxmlformats.org/drawingml/2006/picture">
            <wp:extent cx="5400000" cy="1305587"/>
            <wp:docPr id="5" name="Picture 5"/>
            <wp:cNvGraphicFramePr>
              <a:graphicFrameLocks noChangeAspect="1"/>
            </wp:cNvGraphicFramePr>
            <a:graphic>
              <a:graphicData uri="http://schemas.openxmlformats.org/drawingml/2006/picture">
                <pic:pic>
                  <pic:nvPicPr>
                    <pic:cNvPr id="0" name="rfm_distribution_raw.png"/>
                    <pic:cNvPicPr/>
                  </pic:nvPicPr>
                  <pic:blipFill>
                    <a:blip r:embed="rId13"/>
                    <a:stretch>
                      <a:fillRect/>
                    </a:stretch>
                  </pic:blipFill>
                  <pic:spPr>
                    <a:xfrm>
                      <a:off x="0" y="0"/>
                      <a:ext cx="5400000" cy="1305587"/>
                    </a:xfrm>
                    <a:prstGeom prst="rect"/>
                  </pic:spPr>
                </pic:pic>
              </a:graphicData>
            </a:graphic>
          </wp:inline>
        </w:drawing>
      </w:r>
    </w:p>
    <w:p>
      <w:pPr>
        <w:spacing w:after="240"/>
        <w:jc w:val="center"/>
      </w:pPr>
      <w:r>
        <w:rPr>
          <w:i/>
          <w:color w:val="555555"/>
          <w:sz w:val="20"/>
        </w:rPr>
        <w:t>Gambar 4.4 — Distribusi RFM sebelum transformasi (raw)</w:t>
      </w:r>
    </w:p>
    <w:p>
      <w:pPr>
        <w:jc w:val="center"/>
      </w:pPr>
      <w:r>
        <w:drawing>
          <wp:inline xmlns:a="http://schemas.openxmlformats.org/drawingml/2006/main" xmlns:pic="http://schemas.openxmlformats.org/drawingml/2006/picture">
            <wp:extent cx="5400000" cy="1315203"/>
            <wp:docPr id="6" name="Picture 6"/>
            <wp:cNvGraphicFramePr>
              <a:graphicFrameLocks noChangeAspect="1"/>
            </wp:cNvGraphicFramePr>
            <a:graphic>
              <a:graphicData uri="http://schemas.openxmlformats.org/drawingml/2006/picture">
                <pic:pic>
                  <pic:nvPicPr>
                    <pic:cNvPr id="0" name="rfm_distribution_transformed.png"/>
                    <pic:cNvPicPr/>
                  </pic:nvPicPr>
                  <pic:blipFill>
                    <a:blip r:embed="rId14"/>
                    <a:stretch>
                      <a:fillRect/>
                    </a:stretch>
                  </pic:blipFill>
                  <pic:spPr>
                    <a:xfrm>
                      <a:off x="0" y="0"/>
                      <a:ext cx="5400000" cy="1315203"/>
                    </a:xfrm>
                    <a:prstGeom prst="rect"/>
                  </pic:spPr>
                </pic:pic>
              </a:graphicData>
            </a:graphic>
          </wp:inline>
        </w:drawing>
      </w:r>
    </w:p>
    <w:p>
      <w:pPr>
        <w:spacing w:after="240"/>
        <w:jc w:val="center"/>
      </w:pPr>
      <w:r>
        <w:rPr>
          <w:i/>
          <w:color w:val="555555"/>
          <w:sz w:val="20"/>
        </w:rPr>
        <w:t>Gambar 4.5 — Distribusi RFM setelah winsorize + log transform</w:t>
      </w:r>
    </w:p>
    <w:p>
      <w:pPr>
        <w:pStyle w:val="Heading2"/>
      </w:pPr>
      <w:r>
        <w:rPr>
          <w:color w:val="1F3A5F"/>
        </w:rPr>
        <w:t>4.4 Modeling (04_rfm_kmeans_modeling.ipynb)</w:t>
      </w:r>
    </w:p>
    <w:p>
      <w:pPr>
        <w:spacing w:after="120"/>
        <w:ind w:left="283"/>
        <w:shd w:fill="F2F2F2"/>
      </w:pPr>
      <w:r>
        <w:rPr>
          <w:rFonts w:ascii="Consolas" w:hAnsi="Consolas"/>
          <w:sz w:val="18"/>
          <w:rFonts w:ascii="Consolas" w:hAnsi="Consolas" w:cs="Consolas"/>
        </w:rPr>
        <w:t># 1. Standardisasi</w:t>
        <w:br/>
        <w:t>feature_cols = ["Recency_w", "Frequency_log", "Monetary_log"]</w:t>
        <w:br/>
        <w:t>X = rfm[feature_cols].values</w:t>
        <w:br/>
        <w:t>scaler = StandardScaler()</w:t>
        <w:br/>
        <w:t>X_scaled = scaler.fit_transform(X)</w:t>
        <w:br/>
        <w:br/>
        <w:t># 2. Pemilihan k optimal (k=2..10)</w:t>
        <w:br/>
        <w:t>for k in range(2, 11):</w:t>
        <w:br/>
        <w:t xml:space="preserve">    km = KMeans(n_clusters=k, n_init=10, random_state=42)</w:t>
        <w:br/>
        <w:t xml:space="preserve">    labels = km.fit_predict(X_scaled)</w:t>
        <w:br/>
        <w:t xml:space="preserve">    inertias.append(km.inertia_)</w:t>
        <w:br/>
        <w:t xml:space="preserve">    sil_scores.append(silhouette_score(X_scaled, labels, sample_size=10000))</w:t>
        <w:br/>
        <w:t xml:space="preserve">    db_scores.append(davies_bouldin_score(X_scaled, labels))</w:t>
        <w:br/>
        <w:br/>
        <w:t># 3. Fit final dengan k=4</w:t>
        <w:br/>
        <w:t>kmeans = KMeans(n_clusters=4, n_init=20, max_iter=300, random_state=42)</w:t>
        <w:br/>
        <w:t>rfm["Cluster"] = kmeans.fit_predict(X_scaled)</w:t>
        <w:br/>
        <w:br/>
        <w:t># 4. Simpan model + scaler</w:t>
        <w:br/>
        <w:t>joblib.dump({"scaler": scaler, "kmeans": kmeans,</w:t>
        <w:br/>
        <w:t xml:space="preserve">             "feature_cols": feature_cols}, "models/kmeans_rfm.pkl")</w:t>
      </w:r>
    </w:p>
    <w:p>
      <w:pPr>
        <w:spacing w:after="120"/>
      </w:pPr>
      <w:r>
        <w:rPr>
          <w:b/>
          <w:i w:val="0"/>
          <w:sz w:val="22"/>
        </w:rPr>
        <w:t>Analisa:</w:t>
      </w:r>
    </w:p>
    <w:p>
      <w:pPr>
        <w:pStyle w:val="ListBullet"/>
        <w:spacing w:after="40"/>
      </w:pPr>
      <w:r>
        <w:rPr>
          <w:sz w:val="22"/>
        </w:rPr>
        <w:t>StandardScaler penting karena K-Means berbasis Euclidean distance — tanpa standardisasi, Monetary akan mendominasi.</w:t>
      </w:r>
    </w:p>
    <w:p>
      <w:pPr>
        <w:pStyle w:val="ListBullet"/>
        <w:spacing w:after="40"/>
      </w:pPr>
      <w:r>
        <w:rPr>
          <w:sz w:val="22"/>
        </w:rPr>
        <w:t>n_init=20 menjalankan K-Means 20 kali dengan inisialisasi berbeda untuk menghindari local optimum.</w:t>
      </w:r>
    </w:p>
    <w:p>
      <w:pPr>
        <w:pStyle w:val="ListBullet"/>
        <w:spacing w:after="40"/>
      </w:pPr>
      <w:r>
        <w:rPr>
          <w:sz w:val="22"/>
        </w:rPr>
        <w:t>random_state=42 memastikan hasil reproducible.</w:t>
      </w:r>
    </w:p>
    <w:p>
      <w:pPr>
        <w:pStyle w:val="ListBullet"/>
        <w:spacing w:after="40"/>
      </w:pPr>
      <w:r>
        <w:rPr>
          <w:sz w:val="22"/>
        </w:rPr>
        <w:t>Tiga metrik (Elbow, Silhouette, Davies-Bouldin) digunakan bersamaan untuk pemilihan k yang lebih robust.</w:t>
      </w:r>
    </w:p>
    <w:p>
      <w:pPr>
        <w:pStyle w:val="ListBullet"/>
        <w:spacing w:after="40"/>
      </w:pPr>
      <w:r>
        <w:rPr>
          <w:sz w:val="22"/>
        </w:rPr>
        <w:t>Model disimpan via joblib (idiomatic untuk objek sklearn).</w:t>
      </w:r>
    </w:p>
    <w:p>
      <w:pPr>
        <w:jc w:val="center"/>
      </w:pPr>
      <w:r>
        <w:drawing>
          <wp:inline xmlns:a="http://schemas.openxmlformats.org/drawingml/2006/main" xmlns:pic="http://schemas.openxmlformats.org/drawingml/2006/picture">
            <wp:extent cx="5400000" cy="1315203"/>
            <wp:docPr id="7" name="Picture 7"/>
            <wp:cNvGraphicFramePr>
              <a:graphicFrameLocks noChangeAspect="1"/>
            </wp:cNvGraphicFramePr>
            <a:graphic>
              <a:graphicData uri="http://schemas.openxmlformats.org/drawingml/2006/picture">
                <pic:pic>
                  <pic:nvPicPr>
                    <pic:cNvPr id="0" name="kmeans_k_selection.png"/>
                    <pic:cNvPicPr/>
                  </pic:nvPicPr>
                  <pic:blipFill>
                    <a:blip r:embed="rId15"/>
                    <a:stretch>
                      <a:fillRect/>
                    </a:stretch>
                  </pic:blipFill>
                  <pic:spPr>
                    <a:xfrm>
                      <a:off x="0" y="0"/>
                      <a:ext cx="5400000" cy="1315203"/>
                    </a:xfrm>
                    <a:prstGeom prst="rect"/>
                  </pic:spPr>
                </pic:pic>
              </a:graphicData>
            </a:graphic>
          </wp:inline>
        </w:drawing>
      </w:r>
    </w:p>
    <w:p>
      <w:pPr>
        <w:spacing w:after="240"/>
        <w:jc w:val="center"/>
      </w:pPr>
      <w:r>
        <w:rPr>
          <w:i/>
          <w:color w:val="555555"/>
          <w:sz w:val="20"/>
        </w:rPr>
        <w:t>Gambar 4.6 — Pemilihan k optimal: Elbow + Silhouette + Davies-Bouldin</w:t>
      </w:r>
    </w:p>
    <w:p>
      <w:pPr>
        <w:pStyle w:val="Heading2"/>
      </w:pPr>
      <w:r>
        <w:rPr>
          <w:color w:val="1F3A5F"/>
        </w:rPr>
        <w:t>4.5 Evaluasi</w:t>
      </w:r>
    </w:p>
    <w:p>
      <w:pPr>
        <w:spacing w:after="120"/>
      </w:pPr>
      <w:r>
        <w:rPr>
          <w:b/>
          <w:i w:val="0"/>
          <w:sz w:val="22"/>
        </w:rPr>
        <w:t>Metrik Kuantitatif:</w:t>
      </w:r>
    </w:p>
    <w:tbl>
      <w:tblPr>
        <w:tblStyle w:val="LightGrid-Accent1"/>
        <w:tblW w:type="auto" w:w="0"/>
        <w:tblLook w:firstColumn="1" w:firstRow="1" w:lastColumn="0" w:lastRow="0" w:noHBand="0" w:noVBand="1" w:val="04A0"/>
      </w:tblPr>
      <w:tblGrid>
        <w:gridCol w:w="3135"/>
        <w:gridCol w:w="3135"/>
        <w:gridCol w:w="3135"/>
      </w:tblGrid>
      <w:tr>
        <w:tc>
          <w:tcPr>
            <w:tcW w:type="dxa" w:w="2268"/>
            <w:shd w:fill="1F3A5F"/>
            <w:vAlign w:val="center"/>
          </w:tcPr>
          <w:p>
            <w:r/>
            <w:r>
              <w:rPr>
                <w:b/>
                <w:color w:val="FFFFFF"/>
                <w:sz w:val="20"/>
              </w:rPr>
              <w:t>Metrik</w:t>
            </w:r>
          </w:p>
        </w:tc>
        <w:tc>
          <w:tcPr>
            <w:tcW w:type="dxa" w:w="1417"/>
            <w:shd w:fill="1F3A5F"/>
            <w:vAlign w:val="center"/>
          </w:tcPr>
          <w:p>
            <w:r/>
            <w:r>
              <w:rPr>
                <w:b/>
                <w:color w:val="FFFFFF"/>
                <w:sz w:val="20"/>
              </w:rPr>
              <w:t>Nilai</w:t>
            </w:r>
          </w:p>
        </w:tc>
        <w:tc>
          <w:tcPr>
            <w:tcW w:type="dxa" w:w="5102"/>
            <w:shd w:fill="1F3A5F"/>
            <w:vAlign w:val="center"/>
          </w:tcPr>
          <w:p>
            <w:r/>
            <w:r>
              <w:rPr>
                <w:b/>
                <w:color w:val="FFFFFF"/>
                <w:sz w:val="20"/>
              </w:rPr>
              <w:t>Interpretasi</w:t>
            </w:r>
          </w:p>
        </w:tc>
      </w:tr>
      <w:tr>
        <w:tc>
          <w:tcPr>
            <w:tcW w:type="dxa" w:w="2268"/>
            <w:vAlign w:val="center"/>
          </w:tcPr>
          <w:p>
            <w:r/>
            <w:r>
              <w:rPr>
                <w:sz w:val="20"/>
              </w:rPr>
              <w:t>Silhouette Score</w:t>
            </w:r>
          </w:p>
        </w:tc>
        <w:tc>
          <w:tcPr>
            <w:tcW w:type="dxa" w:w="1417"/>
            <w:vAlign w:val="center"/>
          </w:tcPr>
          <w:p>
            <w:r/>
            <w:r>
              <w:rPr>
                <w:sz w:val="20"/>
              </w:rPr>
              <w:t>0.372</w:t>
            </w:r>
          </w:p>
        </w:tc>
        <w:tc>
          <w:tcPr>
            <w:tcW w:type="dxa" w:w="5102"/>
            <w:vAlign w:val="center"/>
          </w:tcPr>
          <w:p>
            <w:r/>
            <w:r>
              <w:rPr>
                <w:sz w:val="20"/>
              </w:rPr>
              <w:t>Moderat — wajar untuk data perilaku pelanggan</w:t>
            </w:r>
          </w:p>
        </w:tc>
      </w:tr>
      <w:tr>
        <w:tc>
          <w:tcPr>
            <w:tcW w:type="dxa" w:w="2268"/>
            <w:vAlign w:val="center"/>
          </w:tcPr>
          <w:p>
            <w:r/>
            <w:r>
              <w:rPr>
                <w:sz w:val="20"/>
              </w:rPr>
              <w:t>Davies-Bouldin Index</w:t>
            </w:r>
          </w:p>
        </w:tc>
        <w:tc>
          <w:tcPr>
            <w:tcW w:type="dxa" w:w="1417"/>
            <w:vAlign w:val="center"/>
          </w:tcPr>
          <w:p>
            <w:r/>
            <w:r>
              <w:rPr>
                <w:sz w:val="20"/>
              </w:rPr>
              <w:t>0.763</w:t>
            </w:r>
          </w:p>
        </w:tc>
        <w:tc>
          <w:tcPr>
            <w:tcW w:type="dxa" w:w="5102"/>
            <w:vAlign w:val="center"/>
          </w:tcPr>
          <w:p>
            <w:r/>
            <w:r>
              <w:rPr>
                <w:sz w:val="20"/>
              </w:rPr>
              <w:t>&lt; 1 → separasi cluster baik</w:t>
            </w:r>
          </w:p>
        </w:tc>
      </w:tr>
      <w:tr>
        <w:tc>
          <w:tcPr>
            <w:tcW w:type="dxa" w:w="2268"/>
            <w:vAlign w:val="center"/>
          </w:tcPr>
          <w:p>
            <w:r/>
            <w:r>
              <w:rPr>
                <w:sz w:val="20"/>
              </w:rPr>
              <w:t>Inertia</w:t>
            </w:r>
          </w:p>
        </w:tc>
        <w:tc>
          <w:tcPr>
            <w:tcW w:type="dxa" w:w="1417"/>
            <w:vAlign w:val="center"/>
          </w:tcPr>
          <w:p>
            <w:r/>
            <w:r>
              <w:rPr>
                <w:sz w:val="20"/>
              </w:rPr>
              <w:t>79.016</w:t>
            </w:r>
          </w:p>
        </w:tc>
        <w:tc>
          <w:tcPr>
            <w:tcW w:type="dxa" w:w="5102"/>
            <w:vAlign w:val="center"/>
          </w:tcPr>
          <w:p>
            <w:r/>
            <w:r>
              <w:rPr>
                <w:sz w:val="20"/>
              </w:rPr>
              <w:t>Untuk elbow comparison</w:t>
            </w:r>
          </w:p>
        </w:tc>
      </w:tr>
      <w:tr>
        <w:tc>
          <w:tcPr>
            <w:tcW w:type="dxa" w:w="2268"/>
            <w:vAlign w:val="center"/>
          </w:tcPr>
          <w:p>
            <w:r/>
            <w:r>
              <w:rPr>
                <w:sz w:val="20"/>
              </w:rPr>
              <w:t>n_samples</w:t>
            </w:r>
          </w:p>
        </w:tc>
        <w:tc>
          <w:tcPr>
            <w:tcW w:type="dxa" w:w="1417"/>
            <w:vAlign w:val="center"/>
          </w:tcPr>
          <w:p>
            <w:r/>
            <w:r>
              <w:rPr>
                <w:sz w:val="20"/>
              </w:rPr>
              <w:t>93.357</w:t>
            </w:r>
          </w:p>
        </w:tc>
        <w:tc>
          <w:tcPr>
            <w:tcW w:type="dxa" w:w="5102"/>
            <w:vAlign w:val="center"/>
          </w:tcPr>
          <w:p>
            <w:r/>
            <w:r>
              <w:rPr>
                <w:sz w:val="20"/>
              </w:rPr>
              <w:t>Coverage pelanggan</w:t>
            </w:r>
          </w:p>
        </w:tc>
      </w:tr>
    </w:tbl>
    <w:p/>
    <w:p>
      <w:pPr>
        <w:spacing w:after="120"/>
      </w:pPr>
      <w:r>
        <w:rPr>
          <w:b/>
          <w:i w:val="0"/>
          <w:sz w:val="22"/>
        </w:rPr>
        <w:t>Profil 4 Cluster Hasil Akhir:</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850"/>
            <w:shd w:fill="1F3A5F"/>
            <w:vAlign w:val="center"/>
          </w:tcPr>
          <w:p>
            <w:r/>
            <w:r>
              <w:rPr>
                <w:b/>
                <w:color w:val="FFFFFF"/>
                <w:sz w:val="20"/>
              </w:rPr>
              <w:t>Cluster</w:t>
            </w:r>
          </w:p>
        </w:tc>
        <w:tc>
          <w:tcPr>
            <w:tcW w:type="dxa" w:w="1984"/>
            <w:shd w:fill="1F3A5F"/>
            <w:vAlign w:val="center"/>
          </w:tcPr>
          <w:p>
            <w:r/>
            <w:r>
              <w:rPr>
                <w:b/>
                <w:color w:val="FFFFFF"/>
                <w:sz w:val="20"/>
              </w:rPr>
              <w:t>Segment</w:t>
            </w:r>
          </w:p>
        </w:tc>
        <w:tc>
          <w:tcPr>
            <w:tcW w:type="dxa" w:w="1134"/>
            <w:shd w:fill="1F3A5F"/>
            <w:vAlign w:val="center"/>
          </w:tcPr>
          <w:p>
            <w:r/>
            <w:r>
              <w:rPr>
                <w:b/>
                <w:color w:val="FFFFFF"/>
                <w:sz w:val="20"/>
              </w:rPr>
              <w:t>n</w:t>
            </w:r>
          </w:p>
        </w:tc>
        <w:tc>
          <w:tcPr>
            <w:tcW w:type="dxa" w:w="1020"/>
            <w:shd w:fill="1F3A5F"/>
            <w:vAlign w:val="center"/>
          </w:tcPr>
          <w:p>
            <w:r/>
            <w:r>
              <w:rPr>
                <w:b/>
                <w:color w:val="FFFFFF"/>
                <w:sz w:val="20"/>
              </w:rPr>
              <w:t>%</w:t>
            </w:r>
          </w:p>
        </w:tc>
        <w:tc>
          <w:tcPr>
            <w:tcW w:type="dxa" w:w="1134"/>
            <w:shd w:fill="1F3A5F"/>
            <w:vAlign w:val="center"/>
          </w:tcPr>
          <w:p>
            <w:r/>
            <w:r>
              <w:rPr>
                <w:b/>
                <w:color w:val="FFFFFF"/>
                <w:sz w:val="20"/>
              </w:rPr>
              <w:t>Recency</w:t>
            </w:r>
          </w:p>
        </w:tc>
        <w:tc>
          <w:tcPr>
            <w:tcW w:type="dxa" w:w="1134"/>
            <w:shd w:fill="1F3A5F"/>
            <w:vAlign w:val="center"/>
          </w:tcPr>
          <w:p>
            <w:r/>
            <w:r>
              <w:rPr>
                <w:b/>
                <w:color w:val="FFFFFF"/>
                <w:sz w:val="20"/>
              </w:rPr>
              <w:t>Frequency</w:t>
            </w:r>
          </w:p>
        </w:tc>
        <w:tc>
          <w:tcPr>
            <w:tcW w:type="dxa" w:w="1417"/>
            <w:shd w:fill="1F3A5F"/>
            <w:vAlign w:val="center"/>
          </w:tcPr>
          <w:p>
            <w:r/>
            <w:r>
              <w:rPr>
                <w:b/>
                <w:color w:val="FFFFFF"/>
                <w:sz w:val="20"/>
              </w:rPr>
              <w:t>Monetary (R$)</w:t>
            </w:r>
          </w:p>
        </w:tc>
      </w:tr>
      <w:tr>
        <w:tc>
          <w:tcPr>
            <w:tcW w:type="dxa" w:w="850"/>
            <w:vAlign w:val="center"/>
          </w:tcPr>
          <w:p>
            <w:r/>
            <w:r>
              <w:rPr>
                <w:sz w:val="20"/>
              </w:rPr>
              <w:t>0</w:t>
            </w:r>
          </w:p>
        </w:tc>
        <w:tc>
          <w:tcPr>
            <w:tcW w:type="dxa" w:w="1984"/>
            <w:vAlign w:val="center"/>
          </w:tcPr>
          <w:p>
            <w:r/>
            <w:r>
              <w:rPr>
                <w:sz w:val="20"/>
              </w:rPr>
              <w:t>Loyal Customers</w:t>
            </w:r>
          </w:p>
        </w:tc>
        <w:tc>
          <w:tcPr>
            <w:tcW w:type="dxa" w:w="1134"/>
            <w:vAlign w:val="center"/>
          </w:tcPr>
          <w:p>
            <w:r/>
            <w:r>
              <w:rPr>
                <w:sz w:val="20"/>
              </w:rPr>
              <w:t>35.247</w:t>
            </w:r>
          </w:p>
        </w:tc>
        <w:tc>
          <w:tcPr>
            <w:tcW w:type="dxa" w:w="1020"/>
            <w:vAlign w:val="center"/>
          </w:tcPr>
          <w:p>
            <w:r/>
            <w:r>
              <w:rPr>
                <w:sz w:val="20"/>
              </w:rPr>
              <w:t>37,76%</w:t>
            </w:r>
          </w:p>
        </w:tc>
        <w:tc>
          <w:tcPr>
            <w:tcW w:type="dxa" w:w="1134"/>
            <w:vAlign w:val="center"/>
          </w:tcPr>
          <w:p>
            <w:r/>
            <w:r>
              <w:rPr>
                <w:sz w:val="20"/>
              </w:rPr>
              <w:t>147 hari</w:t>
            </w:r>
          </w:p>
        </w:tc>
        <w:tc>
          <w:tcPr>
            <w:tcW w:type="dxa" w:w="1134"/>
            <w:vAlign w:val="center"/>
          </w:tcPr>
          <w:p>
            <w:r/>
            <w:r>
              <w:rPr>
                <w:sz w:val="20"/>
              </w:rPr>
              <w:t>1,00</w:t>
            </w:r>
          </w:p>
        </w:tc>
        <w:tc>
          <w:tcPr>
            <w:tcW w:type="dxa" w:w="1417"/>
            <w:vAlign w:val="center"/>
          </w:tcPr>
          <w:p>
            <w:r/>
            <w:r>
              <w:rPr>
                <w:sz w:val="20"/>
              </w:rPr>
              <w:t>68,52</w:t>
            </w:r>
          </w:p>
        </w:tc>
      </w:tr>
      <w:tr>
        <w:tc>
          <w:tcPr>
            <w:tcW w:type="dxa" w:w="850"/>
            <w:vAlign w:val="center"/>
          </w:tcPr>
          <w:p>
            <w:r/>
            <w:r>
              <w:rPr>
                <w:sz w:val="20"/>
              </w:rPr>
              <w:t>1</w:t>
            </w:r>
          </w:p>
        </w:tc>
        <w:tc>
          <w:tcPr>
            <w:tcW w:type="dxa" w:w="1984"/>
            <w:vAlign w:val="center"/>
          </w:tcPr>
          <w:p>
            <w:r/>
            <w:r>
              <w:rPr>
                <w:sz w:val="20"/>
              </w:rPr>
              <w:t>Hibernating / Lost</w:t>
            </w:r>
          </w:p>
        </w:tc>
        <w:tc>
          <w:tcPr>
            <w:tcW w:type="dxa" w:w="1134"/>
            <w:vAlign w:val="center"/>
          </w:tcPr>
          <w:p>
            <w:r/>
            <w:r>
              <w:rPr>
                <w:sz w:val="20"/>
              </w:rPr>
              <w:t>27.153</w:t>
            </w:r>
          </w:p>
        </w:tc>
        <w:tc>
          <w:tcPr>
            <w:tcW w:type="dxa" w:w="1020"/>
            <w:vAlign w:val="center"/>
          </w:tcPr>
          <w:p>
            <w:r/>
            <w:r>
              <w:rPr>
                <w:sz w:val="20"/>
              </w:rPr>
              <w:t>29,09%</w:t>
            </w:r>
          </w:p>
        </w:tc>
        <w:tc>
          <w:tcPr>
            <w:tcW w:type="dxa" w:w="1134"/>
            <w:vAlign w:val="center"/>
          </w:tcPr>
          <w:p>
            <w:r/>
            <w:r>
              <w:rPr>
                <w:sz w:val="20"/>
              </w:rPr>
              <w:t>425 hari</w:t>
            </w:r>
          </w:p>
        </w:tc>
        <w:tc>
          <w:tcPr>
            <w:tcW w:type="dxa" w:w="1134"/>
            <w:vAlign w:val="center"/>
          </w:tcPr>
          <w:p>
            <w:r/>
            <w:r>
              <w:rPr>
                <w:sz w:val="20"/>
              </w:rPr>
              <w:t>1,00</w:t>
            </w:r>
          </w:p>
        </w:tc>
        <w:tc>
          <w:tcPr>
            <w:tcW w:type="dxa" w:w="1417"/>
            <w:vAlign w:val="center"/>
          </w:tcPr>
          <w:p>
            <w:r/>
            <w:r>
              <w:rPr>
                <w:sz w:val="20"/>
              </w:rPr>
              <w:t>120,24</w:t>
            </w:r>
          </w:p>
        </w:tc>
      </w:tr>
      <w:tr>
        <w:tc>
          <w:tcPr>
            <w:tcW w:type="dxa" w:w="850"/>
            <w:vAlign w:val="center"/>
          </w:tcPr>
          <w:p>
            <w:r/>
            <w:r>
              <w:rPr>
                <w:sz w:val="20"/>
              </w:rPr>
              <w:t>2</w:t>
            </w:r>
          </w:p>
        </w:tc>
        <w:tc>
          <w:tcPr>
            <w:tcW w:type="dxa" w:w="1984"/>
            <w:vAlign w:val="center"/>
          </w:tcPr>
          <w:p>
            <w:r/>
            <w:r>
              <w:rPr>
                <w:sz w:val="20"/>
              </w:rPr>
              <w:t>At Risk</w:t>
            </w:r>
          </w:p>
        </w:tc>
        <w:tc>
          <w:tcPr>
            <w:tcW w:type="dxa" w:w="1134"/>
            <w:vAlign w:val="center"/>
          </w:tcPr>
          <w:p>
            <w:r/>
            <w:r>
              <w:rPr>
                <w:sz w:val="20"/>
              </w:rPr>
              <w:t>2.801</w:t>
            </w:r>
          </w:p>
        </w:tc>
        <w:tc>
          <w:tcPr>
            <w:tcW w:type="dxa" w:w="1020"/>
            <w:vAlign w:val="center"/>
          </w:tcPr>
          <w:p>
            <w:r/>
            <w:r>
              <w:rPr>
                <w:sz w:val="20"/>
              </w:rPr>
              <w:t>3,00%</w:t>
            </w:r>
          </w:p>
        </w:tc>
        <w:tc>
          <w:tcPr>
            <w:tcW w:type="dxa" w:w="1134"/>
            <w:vAlign w:val="center"/>
          </w:tcPr>
          <w:p>
            <w:r/>
            <w:r>
              <w:rPr>
                <w:sz w:val="20"/>
              </w:rPr>
              <w:t>220 hari</w:t>
            </w:r>
          </w:p>
        </w:tc>
        <w:tc>
          <w:tcPr>
            <w:tcW w:type="dxa" w:w="1134"/>
            <w:vAlign w:val="center"/>
          </w:tcPr>
          <w:p>
            <w:r/>
            <w:r>
              <w:rPr>
                <w:sz w:val="20"/>
              </w:rPr>
              <w:t>2,11</w:t>
            </w:r>
          </w:p>
        </w:tc>
        <w:tc>
          <w:tcPr>
            <w:tcW w:type="dxa" w:w="1417"/>
            <w:vAlign w:val="center"/>
          </w:tcPr>
          <w:p>
            <w:r/>
            <w:r>
              <w:rPr>
                <w:sz w:val="20"/>
              </w:rPr>
              <w:t>308,59</w:t>
            </w:r>
          </w:p>
        </w:tc>
      </w:tr>
      <w:tr>
        <w:tc>
          <w:tcPr>
            <w:tcW w:type="dxa" w:w="850"/>
            <w:vAlign w:val="center"/>
          </w:tcPr>
          <w:p>
            <w:r/>
            <w:r>
              <w:rPr>
                <w:sz w:val="20"/>
              </w:rPr>
              <w:t>3</w:t>
            </w:r>
          </w:p>
        </w:tc>
        <w:tc>
          <w:tcPr>
            <w:tcW w:type="dxa" w:w="1984"/>
            <w:vAlign w:val="center"/>
          </w:tcPr>
          <w:p>
            <w:r/>
            <w:r>
              <w:rPr>
                <w:sz w:val="20"/>
              </w:rPr>
              <w:t>Champions</w:t>
            </w:r>
          </w:p>
        </w:tc>
        <w:tc>
          <w:tcPr>
            <w:tcW w:type="dxa" w:w="1134"/>
            <w:vAlign w:val="center"/>
          </w:tcPr>
          <w:p>
            <w:r/>
            <w:r>
              <w:rPr>
                <w:sz w:val="20"/>
              </w:rPr>
              <w:t>28.156</w:t>
            </w:r>
          </w:p>
        </w:tc>
        <w:tc>
          <w:tcPr>
            <w:tcW w:type="dxa" w:w="1020"/>
            <w:vAlign w:val="center"/>
          </w:tcPr>
          <w:p>
            <w:r/>
            <w:r>
              <w:rPr>
                <w:sz w:val="20"/>
              </w:rPr>
              <w:t>30,16%</w:t>
            </w:r>
          </w:p>
        </w:tc>
        <w:tc>
          <w:tcPr>
            <w:tcW w:type="dxa" w:w="1134"/>
            <w:vAlign w:val="center"/>
          </w:tcPr>
          <w:p>
            <w:r/>
            <w:r>
              <w:rPr>
                <w:sz w:val="20"/>
              </w:rPr>
              <w:t>173 hari</w:t>
            </w:r>
          </w:p>
        </w:tc>
        <w:tc>
          <w:tcPr>
            <w:tcW w:type="dxa" w:w="1134"/>
            <w:vAlign w:val="center"/>
          </w:tcPr>
          <w:p>
            <w:r/>
            <w:r>
              <w:rPr>
                <w:sz w:val="20"/>
              </w:rPr>
              <w:t>1,00</w:t>
            </w:r>
          </w:p>
        </w:tc>
        <w:tc>
          <w:tcPr>
            <w:tcW w:type="dxa" w:w="1417"/>
            <w:vAlign w:val="center"/>
          </w:tcPr>
          <w:p>
            <w:r/>
            <w:r>
              <w:rPr>
                <w:sz w:val="20"/>
              </w:rPr>
              <w:t>315,31</w:t>
            </w:r>
          </w:p>
        </w:tc>
      </w:tr>
    </w:tbl>
    <w:p/>
    <w:p>
      <w:pPr>
        <w:spacing w:after="120"/>
      </w:pPr>
      <w:r>
        <w:rPr>
          <w:b/>
          <w:i w:val="0"/>
          <w:sz w:val="22"/>
        </w:rPr>
        <w:t>Analisa Hasil:</w:t>
      </w:r>
    </w:p>
    <w:p>
      <w:pPr>
        <w:pStyle w:val="ListBullet"/>
        <w:spacing w:after="40"/>
      </w:pPr>
      <w:r>
        <w:rPr>
          <w:sz w:val="22"/>
        </w:rPr>
        <w:t>Silhouette 0,372 wajar untuk data RFM real-world karena perilaku pelanggan kontinu (tidak ada batas tegas antar segmen).</w:t>
      </w:r>
    </w:p>
    <w:p>
      <w:pPr>
        <w:pStyle w:val="ListBullet"/>
        <w:spacing w:after="40"/>
      </w:pPr>
      <w:r>
        <w:rPr>
          <w:sz w:val="22"/>
        </w:rPr>
        <w:t>Davies-Bouldin 0,76 &lt; 1 menunjukkan separasi cluster sudah baik.</w:t>
      </w:r>
    </w:p>
    <w:p>
      <w:pPr>
        <w:pStyle w:val="ListBullet"/>
        <w:spacing w:after="40"/>
      </w:pPr>
      <w:r>
        <w:rPr>
          <w:sz w:val="22"/>
        </w:rPr>
        <w:t>Segmen At Risk hanya 3% tapi memiliki Monetary &amp; Frequency tertinggi → segmen kecil-bernilai-tinggi yang harus diprioritaskan untuk win-back campaign.</w:t>
      </w:r>
    </w:p>
    <w:p>
      <w:pPr>
        <w:pStyle w:val="ListBullet"/>
        <w:spacing w:after="40"/>
      </w:pPr>
      <w:r>
        <w:rPr>
          <w:sz w:val="22"/>
        </w:rPr>
        <w:t>Labeling segmen dibuat data-driven berbasis median antar cluster, sehingga keempat label pasti tercapai.</w:t>
      </w:r>
    </w:p>
    <w:p>
      <w:pPr>
        <w:jc w:val="center"/>
      </w:pPr>
      <w:r>
        <w:drawing>
          <wp:inline xmlns:a="http://schemas.openxmlformats.org/drawingml/2006/main" xmlns:pic="http://schemas.openxmlformats.org/drawingml/2006/picture">
            <wp:extent cx="5040000" cy="2782500"/>
            <wp:docPr id="8" name="Picture 8"/>
            <wp:cNvGraphicFramePr>
              <a:graphicFrameLocks noChangeAspect="1"/>
            </wp:cNvGraphicFramePr>
            <a:graphic>
              <a:graphicData uri="http://schemas.openxmlformats.org/drawingml/2006/picture">
                <pic:pic>
                  <pic:nvPicPr>
                    <pic:cNvPr id="0" name="cluster_snake_plot.png"/>
                    <pic:cNvPicPr/>
                  </pic:nvPicPr>
                  <pic:blipFill>
                    <a:blip r:embed="rId16"/>
                    <a:stretch>
                      <a:fillRect/>
                    </a:stretch>
                  </pic:blipFill>
                  <pic:spPr>
                    <a:xfrm>
                      <a:off x="0" y="0"/>
                      <a:ext cx="5040000" cy="2782500"/>
                    </a:xfrm>
                    <a:prstGeom prst="rect"/>
                  </pic:spPr>
                </pic:pic>
              </a:graphicData>
            </a:graphic>
          </wp:inline>
        </w:drawing>
      </w:r>
    </w:p>
    <w:p>
      <w:pPr>
        <w:spacing w:after="240"/>
        <w:jc w:val="center"/>
      </w:pPr>
      <w:r>
        <w:rPr>
          <w:i/>
          <w:color w:val="555555"/>
          <w:sz w:val="20"/>
        </w:rPr>
        <w:t>Gambar 4.7 — Snake plot: profil standardized RFM per cluster</w:t>
      </w:r>
    </w:p>
    <w:p>
      <w:pPr>
        <w:jc w:val="center"/>
      </w:pPr>
      <w:r>
        <w:drawing>
          <wp:inline xmlns:a="http://schemas.openxmlformats.org/drawingml/2006/main" xmlns:pic="http://schemas.openxmlformats.org/drawingml/2006/picture">
            <wp:extent cx="4320000" cy="3227375"/>
            <wp:docPr id="9" name="Picture 9"/>
            <wp:cNvGraphicFramePr>
              <a:graphicFrameLocks noChangeAspect="1"/>
            </wp:cNvGraphicFramePr>
            <a:graphic>
              <a:graphicData uri="http://schemas.openxmlformats.org/drawingml/2006/picture">
                <pic:pic>
                  <pic:nvPicPr>
                    <pic:cNvPr id="0" name="cluster_pca_scatter.png"/>
                    <pic:cNvPicPr/>
                  </pic:nvPicPr>
                  <pic:blipFill>
                    <a:blip r:embed="rId17"/>
                    <a:stretch>
                      <a:fillRect/>
                    </a:stretch>
                  </pic:blipFill>
                  <pic:spPr>
                    <a:xfrm>
                      <a:off x="0" y="0"/>
                      <a:ext cx="4320000" cy="3227375"/>
                    </a:xfrm>
                    <a:prstGeom prst="rect"/>
                  </pic:spPr>
                </pic:pic>
              </a:graphicData>
            </a:graphic>
          </wp:inline>
        </w:drawing>
      </w:r>
    </w:p>
    <w:p>
      <w:pPr>
        <w:spacing w:after="240"/>
        <w:jc w:val="center"/>
      </w:pPr>
      <w:r>
        <w:rPr>
          <w:i/>
          <w:color w:val="555555"/>
          <w:sz w:val="20"/>
        </w:rPr>
        <w:t>Gambar 4.8 — Sebaran cluster dalam ruang 2D PCA</w:t>
      </w:r>
    </w:p>
    <w:p>
      <w:pPr>
        <w:jc w:val="center"/>
      </w:pPr>
      <w:r>
        <w:drawing>
          <wp:inline xmlns:a="http://schemas.openxmlformats.org/drawingml/2006/main" xmlns:pic="http://schemas.openxmlformats.org/drawingml/2006/picture">
            <wp:extent cx="4680000" cy="2682302"/>
            <wp:docPr id="10" name="Picture 10"/>
            <wp:cNvGraphicFramePr>
              <a:graphicFrameLocks noChangeAspect="1"/>
            </wp:cNvGraphicFramePr>
            <a:graphic>
              <a:graphicData uri="http://schemas.openxmlformats.org/drawingml/2006/picture">
                <pic:pic>
                  <pic:nvPicPr>
                    <pic:cNvPr id="0" name="cluster_size.png"/>
                    <pic:cNvPicPr/>
                  </pic:nvPicPr>
                  <pic:blipFill>
                    <a:blip r:embed="rId18"/>
                    <a:stretch>
                      <a:fillRect/>
                    </a:stretch>
                  </pic:blipFill>
                  <pic:spPr>
                    <a:xfrm>
                      <a:off x="0" y="0"/>
                      <a:ext cx="4680000" cy="2682302"/>
                    </a:xfrm>
                    <a:prstGeom prst="rect"/>
                  </pic:spPr>
                </pic:pic>
              </a:graphicData>
            </a:graphic>
          </wp:inline>
        </w:drawing>
      </w:r>
    </w:p>
    <w:p>
      <w:pPr>
        <w:spacing w:after="240"/>
        <w:jc w:val="center"/>
      </w:pPr>
      <w:r>
        <w:rPr>
          <w:i/>
          <w:color w:val="555555"/>
          <w:sz w:val="20"/>
        </w:rPr>
        <w:t>Gambar 4.9 — Jumlah pelanggan per cluster</w:t>
      </w:r>
    </w:p>
    <w:p>
      <w:r>
        <w:br w:type="page"/>
      </w:r>
    </w:p>
    <w:p>
      <w:pPr>
        <w:pStyle w:val="Heading1"/>
      </w:pPr>
      <w:r>
        <w:rPr>
          <w:color w:val="1F3A5F"/>
        </w:rPr>
        <w:t>5. Analisa Hasil Deployment</w:t>
      </w:r>
    </w:p>
    <w:p>
      <w:pPr>
        <w:spacing w:after="120"/>
        <w:ind w:firstLine="425"/>
        <w:jc w:val="both"/>
      </w:pPr>
      <w:r>
        <w:rPr>
          <w:sz w:val="22"/>
        </w:rPr>
        <w:t>Model yang telah dilatih di-deploy sebagai aplikasi web dengan arsitektur dua-tier: REST API (FastAPI) sebagai backend dan Web UI (Streamlit) sebagai frontend. Pemisahan ini memungkinkan UI dapat diganti dengan dashboard atau mobile app tanpa mengubah backend.</w:t>
      </w:r>
    </w:p>
    <w:p>
      <w:pPr>
        <w:pStyle w:val="Heading2"/>
      </w:pPr>
      <w:r>
        <w:rPr>
          <w:color w:val="1F3A5F"/>
        </w:rPr>
        <w:t>5.1 Arsitektur Deployment</w:t>
      </w:r>
    </w:p>
    <w:p>
      <w:pPr>
        <w:jc w:val="center"/>
      </w:pPr>
      <w:r>
        <w:drawing>
          <wp:inline xmlns:a="http://schemas.openxmlformats.org/drawingml/2006/main" xmlns:pic="http://schemas.openxmlformats.org/drawingml/2006/picture">
            <wp:extent cx="5040000" cy="5965195"/>
            <wp:docPr id="11" name="Picture 11"/>
            <wp:cNvGraphicFramePr>
              <a:graphicFrameLocks noChangeAspect="1"/>
            </wp:cNvGraphicFramePr>
            <a:graphic>
              <a:graphicData uri="http://schemas.openxmlformats.org/drawingml/2006/picture">
                <pic:pic>
                  <pic:nvPicPr>
                    <pic:cNvPr id="0" name="02_deployment_architecture.png"/>
                    <pic:cNvPicPr/>
                  </pic:nvPicPr>
                  <pic:blipFill>
                    <a:blip r:embed="rId19"/>
                    <a:stretch>
                      <a:fillRect/>
                    </a:stretch>
                  </pic:blipFill>
                  <pic:spPr>
                    <a:xfrm>
                      <a:off x="0" y="0"/>
                      <a:ext cx="5040000" cy="5965195"/>
                    </a:xfrm>
                    <a:prstGeom prst="rect"/>
                  </pic:spPr>
                </pic:pic>
              </a:graphicData>
            </a:graphic>
          </wp:inline>
        </w:drawing>
      </w:r>
    </w:p>
    <w:p>
      <w:pPr>
        <w:spacing w:after="240"/>
        <w:jc w:val="center"/>
      </w:pPr>
      <w:r>
        <w:rPr>
          <w:i/>
          <w:color w:val="555555"/>
          <w:sz w:val="20"/>
        </w:rPr>
        <w:t>Gambar 5.0 — Arsitektur deployment: FastAPI (backend) + Streamlit (frontend) + RFMPredictor (transform pipeline) dengan model &amp; serving artifacts</w:t>
      </w:r>
    </w:p>
    <w:p>
      <w:pPr>
        <w:pStyle w:val="Heading2"/>
      </w:pPr>
      <w:r>
        <w:rPr>
          <w:color w:val="1F3A5F"/>
        </w:rPr>
        <w:t>5.2 Komponen Deployment</w:t>
      </w:r>
    </w:p>
    <w:tbl>
      <w:tblPr>
        <w:tblStyle w:val="LightGrid-Accent1"/>
        <w:tblW w:type="auto" w:w="0"/>
        <w:tblLook w:firstColumn="1" w:firstRow="1" w:lastColumn="0" w:lastRow="0" w:noHBand="0" w:noVBand="1" w:val="04A0"/>
      </w:tblPr>
      <w:tblGrid>
        <w:gridCol w:w="4703"/>
        <w:gridCol w:w="4703"/>
      </w:tblGrid>
      <w:tr>
        <w:tc>
          <w:tcPr>
            <w:tcW w:type="dxa" w:w="2835"/>
            <w:shd w:fill="1F3A5F"/>
            <w:vAlign w:val="center"/>
          </w:tcPr>
          <w:p>
            <w:r/>
            <w:r>
              <w:rPr>
                <w:b/>
                <w:color w:val="FFFFFF"/>
                <w:sz w:val="20"/>
              </w:rPr>
              <w:t>File</w:t>
            </w:r>
          </w:p>
        </w:tc>
        <w:tc>
          <w:tcPr>
            <w:tcW w:type="dxa" w:w="5953"/>
            <w:shd w:fill="1F3A5F"/>
            <w:vAlign w:val="center"/>
          </w:tcPr>
          <w:p>
            <w:r/>
            <w:r>
              <w:rPr>
                <w:b/>
                <w:color w:val="FFFFFF"/>
                <w:sz w:val="20"/>
              </w:rPr>
              <w:t>Fungsi</w:t>
            </w:r>
          </w:p>
        </w:tc>
      </w:tr>
      <w:tr>
        <w:tc>
          <w:tcPr>
            <w:tcW w:type="dxa" w:w="2835"/>
            <w:vAlign w:val="center"/>
          </w:tcPr>
          <w:p>
            <w:r/>
            <w:r>
              <w:rPr>
                <w:sz w:val="20"/>
              </w:rPr>
              <w:t>app/predictor.py</w:t>
            </w:r>
          </w:p>
        </w:tc>
        <w:tc>
          <w:tcPr>
            <w:tcW w:type="dxa" w:w="5953"/>
            <w:vAlign w:val="center"/>
          </w:tcPr>
          <w:p>
            <w:r/>
            <w:r>
              <w:rPr>
                <w:sz w:val="20"/>
              </w:rPr>
              <w:t>Wrapper model: load joblib + transform pipeline + predict</w:t>
            </w:r>
          </w:p>
        </w:tc>
      </w:tr>
      <w:tr>
        <w:tc>
          <w:tcPr>
            <w:tcW w:type="dxa" w:w="2835"/>
            <w:vAlign w:val="center"/>
          </w:tcPr>
          <w:p>
            <w:r/>
            <w:r>
              <w:rPr>
                <w:sz w:val="20"/>
              </w:rPr>
              <w:t>app/api.py</w:t>
            </w:r>
          </w:p>
        </w:tc>
        <w:tc>
          <w:tcPr>
            <w:tcW w:type="dxa" w:w="5953"/>
            <w:vAlign w:val="center"/>
          </w:tcPr>
          <w:p>
            <w:r/>
            <w:r>
              <w:rPr>
                <w:sz w:val="20"/>
              </w:rPr>
              <w:t>FastAPI service dengan 4 endpoint utama</w:t>
            </w:r>
          </w:p>
        </w:tc>
      </w:tr>
      <w:tr>
        <w:tc>
          <w:tcPr>
            <w:tcW w:type="dxa" w:w="2835"/>
            <w:vAlign w:val="center"/>
          </w:tcPr>
          <w:p>
            <w:r/>
            <w:r>
              <w:rPr>
                <w:sz w:val="20"/>
              </w:rPr>
              <w:t>app/schemas.py</w:t>
            </w:r>
          </w:p>
        </w:tc>
        <w:tc>
          <w:tcPr>
            <w:tcW w:type="dxa" w:w="5953"/>
            <w:vAlign w:val="center"/>
          </w:tcPr>
          <w:p>
            <w:r/>
            <w:r>
              <w:rPr>
                <w:sz w:val="20"/>
              </w:rPr>
              <w:t>Pydantic request/response schemas (validasi otomatis)</w:t>
            </w:r>
          </w:p>
        </w:tc>
      </w:tr>
      <w:tr>
        <w:tc>
          <w:tcPr>
            <w:tcW w:type="dxa" w:w="2835"/>
            <w:vAlign w:val="center"/>
          </w:tcPr>
          <w:p>
            <w:r/>
            <w:r>
              <w:rPr>
                <w:sz w:val="20"/>
              </w:rPr>
              <w:t>app/streamlit_app.py</w:t>
            </w:r>
          </w:p>
        </w:tc>
        <w:tc>
          <w:tcPr>
            <w:tcW w:type="dxa" w:w="5953"/>
            <w:vAlign w:val="center"/>
          </w:tcPr>
          <w:p>
            <w:r/>
            <w:r>
              <w:rPr>
                <w:sz w:val="20"/>
              </w:rPr>
              <w:t>Web UI dengan 3 halaman interaktif</w:t>
            </w:r>
          </w:p>
        </w:tc>
      </w:tr>
      <w:tr>
        <w:tc>
          <w:tcPr>
            <w:tcW w:type="dxa" w:w="2835"/>
            <w:vAlign w:val="center"/>
          </w:tcPr>
          <w:p>
            <w:r/>
            <w:r>
              <w:rPr>
                <w:sz w:val="20"/>
              </w:rPr>
              <w:t>app/build_artifacts.py</w:t>
            </w:r>
          </w:p>
        </w:tc>
        <w:tc>
          <w:tcPr>
            <w:tcW w:type="dxa" w:w="5953"/>
            <w:vAlign w:val="center"/>
          </w:tcPr>
          <w:p>
            <w:r/>
            <w:r>
              <w:rPr>
                <w:sz w:val="20"/>
              </w:rPr>
              <w:t>Generate serving artifacts (1x setelah training)</w:t>
            </w:r>
          </w:p>
        </w:tc>
      </w:tr>
      <w:tr>
        <w:tc>
          <w:tcPr>
            <w:tcW w:type="dxa" w:w="2835"/>
            <w:vAlign w:val="center"/>
          </w:tcPr>
          <w:p>
            <w:r/>
            <w:r>
              <w:rPr>
                <w:sz w:val="20"/>
              </w:rPr>
              <w:t>scripts/run_app.sh</w:t>
            </w:r>
          </w:p>
        </w:tc>
        <w:tc>
          <w:tcPr>
            <w:tcW w:type="dxa" w:w="5953"/>
            <w:vAlign w:val="center"/>
          </w:tcPr>
          <w:p>
            <w:r/>
            <w:r>
              <w:rPr>
                <w:sz w:val="20"/>
              </w:rPr>
              <w:t>Launcher: start FastAPI + Streamlit sekaligus</w:t>
            </w:r>
          </w:p>
        </w:tc>
      </w:tr>
    </w:tbl>
    <w:p/>
    <w:p>
      <w:pPr>
        <w:pStyle w:val="Heading2"/>
      </w:pPr>
      <w:r>
        <w:rPr>
          <w:color w:val="1F3A5F"/>
        </w:rPr>
        <w:t>5.3 Contoh Request &amp; Response API</w:t>
      </w:r>
    </w:p>
    <w:p>
      <w:pPr>
        <w:spacing w:after="120"/>
        <w:ind w:left="283"/>
        <w:shd w:fill="F2F2F2"/>
      </w:pPr>
      <w:r>
        <w:rPr>
          <w:rFonts w:ascii="Consolas" w:hAnsi="Consolas"/>
          <w:sz w:val="18"/>
          <w:rFonts w:ascii="Consolas" w:hAnsi="Consolas" w:cs="Consolas"/>
        </w:rPr>
        <w:t># Single prediction</w:t>
        <w:br/>
        <w:t>POST /predict</w:t>
        <w:br/>
        <w:t>Body: {"Recency": 30, "Frequency": 2, "Monetary": 350.5}</w:t>
        <w:br/>
        <w:br/>
        <w:t>Response:</w:t>
        <w:br/>
        <w:t>{</w:t>
        <w:br/>
        <w:t xml:space="preserve">  "cluster": 2,</w:t>
        <w:br/>
        <w:t xml:space="preserve">  "segment": "At Risk",</w:t>
        <w:br/>
        <w:t xml:space="preserve">  "distance_to_centroid": 1.35,</w:t>
        <w:br/>
        <w:t xml:space="preserve">  "strategy": {</w:t>
        <w:br/>
        <w:t xml:space="preserve">    "deskripsi": "Dulu bernilai tinggi tapi sudah lama tidak transaksi.",</w:t>
        <w:br/>
        <w:t xml:space="preserve">    "strategi": [</w:t>
        <w:br/>
        <w:t xml:space="preserve">      "Win-back campaign dengan diskon agresif",</w:t>
        <w:br/>
        <w:t xml:space="preserve">      "Survei untuk tahu alasan churn",</w:t>
        <w:br/>
        <w:t xml:space="preserve">      "Personalized re-engagement email"</w:t>
        <w:br/>
        <w:t xml:space="preserve">    ]</w:t>
        <w:br/>
        <w:t xml:space="preserve">  }</w:t>
        <w:br/>
        <w:t>}</w:t>
        <w:br/>
        <w:br/>
        <w:t># Batch prediction via CSV upload</w:t>
        <w:br/>
        <w:t>POST /predict/batch</w:t>
        <w:br/>
        <w:t>File: rfm.csv (kolom: Recency, Frequency, Monetary)</w:t>
        <w:br/>
        <w:t>Response: {"n_rows": 1000, "rows": [...]}</w:t>
        <w:br/>
        <w:br/>
        <w:t># Profil semua cluster</w:t>
        <w:br/>
        <w:t>GET /clusters</w:t>
        <w:br/>
        <w:t>Response: [{"cluster": 0, "segment": "Loyal Customers", ...}, ...]</w:t>
        <w:br/>
        <w:br/>
        <w:t># Health check</w:t>
        <w:br/>
        <w:t>GET /health</w:t>
        <w:br/>
        <w:t>Response: {"status": "ok", "n_training_samples": 93357, "n_clusters": 4}</w:t>
      </w:r>
    </w:p>
    <w:p>
      <w:pPr>
        <w:pStyle w:val="Heading2"/>
      </w:pPr>
      <w:r>
        <w:rPr>
          <w:color w:val="1F3A5F"/>
        </w:rPr>
        <w:t>5.4 Tampilan Web UI (Streamlit)</w:t>
      </w:r>
    </w:p>
    <w:p>
      <w:pPr>
        <w:spacing w:after="120"/>
      </w:pPr>
      <w:r>
        <w:rPr>
          <w:b/>
          <w:i w:val="0"/>
          <w:sz w:val="22"/>
        </w:rPr>
        <w:t>Streamlit UI memiliki tiga halaman utama:</w:t>
      </w:r>
    </w:p>
    <w:p>
      <w:pPr>
        <w:pStyle w:val="ListNumber"/>
        <w:spacing w:after="40"/>
      </w:pPr>
      <w:r>
        <w:rPr>
          <w:sz w:val="22"/>
        </w:rPr>
        <w:t>Single Prediction — form input Recency/Frequency/Monetary menghasilkan badge segmen berwarna, deskripsi segmen, dan daftar rekomendasi strategi marketing.</w:t>
      </w:r>
    </w:p>
    <w:p>
      <w:pPr>
        <w:pStyle w:val="ListNumber"/>
        <w:spacing w:after="40"/>
      </w:pPr>
      <w:r>
        <w:rPr>
          <w:sz w:val="22"/>
        </w:rPr>
        <w:t>Batch Prediction — upload CSV banyak pelanggan, hasil ditampilkan dalam tabel + bar chart distribusi segmen, dan dapat di-download sebagai CSV.</w:t>
      </w:r>
    </w:p>
    <w:p>
      <w:pPr>
        <w:pStyle w:val="ListNumber"/>
        <w:spacing w:after="40"/>
      </w:pPr>
      <w:r>
        <w:rPr>
          <w:sz w:val="22"/>
        </w:rPr>
        <w:t>Cluster Overview — profil tiap cluster (ukuran, rata-rata R/F/M, total monetary) + detail strategi marketing per segmen.</w:t>
      </w:r>
    </w:p>
    <w:p>
      <w:pPr>
        <w:spacing w:after="120"/>
      </w:pPr>
      <w:r>
        <w:rPr>
          <w:b/>
          <w:i w:val="0"/>
          <w:sz w:val="22"/>
        </w:rPr>
        <w:t>Halaman 1 — Single Prediction:</w:t>
      </w:r>
    </w:p>
    <w:p>
      <w:pPr>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01_streamlit_single_empty.png"/>
                    <pic:cNvPicPr/>
                  </pic:nvPicPr>
                  <pic:blipFill>
                    <a:blip r:embed="rId20"/>
                    <a:stretch>
                      <a:fillRect/>
                    </a:stretch>
                  </pic:blipFill>
                  <pic:spPr>
                    <a:xfrm>
                      <a:off x="0" y="0"/>
                      <a:ext cx="5400000" cy="3375000"/>
                    </a:xfrm>
                    <a:prstGeom prst="rect"/>
                  </pic:spPr>
                </pic:pic>
              </a:graphicData>
            </a:graphic>
          </wp:inline>
        </w:drawing>
      </w:r>
    </w:p>
    <w:p>
      <w:pPr>
        <w:spacing w:after="240"/>
        <w:jc w:val="center"/>
      </w:pPr>
      <w:r>
        <w:rPr>
          <w:i/>
          <w:color w:val="555555"/>
          <w:sz w:val="20"/>
        </w:rPr>
        <w:t>Gambar 5.1 — Form input Single Prediction (state awal)</w:t>
      </w:r>
    </w:p>
    <w:p>
      <w:pPr>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02_streamlit_single_result.png"/>
                    <pic:cNvPicPr/>
                  </pic:nvPicPr>
                  <pic:blipFill>
                    <a:blip r:embed="rId21"/>
                    <a:stretch>
                      <a:fillRect/>
                    </a:stretch>
                  </pic:blipFill>
                  <pic:spPr>
                    <a:xfrm>
                      <a:off x="0" y="0"/>
                      <a:ext cx="5400000" cy="3375000"/>
                    </a:xfrm>
                    <a:prstGeom prst="rect"/>
                  </pic:spPr>
                </pic:pic>
              </a:graphicData>
            </a:graphic>
          </wp:inline>
        </w:drawing>
      </w:r>
    </w:p>
    <w:p>
      <w:pPr>
        <w:spacing w:after="240"/>
        <w:jc w:val="center"/>
      </w:pPr>
      <w:r>
        <w:rPr>
          <w:i/>
          <w:color w:val="555555"/>
          <w:sz w:val="20"/>
        </w:rPr>
        <w:t>Gambar 5.2 — Hasil prediksi: input R=30, F=2, M=350,5 diklasifikasikan sebagai segmen 'At Risk' beserta strategi</w:t>
      </w:r>
    </w:p>
    <w:p>
      <w:pPr>
        <w:spacing w:after="120"/>
      </w:pPr>
      <w:r>
        <w:rPr>
          <w:b/>
          <w:i w:val="0"/>
          <w:sz w:val="22"/>
        </w:rPr>
        <w:t>Halaman 2 — Batch Prediction:</w:t>
      </w:r>
    </w:p>
    <w:p>
      <w:pPr>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03_streamlit_batch.png"/>
                    <pic:cNvPicPr/>
                  </pic:nvPicPr>
                  <pic:blipFill>
                    <a:blip r:embed="rId22"/>
                    <a:stretch>
                      <a:fillRect/>
                    </a:stretch>
                  </pic:blipFill>
                  <pic:spPr>
                    <a:xfrm>
                      <a:off x="0" y="0"/>
                      <a:ext cx="5400000" cy="3375000"/>
                    </a:xfrm>
                    <a:prstGeom prst="rect"/>
                  </pic:spPr>
                </pic:pic>
              </a:graphicData>
            </a:graphic>
          </wp:inline>
        </w:drawing>
      </w:r>
    </w:p>
    <w:p>
      <w:pPr>
        <w:spacing w:after="240"/>
        <w:jc w:val="center"/>
      </w:pPr>
      <w:r>
        <w:rPr>
          <w:i/>
          <w:color w:val="555555"/>
          <w:sz w:val="20"/>
        </w:rPr>
        <w:t>Gambar 5.3 — Form upload CSV untuk batch prediction</w:t>
      </w:r>
    </w:p>
    <w:p>
      <w:pPr>
        <w:jc w:val="center"/>
      </w:pPr>
      <w:r>
        <w:drawing>
          <wp:inline xmlns:a="http://schemas.openxmlformats.org/drawingml/2006/main" xmlns:pic="http://schemas.openxmlformats.org/drawingml/2006/picture">
            <wp:extent cx="5400000" cy="3375000"/>
            <wp:docPr id="15" name="Picture 15"/>
            <wp:cNvGraphicFramePr>
              <a:graphicFrameLocks noChangeAspect="1"/>
            </wp:cNvGraphicFramePr>
            <a:graphic>
              <a:graphicData uri="http://schemas.openxmlformats.org/drawingml/2006/picture">
                <pic:pic>
                  <pic:nvPicPr>
                    <pic:cNvPr id="0" name="04_streamlit_batch_result.png"/>
                    <pic:cNvPicPr/>
                  </pic:nvPicPr>
                  <pic:blipFill>
                    <a:blip r:embed="rId23"/>
                    <a:stretch>
                      <a:fillRect/>
                    </a:stretch>
                  </pic:blipFill>
                  <pic:spPr>
                    <a:xfrm>
                      <a:off x="0" y="0"/>
                      <a:ext cx="5400000" cy="3375000"/>
                    </a:xfrm>
                    <a:prstGeom prst="rect"/>
                  </pic:spPr>
                </pic:pic>
              </a:graphicData>
            </a:graphic>
          </wp:inline>
        </w:drawing>
      </w:r>
    </w:p>
    <w:p>
      <w:pPr>
        <w:spacing w:after="240"/>
        <w:jc w:val="center"/>
      </w:pPr>
      <w:r>
        <w:rPr>
          <w:i/>
          <w:color w:val="555555"/>
          <w:sz w:val="20"/>
        </w:rPr>
        <w:t>Gambar 5.4 — Hasil batch: 5 pelanggan diklasifikasikan, tabel + bar chart distribusi segmen + opsi download CSV</w:t>
      </w:r>
    </w:p>
    <w:p>
      <w:pPr>
        <w:spacing w:after="120"/>
      </w:pPr>
      <w:r>
        <w:rPr>
          <w:b/>
          <w:i w:val="0"/>
          <w:sz w:val="22"/>
        </w:rPr>
        <w:t>Halaman 3 — Cluster Overview:</w:t>
      </w:r>
    </w:p>
    <w:p>
      <w:pPr>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05_streamlit_cluster_overview.png"/>
                    <pic:cNvPicPr/>
                  </pic:nvPicPr>
                  <pic:blipFill>
                    <a:blip r:embed="rId24"/>
                    <a:stretch>
                      <a:fillRect/>
                    </a:stretch>
                  </pic:blipFill>
                  <pic:spPr>
                    <a:xfrm>
                      <a:off x="0" y="0"/>
                      <a:ext cx="5400000" cy="3375000"/>
                    </a:xfrm>
                    <a:prstGeom prst="rect"/>
                  </pic:spPr>
                </pic:pic>
              </a:graphicData>
            </a:graphic>
          </wp:inline>
        </w:drawing>
      </w:r>
    </w:p>
    <w:p>
      <w:pPr>
        <w:spacing w:after="240"/>
        <w:jc w:val="center"/>
      </w:pPr>
      <w:r>
        <w:rPr>
          <w:i/>
          <w:color w:val="555555"/>
          <w:sz w:val="20"/>
        </w:rPr>
        <w:t>Gambar 5.5 — Profil 4 cluster + visualisasi jumlah pelanggan &amp; total monetary per cluster</w:t>
      </w:r>
    </w:p>
    <w:p>
      <w:pPr>
        <w:spacing w:after="120"/>
      </w:pPr>
      <w:r>
        <w:rPr>
          <w:b/>
          <w:i w:val="0"/>
          <w:sz w:val="22"/>
        </w:rPr>
        <w:t>FastAPI — Swagger Documentation:</w:t>
      </w:r>
    </w:p>
    <w:p>
      <w:pPr>
        <w:jc w:val="center"/>
      </w:pPr>
      <w:r>
        <w:drawing>
          <wp:inline xmlns:a="http://schemas.openxmlformats.org/drawingml/2006/main" xmlns:pic="http://schemas.openxmlformats.org/drawingml/2006/picture">
            <wp:extent cx="5400000" cy="4556250"/>
            <wp:docPr id="17" name="Picture 17"/>
            <wp:cNvGraphicFramePr>
              <a:graphicFrameLocks noChangeAspect="1"/>
            </wp:cNvGraphicFramePr>
            <a:graphic>
              <a:graphicData uri="http://schemas.openxmlformats.org/drawingml/2006/picture">
                <pic:pic>
                  <pic:nvPicPr>
                    <pic:cNvPr id="0" name="06_fastapi_docs.png"/>
                    <pic:cNvPicPr/>
                  </pic:nvPicPr>
                  <pic:blipFill>
                    <a:blip r:embed="rId25"/>
                    <a:stretch>
                      <a:fillRect/>
                    </a:stretch>
                  </pic:blipFill>
                  <pic:spPr>
                    <a:xfrm>
                      <a:off x="0" y="0"/>
                      <a:ext cx="5400000" cy="4556250"/>
                    </a:xfrm>
                    <a:prstGeom prst="rect"/>
                  </pic:spPr>
                </pic:pic>
              </a:graphicData>
            </a:graphic>
          </wp:inline>
        </w:drawing>
      </w:r>
    </w:p>
    <w:p>
      <w:pPr>
        <w:spacing w:after="240"/>
        <w:jc w:val="center"/>
      </w:pPr>
      <w:r>
        <w:rPr>
          <w:i/>
          <w:color w:val="555555"/>
          <w:sz w:val="20"/>
        </w:rPr>
        <w:t>Gambar 5.6 — Swagger UI FastAPI di endpoint /docs (auto-generated, interaktif untuk testing API)</w:t>
      </w:r>
    </w:p>
    <w:p>
      <w:pPr>
        <w:pStyle w:val="Heading2"/>
      </w:pPr>
      <w:r>
        <w:rPr>
          <w:color w:val="1F3A5F"/>
        </w:rPr>
        <w:t>5.5 Cara Menjalankan Deployment</w:t>
      </w:r>
    </w:p>
    <w:p>
      <w:pPr>
        <w:spacing w:after="120"/>
        <w:ind w:left="283"/>
        <w:shd w:fill="F2F2F2"/>
      </w:pPr>
      <w:r>
        <w:rPr>
          <w:rFonts w:ascii="Consolas" w:hAnsi="Consolas"/>
          <w:sz w:val="18"/>
          <w:rFonts w:ascii="Consolas" w:hAnsi="Consolas" w:cs="Consolas"/>
        </w:rPr>
        <w:t># 1. Install dependencies</w:t>
        <w:br/>
        <w:t>pip install -r requirements.txt</w:t>
        <w:br/>
        <w:br/>
        <w:t># 2. Generate serving artifacts (sekali setelah training)</w:t>
        <w:br/>
        <w:t>python -m app.build_artifacts</w:t>
        <w:br/>
        <w:br/>
        <w:t># 3. Jalankan FastAPI + Streamlit sekaligus</w:t>
        <w:br/>
        <w:t>./scripts/run_app.sh</w:t>
        <w:br/>
        <w:br/>
        <w:t># 4. Akses melalui browser:</w:t>
        <w:br/>
        <w:t>#    Web UI       : http://localhost:8501</w:t>
        <w:br/>
        <w:t>#    API Docs     : http://localhost:8000/docs   (Swagger interaktif)</w:t>
        <w:br/>
        <w:t>#    Health check : http://localhost:8000/health</w:t>
      </w:r>
    </w:p>
    <w:p>
      <w:pPr>
        <w:pStyle w:val="Heading2"/>
      </w:pPr>
      <w:r>
        <w:rPr>
          <w:color w:val="1F3A5F"/>
        </w:rPr>
        <w:t>5.6 Bukti Deployment Berjalan</w:t>
      </w:r>
    </w:p>
    <w:p>
      <w:pPr>
        <w:spacing w:after="120"/>
        <w:ind w:left="283"/>
        <w:shd w:fill="F2F2F2"/>
      </w:pPr>
      <w:r>
        <w:rPr>
          <w:rFonts w:ascii="Consolas" w:hAnsi="Consolas"/>
          <w:sz w:val="18"/>
          <w:rFonts w:ascii="Consolas" w:hAnsi="Consolas" w:cs="Consolas"/>
        </w:rPr>
        <w:t>$ ./scripts/run_app.sh</w:t>
        <w:br/>
        <w:t>&gt;&gt; FastAPI  : http://localhost:8000/docs</w:t>
        <w:br/>
        <w:t>&gt;&gt; Streamlit: http://localhost:8501</w:t>
        <w:br/>
        <w:t>BOTH READY after 2s</w:t>
        <w:br/>
        <w:br/>
        <w:t>$ curl http://localhost:8000/health</w:t>
        <w:br/>
        <w:t>{"status":"ok","n_training_samples":93357,"n_clusters":4}</w:t>
        <w:br/>
        <w:br/>
        <w:t>$ curl -X POST http://localhost:8000/predict \</w:t>
        <w:br/>
        <w:t xml:space="preserve">       -H 'Content-Type: application/json' \</w:t>
        <w:br/>
        <w:t xml:space="preserve">       -d '{"Recency":30,"Frequency":2,"Monetary":350.5}'</w:t>
        <w:br/>
        <w:t>{</w:t>
        <w:br/>
        <w:t xml:space="preserve">  "cluster": 2,</w:t>
        <w:br/>
        <w:t xml:space="preserve">  "segment": "At Risk",</w:t>
        <w:br/>
        <w:t xml:space="preserve">  "distance_to_centroid": 1.3515,</w:t>
        <w:br/>
        <w:t xml:space="preserve">  "strategy": {...}</w:t>
        <w:br/>
        <w:t>}</w:t>
      </w:r>
    </w:p>
    <w:p>
      <w:pPr>
        <w:pStyle w:val="Heading2"/>
      </w:pPr>
      <w:r>
        <w:rPr>
          <w:color w:val="1F3A5F"/>
        </w:rPr>
        <w:t>5.7 Analisa Kelebihan Deployment</w:t>
      </w:r>
    </w:p>
    <w:p>
      <w:pPr>
        <w:pStyle w:val="ListBullet"/>
        <w:spacing w:after="40"/>
      </w:pPr>
      <w:r>
        <w:rPr>
          <w:sz w:val="22"/>
        </w:rPr>
        <w:t>Separation of concerns — UI dan logika prediksi terpisah, memungkinkan UI diganti tanpa mengubah backend.</w:t>
      </w:r>
    </w:p>
    <w:p>
      <w:pPr>
        <w:pStyle w:val="ListBullet"/>
        <w:spacing w:after="40"/>
      </w:pPr>
      <w:r>
        <w:rPr>
          <w:sz w:val="22"/>
        </w:rPr>
        <w:t>Validasi otomatis via Pydantic — input invalid akan ditolak dengan pesan error jelas (mis. Recency negatif).</w:t>
      </w:r>
    </w:p>
    <w:p>
      <w:pPr>
        <w:pStyle w:val="ListBullet"/>
        <w:spacing w:after="40"/>
      </w:pPr>
      <w:r>
        <w:rPr>
          <w:sz w:val="22"/>
        </w:rPr>
        <w:t>Swagger UI otomatis di-generate FastAPI di endpoint /docs, memudahkan integrasi dengan tim lain.</w:t>
      </w:r>
    </w:p>
    <w:p>
      <w:pPr>
        <w:pStyle w:val="ListBullet"/>
        <w:spacing w:after="40"/>
      </w:pPr>
      <w:r>
        <w:rPr>
          <w:sz w:val="22"/>
        </w:rPr>
        <w:t>Transform pipeline lengkap di-serving — user cukup kirim RFM mentah tanpa perlu tahu winsorize/log/scaling.</w:t>
      </w:r>
    </w:p>
    <w:p>
      <w:pPr>
        <w:pStyle w:val="ListBullet"/>
        <w:spacing w:after="40"/>
      </w:pPr>
      <w:r>
        <w:rPr>
          <w:sz w:val="22"/>
        </w:rPr>
        <w:t>Batch processing hingga 100.000 baris per request, cocok untuk analisis seluruh basis pelanggan.</w:t>
      </w:r>
    </w:p>
    <w:p>
      <w:pPr>
        <w:pStyle w:val="ListBullet"/>
        <w:spacing w:after="40"/>
      </w:pPr>
      <w:r>
        <w:rPr>
          <w:sz w:val="22"/>
        </w:rPr>
        <w:t>Reproducibility — artifact serving disimpan dalam JSON terpisah agar transform konsisten antara training dan inference.</w:t>
      </w:r>
    </w:p>
    <w:p>
      <w:pPr>
        <w:pStyle w:val="Heading2"/>
      </w:pPr>
      <w:r>
        <w:rPr>
          <w:color w:val="1F3A5F"/>
        </w:rPr>
        <w:t>5.8 Manfaat Bisnis</w:t>
      </w:r>
    </w:p>
    <w:p>
      <w:pPr>
        <w:pStyle w:val="ListBullet"/>
        <w:spacing w:after="40"/>
      </w:pPr>
      <w:r>
        <w:rPr>
          <w:sz w:val="22"/>
        </w:rPr>
        <w:t>Tim marketing dapat mengetahui segmen pelanggan baru dalam kurang dari 100 milidetik.</w:t>
      </w:r>
    </w:p>
    <w:p>
      <w:pPr>
        <w:pStyle w:val="ListBullet"/>
        <w:spacing w:after="40"/>
      </w:pPr>
      <w:r>
        <w:rPr>
          <w:sz w:val="22"/>
        </w:rPr>
        <w:t>Analisis batch memungkinkan kampanye dijalankan ke segmen tertentu (mis. semua pelanggan At Risk → win-back campaign).</w:t>
      </w:r>
    </w:p>
    <w:p>
      <w:pPr>
        <w:pStyle w:val="ListBullet"/>
        <w:spacing w:after="40"/>
      </w:pPr>
      <w:r>
        <w:rPr>
          <w:sz w:val="22"/>
        </w:rPr>
        <w:t>Cluster overview membantu manajemen melihat distribusi nilai bisnis per segmen untuk alokasi anggaran marketing.</w:t>
      </w:r>
    </w:p>
    <w:p>
      <w:pPr>
        <w:pStyle w:val="ListBullet"/>
        <w:spacing w:after="40"/>
      </w:pPr>
      <w:r>
        <w:rPr>
          <w:sz w:val="22"/>
        </w:rPr>
        <w:t>Strategi rekomendasi siap-pakai memudahkan tim marketing menyusun campaign tanpa harus menafsir hasil clustering secara manual.</w:t>
      </w:r>
    </w:p>
    <w:p>
      <w:pPr>
        <w:pStyle w:val="Heading2"/>
      </w:pPr>
      <w:r>
        <w:rPr>
          <w:color w:val="1F3A5F"/>
        </w:rPr>
        <w:t>5.9 Strategi Deployment Multi-Layer</w:t>
      </w:r>
    </w:p>
    <w:p>
      <w:pPr>
        <w:spacing w:after="120"/>
        <w:ind w:firstLine="425"/>
        <w:jc w:val="both"/>
      </w:pPr>
      <w:r>
        <w:rPr>
          <w:sz w:val="22"/>
        </w:rPr>
        <w:t>Untuk memastikan aplikasi dapat dijalankan pada berbagai konteks (development, demo presentasi, hingga hosting permanen), proyek ini mendukung tiga layer deployment yang saling melengkapi. Strategi ini memungkinkan transisi dari development sampai production tanpa perubahan kode aplikasi.</w:t>
      </w:r>
    </w:p>
    <w:p>
      <w:pPr>
        <w:jc w:val="center"/>
      </w:pPr>
      <w:r>
        <w:drawing>
          <wp:inline xmlns:a="http://schemas.openxmlformats.org/drawingml/2006/main" xmlns:pic="http://schemas.openxmlformats.org/drawingml/2006/picture">
            <wp:extent cx="5040000" cy="5040000"/>
            <wp:docPr id="18" name="Picture 18"/>
            <wp:cNvGraphicFramePr>
              <a:graphicFrameLocks noChangeAspect="1"/>
            </wp:cNvGraphicFramePr>
            <a:graphic>
              <a:graphicData uri="http://schemas.openxmlformats.org/drawingml/2006/picture">
                <pic:pic>
                  <pic:nvPicPr>
                    <pic:cNvPr id="0" name="03_deployment_layers.png"/>
                    <pic:cNvPicPr/>
                  </pic:nvPicPr>
                  <pic:blipFill>
                    <a:blip r:embed="rId26"/>
                    <a:stretch>
                      <a:fillRect/>
                    </a:stretch>
                  </pic:blipFill>
                  <pic:spPr>
                    <a:xfrm>
                      <a:off x="0" y="0"/>
                      <a:ext cx="5040000" cy="5040000"/>
                    </a:xfrm>
                    <a:prstGeom prst="rect"/>
                  </pic:spPr>
                </pic:pic>
              </a:graphicData>
            </a:graphic>
          </wp:inline>
        </w:drawing>
      </w:r>
    </w:p>
    <w:p>
      <w:pPr>
        <w:spacing w:after="240"/>
        <w:jc w:val="center"/>
      </w:pPr>
      <w:r>
        <w:rPr>
          <w:i/>
          <w:color w:val="555555"/>
          <w:sz w:val="20"/>
        </w:rPr>
        <w:t>Gambar 5.7 — Strategi deployment multi-layer: lokal (development) → Cloudflare Tunnel (demo publik) → Docker + Hugging Face Spaces (hosting permanen)</w:t>
      </w:r>
    </w:p>
    <w:p>
      <w:pPr>
        <w:spacing w:after="120"/>
      </w:pPr>
      <w:r>
        <w:rPr>
          <w:b/>
          <w:i w:val="0"/>
          <w:sz w:val="22"/>
        </w:rPr>
        <w:t>Layer 1 — Lokal Development:</w:t>
      </w:r>
    </w:p>
    <w:p>
      <w:pPr>
        <w:spacing w:after="120"/>
        <w:ind w:firstLine="425"/>
        <w:jc w:val="both"/>
      </w:pPr>
      <w:r>
        <w:rPr>
          <w:sz w:val="22"/>
        </w:rPr>
        <w:t>Skrip scripts/run_app.sh menjalankan FastAPI dan Streamlit pada mesin lokal. Cocok untuk pengembangan, debugging, dan testing internal. Pre-check port konflik dan auto-generate serving artifacts kalau belum ada.</w:t>
      </w:r>
    </w:p>
    <w:p>
      <w:pPr>
        <w:spacing w:after="120"/>
      </w:pPr>
      <w:r>
        <w:rPr>
          <w:b/>
          <w:i w:val="0"/>
          <w:sz w:val="22"/>
        </w:rPr>
        <w:t>Layer 2 — Demo Publik via Cloudflare Tunnel:</w:t>
      </w:r>
    </w:p>
    <w:p>
      <w:pPr>
        <w:spacing w:after="120"/>
        <w:ind w:firstLine="425"/>
        <w:jc w:val="both"/>
      </w:pPr>
      <w:r>
        <w:rPr>
          <w:sz w:val="22"/>
        </w:rPr>
        <w:t>Skrip scripts/run_demo.sh memperluas Layer 1 dengan membuka tunnel publik via cloudflared. URL publik (format https://xxx.trycloudflare.com) otomatis di-generate dan di-copy ke clipboard. Cocok untuk demo cepat saat sidang tanpa perlu signup atau kartu kredit. Keterbatasannya: komputer harus tetap menyala dan URL berubah setiap kali script di-restart.</w:t>
      </w:r>
    </w:p>
    <w:p>
      <w:pPr>
        <w:spacing w:after="120"/>
      </w:pPr>
      <w:r>
        <w:rPr>
          <w:b/>
          <w:i w:val="0"/>
          <w:sz w:val="22"/>
        </w:rPr>
        <w:t>Layer 3 — Hosting Permanen via Hugging Face Spaces:</w:t>
      </w:r>
    </w:p>
    <w:p>
      <w:pPr>
        <w:spacing w:after="120"/>
        <w:ind w:firstLine="425"/>
        <w:jc w:val="both"/>
      </w:pPr>
      <w:r>
        <w:rPr>
          <w:sz w:val="22"/>
        </w:rPr>
        <w:t>Untuk hosting permanen yang dapat diakses 24/7 tanpa perlu komputer lokal menyala, aplikasi di-containerize menggunakan Docker dan di-deploy ke Hugging Face Spaces (free tier). Komponen yang disiapkan:</w:t>
      </w:r>
    </w:p>
    <w:p>
      <w:pPr>
        <w:pStyle w:val="ListBullet"/>
        <w:spacing w:after="40"/>
      </w:pPr>
      <w:r>
        <w:rPr>
          <w:sz w:val="22"/>
        </w:rPr>
        <w:t>Dockerfile — base image python:3.11-slim, install dependencies, copy aplikasi, run start.sh.</w:t>
      </w:r>
    </w:p>
    <w:p>
      <w:pPr>
        <w:pStyle w:val="ListBullet"/>
        <w:spacing w:after="40"/>
      </w:pPr>
      <w:r>
        <w:rPr>
          <w:sz w:val="22"/>
        </w:rPr>
        <w:t>start.sh — launcher yang menjalankan FastAPI di internal port 8000 lalu Streamlit di port 7860 sebagai foreground process.</w:t>
      </w:r>
    </w:p>
    <w:p>
      <w:pPr>
        <w:pStyle w:val="ListBullet"/>
        <w:spacing w:after="40"/>
      </w:pPr>
      <w:r>
        <w:rPr>
          <w:sz w:val="22"/>
        </w:rPr>
        <w:t>.dockerignore — exclude data raw, notebooks, virtual env, dan file besar lain yang tidak dibutuhkan saat runtime.</w:t>
      </w:r>
    </w:p>
    <w:p>
      <w:pPr>
        <w:pStyle w:val="ListBullet"/>
        <w:spacing w:after="40"/>
      </w:pPr>
      <w:r>
        <w:rPr>
          <w:sz w:val="22"/>
        </w:rPr>
        <w:t>requirements-deploy.txt — dependencies minimal khusus serving (skip jupyter, plotly, dll) untuk mempercepat build.</w:t>
      </w:r>
    </w:p>
    <w:p>
      <w:pPr>
        <w:pStyle w:val="ListBullet"/>
        <w:spacing w:after="40"/>
      </w:pPr>
      <w:r>
        <w:rPr>
          <w:sz w:val="22"/>
        </w:rPr>
        <w:t>scripts/deploy_hf.sh — upload semua file ke Hugging Face Space menggunakan HF CLI dengan satu perintah.</w:t>
      </w:r>
    </w:p>
    <w:p>
      <w:pPr>
        <w:spacing w:after="120"/>
      </w:pPr>
      <w:r>
        <w:rPr>
          <w:b/>
          <w:i w:val="0"/>
          <w:sz w:val="22"/>
        </w:rPr>
        <w:t>Cara Deploy ke Hugging Face Spaces:</w:t>
      </w:r>
    </w:p>
    <w:p>
      <w:pPr>
        <w:spacing w:after="120"/>
        <w:ind w:left="283"/>
        <w:shd w:fill="F2F2F2"/>
      </w:pPr>
      <w:r>
        <w:rPr>
          <w:rFonts w:ascii="Consolas" w:hAnsi="Consolas"/>
          <w:sz w:val="18"/>
          <w:rFonts w:ascii="Consolas" w:hAnsi="Consolas" w:cs="Consolas"/>
        </w:rPr>
        <w:t># 1. Signup di huggingface.co/join (gratis)</w:t>
        <w:br/>
        <w:br/>
        <w:t># 2. Generate access token Write di:</w:t>
        <w:br/>
        <w:t>#    huggingface.co/settings/tokens</w:t>
        <w:br/>
        <w:br/>
        <w:t># 3. Login dari terminal</w:t>
        <w:br/>
        <w:t>hf auth login</w:t>
        <w:br/>
        <w:br/>
        <w:t># 4. Buat Space baru via web UI:</w:t>
        <w:br/>
        <w:t>#    huggingface.co/new-space</w:t>
        <w:br/>
        <w:t>#    SDK = Docker, Hardware = CPU basic (gratis)</w:t>
        <w:br/>
        <w:br/>
        <w:t># 5. Upload semua file deployment</w:t>
        <w:br/>
        <w:t>./scripts/deploy_hf.sh &lt;username&gt;/&lt;space-name&gt;</w:t>
        <w:br/>
        <w:br/>
        <w:t># 6. URL publik (permanent):</w:t>
        <w:br/>
        <w:t>#    https://&lt;username&gt;-&lt;space-name&gt;.hf.space</w:t>
      </w:r>
    </w:p>
    <w:p>
      <w:pPr>
        <w:pStyle w:val="Heading2"/>
      </w:pPr>
      <w:r>
        <w:rPr>
          <w:color w:val="1F3A5F"/>
        </w:rPr>
        <w:t>5.10 Perbandingan Layer Deployment</w:t>
      </w:r>
    </w:p>
    <w:tbl>
      <w:tblPr>
        <w:tblStyle w:val="LightGrid-Accent1"/>
        <w:tblW w:type="auto" w:w="0"/>
        <w:tblLook w:firstColumn="1" w:firstRow="1" w:lastColumn="0" w:lastRow="0" w:noHBand="0" w:noVBand="1" w:val="04A0"/>
      </w:tblPr>
      <w:tblGrid>
        <w:gridCol w:w="2351"/>
        <w:gridCol w:w="2351"/>
        <w:gridCol w:w="2351"/>
        <w:gridCol w:w="2351"/>
      </w:tblGrid>
      <w:tr>
        <w:tc>
          <w:tcPr>
            <w:tcW w:type="dxa" w:w="1984"/>
            <w:shd w:fill="1F3A5F"/>
            <w:vAlign w:val="center"/>
          </w:tcPr>
          <w:p>
            <w:r/>
            <w:r>
              <w:rPr>
                <w:b/>
                <w:color w:val="FFFFFF"/>
                <w:sz w:val="20"/>
              </w:rPr>
              <w:t>Aspek</w:t>
            </w:r>
          </w:p>
        </w:tc>
        <w:tc>
          <w:tcPr>
            <w:tcW w:type="dxa" w:w="1984"/>
            <w:shd w:fill="1F3A5F"/>
            <w:vAlign w:val="center"/>
          </w:tcPr>
          <w:p>
            <w:r/>
            <w:r>
              <w:rPr>
                <w:b/>
                <w:color w:val="FFFFFF"/>
                <w:sz w:val="20"/>
              </w:rPr>
              <w:t>Layer 1 (Lokal)</w:t>
            </w:r>
          </w:p>
        </w:tc>
        <w:tc>
          <w:tcPr>
            <w:tcW w:type="dxa" w:w="2154"/>
            <w:shd w:fill="1F3A5F"/>
            <w:vAlign w:val="center"/>
          </w:tcPr>
          <w:p>
            <w:r/>
            <w:r>
              <w:rPr>
                <w:b/>
                <w:color w:val="FFFFFF"/>
                <w:sz w:val="20"/>
              </w:rPr>
              <w:t>Layer 2 (Tunnel)</w:t>
            </w:r>
          </w:p>
        </w:tc>
        <w:tc>
          <w:tcPr>
            <w:tcW w:type="dxa" w:w="2268"/>
            <w:shd w:fill="1F3A5F"/>
            <w:vAlign w:val="center"/>
          </w:tcPr>
          <w:p>
            <w:r/>
            <w:r>
              <w:rPr>
                <w:b/>
                <w:color w:val="FFFFFF"/>
                <w:sz w:val="20"/>
              </w:rPr>
              <w:t>Layer 3 (HF Spaces)</w:t>
            </w:r>
          </w:p>
        </w:tc>
      </w:tr>
      <w:tr>
        <w:tc>
          <w:tcPr>
            <w:tcW w:type="dxa" w:w="1984"/>
            <w:vAlign w:val="center"/>
          </w:tcPr>
          <w:p>
            <w:r/>
            <w:r>
              <w:rPr>
                <w:sz w:val="20"/>
              </w:rPr>
              <w:t>Biaya</w:t>
            </w:r>
          </w:p>
        </w:tc>
        <w:tc>
          <w:tcPr>
            <w:tcW w:type="dxa" w:w="1984"/>
            <w:vAlign w:val="center"/>
          </w:tcPr>
          <w:p>
            <w:r/>
            <w:r>
              <w:rPr>
                <w:sz w:val="20"/>
              </w:rPr>
              <w:t>Gratis</w:t>
            </w:r>
          </w:p>
        </w:tc>
        <w:tc>
          <w:tcPr>
            <w:tcW w:type="dxa" w:w="2154"/>
            <w:vAlign w:val="center"/>
          </w:tcPr>
          <w:p>
            <w:r/>
            <w:r>
              <w:rPr>
                <w:sz w:val="20"/>
              </w:rPr>
              <w:t>Gratis</w:t>
            </w:r>
          </w:p>
        </w:tc>
        <w:tc>
          <w:tcPr>
            <w:tcW w:type="dxa" w:w="2268"/>
            <w:vAlign w:val="center"/>
          </w:tcPr>
          <w:p>
            <w:r/>
            <w:r>
              <w:rPr>
                <w:sz w:val="20"/>
              </w:rPr>
              <w:t>Gratis (free tier)</w:t>
            </w:r>
          </w:p>
        </w:tc>
      </w:tr>
      <w:tr>
        <w:tc>
          <w:tcPr>
            <w:tcW w:type="dxa" w:w="1984"/>
            <w:vAlign w:val="center"/>
          </w:tcPr>
          <w:p>
            <w:r/>
            <w:r>
              <w:rPr>
                <w:sz w:val="20"/>
              </w:rPr>
              <w:t>URL publik</w:t>
            </w:r>
          </w:p>
        </w:tc>
        <w:tc>
          <w:tcPr>
            <w:tcW w:type="dxa" w:w="1984"/>
            <w:vAlign w:val="center"/>
          </w:tcPr>
          <w:p>
            <w:r/>
            <w:r>
              <w:rPr>
                <w:sz w:val="20"/>
              </w:rPr>
              <w:t>Tidak</w:t>
            </w:r>
          </w:p>
        </w:tc>
        <w:tc>
          <w:tcPr>
            <w:tcW w:type="dxa" w:w="2154"/>
            <w:vAlign w:val="center"/>
          </w:tcPr>
          <w:p>
            <w:r/>
            <w:r>
              <w:rPr>
                <w:sz w:val="20"/>
              </w:rPr>
              <w:t>Ya (temporary)</w:t>
            </w:r>
          </w:p>
        </w:tc>
        <w:tc>
          <w:tcPr>
            <w:tcW w:type="dxa" w:w="2268"/>
            <w:vAlign w:val="center"/>
          </w:tcPr>
          <w:p>
            <w:r/>
            <w:r>
              <w:rPr>
                <w:sz w:val="20"/>
              </w:rPr>
              <w:t>Ya (permanent)</w:t>
            </w:r>
          </w:p>
        </w:tc>
      </w:tr>
      <w:tr>
        <w:tc>
          <w:tcPr>
            <w:tcW w:type="dxa" w:w="1984"/>
            <w:vAlign w:val="center"/>
          </w:tcPr>
          <w:p>
            <w:r/>
            <w:r>
              <w:rPr>
                <w:sz w:val="20"/>
              </w:rPr>
              <w:t>URL stabil</w:t>
            </w:r>
          </w:p>
        </w:tc>
        <w:tc>
          <w:tcPr>
            <w:tcW w:type="dxa" w:w="1984"/>
            <w:vAlign w:val="center"/>
          </w:tcPr>
          <w:p>
            <w:r/>
            <w:r>
              <w:rPr>
                <w:sz w:val="20"/>
              </w:rPr>
              <w:t>—</w:t>
            </w:r>
          </w:p>
        </w:tc>
        <w:tc>
          <w:tcPr>
            <w:tcW w:type="dxa" w:w="2154"/>
            <w:vAlign w:val="center"/>
          </w:tcPr>
          <w:p>
            <w:r/>
            <w:r>
              <w:rPr>
                <w:sz w:val="20"/>
              </w:rPr>
              <w:t>Berubah tiap restart</w:t>
            </w:r>
          </w:p>
        </w:tc>
        <w:tc>
          <w:tcPr>
            <w:tcW w:type="dxa" w:w="2268"/>
            <w:vAlign w:val="center"/>
          </w:tcPr>
          <w:p>
            <w:r/>
            <w:r>
              <w:rPr>
                <w:sz w:val="20"/>
              </w:rPr>
              <w:t>Stabil 24/7</w:t>
            </w:r>
          </w:p>
        </w:tc>
      </w:tr>
      <w:tr>
        <w:tc>
          <w:tcPr>
            <w:tcW w:type="dxa" w:w="1984"/>
            <w:vAlign w:val="center"/>
          </w:tcPr>
          <w:p>
            <w:r/>
            <w:r>
              <w:rPr>
                <w:sz w:val="20"/>
              </w:rPr>
              <w:t>Butuh komputer nyala</w:t>
            </w:r>
          </w:p>
        </w:tc>
        <w:tc>
          <w:tcPr>
            <w:tcW w:type="dxa" w:w="1984"/>
            <w:vAlign w:val="center"/>
          </w:tcPr>
          <w:p>
            <w:r/>
            <w:r>
              <w:rPr>
                <w:sz w:val="20"/>
              </w:rPr>
              <w:t>Ya</w:t>
            </w:r>
          </w:p>
        </w:tc>
        <w:tc>
          <w:tcPr>
            <w:tcW w:type="dxa" w:w="2154"/>
            <w:vAlign w:val="center"/>
          </w:tcPr>
          <w:p>
            <w:r/>
            <w:r>
              <w:rPr>
                <w:sz w:val="20"/>
              </w:rPr>
              <w:t>Ya</w:t>
            </w:r>
          </w:p>
        </w:tc>
        <w:tc>
          <w:tcPr>
            <w:tcW w:type="dxa" w:w="2268"/>
            <w:vAlign w:val="center"/>
          </w:tcPr>
          <w:p>
            <w:r/>
            <w:r>
              <w:rPr>
                <w:sz w:val="20"/>
              </w:rPr>
              <w:t>Tidak</w:t>
            </w:r>
          </w:p>
        </w:tc>
      </w:tr>
      <w:tr>
        <w:tc>
          <w:tcPr>
            <w:tcW w:type="dxa" w:w="1984"/>
            <w:vAlign w:val="center"/>
          </w:tcPr>
          <w:p>
            <w:r/>
            <w:r>
              <w:rPr>
                <w:sz w:val="20"/>
              </w:rPr>
              <w:t>Setup time</w:t>
            </w:r>
          </w:p>
        </w:tc>
        <w:tc>
          <w:tcPr>
            <w:tcW w:type="dxa" w:w="1984"/>
            <w:vAlign w:val="center"/>
          </w:tcPr>
          <w:p>
            <w:r/>
            <w:r>
              <w:rPr>
                <w:sz w:val="20"/>
              </w:rPr>
              <w:t>Instan</w:t>
            </w:r>
          </w:p>
        </w:tc>
        <w:tc>
          <w:tcPr>
            <w:tcW w:type="dxa" w:w="2154"/>
            <w:vAlign w:val="center"/>
          </w:tcPr>
          <w:p>
            <w:r/>
            <w:r>
              <w:rPr>
                <w:sz w:val="20"/>
              </w:rPr>
              <w:t>~5 menit</w:t>
            </w:r>
          </w:p>
        </w:tc>
        <w:tc>
          <w:tcPr>
            <w:tcW w:type="dxa" w:w="2268"/>
            <w:vAlign w:val="center"/>
          </w:tcPr>
          <w:p>
            <w:r/>
            <w:r>
              <w:rPr>
                <w:sz w:val="20"/>
              </w:rPr>
              <w:t>~15 menit pertama kali</w:t>
            </w:r>
          </w:p>
        </w:tc>
      </w:tr>
      <w:tr>
        <w:tc>
          <w:tcPr>
            <w:tcW w:type="dxa" w:w="1984"/>
            <w:vAlign w:val="center"/>
          </w:tcPr>
          <w:p>
            <w:r/>
            <w:r>
              <w:rPr>
                <w:sz w:val="20"/>
              </w:rPr>
              <w:t>Use case</w:t>
            </w:r>
          </w:p>
        </w:tc>
        <w:tc>
          <w:tcPr>
            <w:tcW w:type="dxa" w:w="1984"/>
            <w:vAlign w:val="center"/>
          </w:tcPr>
          <w:p>
            <w:r/>
            <w:r>
              <w:rPr>
                <w:sz w:val="20"/>
              </w:rPr>
              <w:t>Development</w:t>
            </w:r>
          </w:p>
        </w:tc>
        <w:tc>
          <w:tcPr>
            <w:tcW w:type="dxa" w:w="2154"/>
            <w:vAlign w:val="center"/>
          </w:tcPr>
          <w:p>
            <w:r/>
            <w:r>
              <w:rPr>
                <w:sz w:val="20"/>
              </w:rPr>
              <w:t>Demo sidang</w:t>
            </w:r>
          </w:p>
        </w:tc>
        <w:tc>
          <w:tcPr>
            <w:tcW w:type="dxa" w:w="2268"/>
            <w:vAlign w:val="center"/>
          </w:tcPr>
          <w:p>
            <w:r/>
            <w:r>
              <w:rPr>
                <w:sz w:val="20"/>
              </w:rPr>
              <w:t>Portofolio / 24-7</w:t>
            </w:r>
          </w:p>
        </w:tc>
      </w:tr>
    </w:tbl>
    <w:p/>
    <w:p>
      <w:pPr>
        <w:spacing w:after="120"/>
      </w:pPr>
      <w:r>
        <w:rPr>
          <w:b/>
          <w:i w:val="0"/>
          <w:sz w:val="22"/>
        </w:rPr>
        <w:t>Catatan Free Tier Hugging Face Spaces:</w:t>
      </w:r>
    </w:p>
    <w:p>
      <w:pPr>
        <w:pStyle w:val="ListBullet"/>
        <w:spacing w:after="40"/>
      </w:pPr>
      <w:r>
        <w:rPr>
          <w:sz w:val="22"/>
        </w:rPr>
        <w:t>Resource: CPU 2 vCPU, RAM 16 GB, storage 50 GB (cukup untuk model 374 KB + dataset training kalau dibutuhkan).</w:t>
      </w:r>
    </w:p>
    <w:p>
      <w:pPr>
        <w:pStyle w:val="ListBullet"/>
        <w:spacing w:after="40"/>
      </w:pPr>
      <w:r>
        <w:rPr>
          <w:sz w:val="22"/>
        </w:rPr>
        <w:t>Sleep mode: Space akan otomatis sleep setelah ~48 jam idle. First visit setelah sleep memerlukan ~30 detik untuk wake up container (auto, tanpa intervensi).</w:t>
      </w:r>
    </w:p>
    <w:p>
      <w:pPr>
        <w:pStyle w:val="ListBullet"/>
        <w:spacing w:after="40"/>
      </w:pPr>
      <w:r>
        <w:rPr>
          <w:sz w:val="22"/>
        </w:rPr>
        <w:t>Visit reset countdown: setiap visit mereset timer 48 jam, sehingga selama ada aktivitas berkala Space tetap running.</w:t>
      </w:r>
    </w:p>
    <w:p>
      <w:pPr>
        <w:pStyle w:val="ListBullet"/>
        <w:spacing w:after="40"/>
      </w:pPr>
      <w:r>
        <w:rPr>
          <w:sz w:val="22"/>
        </w:rPr>
        <w:t>Build pertama lama (~10 menit) karena harus install semua dependencies. Build berikutnya lebih cepat (~2-3 menit) berkat Docker layer cache.</w:t>
      </w:r>
    </w:p>
    <w:p>
      <w:pPr>
        <w:pStyle w:val="Heading2"/>
      </w:pPr>
      <w:r>
        <w:rPr>
          <w:color w:val="1F3A5F"/>
        </w:rPr>
        <w:t>5.11 Source Code Repository (GitHub)</w:t>
      </w:r>
    </w:p>
    <w:p>
      <w:pPr>
        <w:spacing w:after="120"/>
        <w:ind w:firstLine="425"/>
        <w:jc w:val="both"/>
      </w:pPr>
      <w:r>
        <w:rPr>
          <w:sz w:val="22"/>
        </w:rPr>
        <w:t>Seluruh source code, model, konfigurasi pipeline, laporan, dan dokumentasi proyek di-publish sebagai repositori open-source di GitHub untuk transparansi, reproducibility, dan kemudahan akses bagi reviewer:</w:t>
      </w:r>
    </w:p>
    <w:p>
      <w:pPr>
        <w:jc w:val="center"/>
      </w:pPr>
      <w:r>
        <w:rPr>
          <w:b/>
          <w:color w:val="1F3A5F"/>
          <w:sz w:val="24"/>
        </w:rPr>
        <w:t>https://github.com/rafafifuwae/rfm-customer-segmentation</w:t>
      </w:r>
    </w:p>
    <w:p>
      <w:pPr>
        <w:spacing w:after="120"/>
      </w:pPr>
      <w:r>
        <w:rPr>
          <w:b/>
          <w:i w:val="0"/>
          <w:sz w:val="22"/>
        </w:rPr>
        <w:t>Isi Repository:</w:t>
      </w:r>
    </w:p>
    <w:p>
      <w:pPr>
        <w:pStyle w:val="ListBullet"/>
        <w:spacing w:after="40"/>
      </w:pPr>
      <w:r>
        <w:rPr>
          <w:sz w:val="22"/>
        </w:rPr>
        <w:t>Pipeline notebook lengkap (data collection, EDA, preprocessing, modeling) dengan output cell tersimpan untuk dibaca langsung di GitHub.</w:t>
      </w:r>
    </w:p>
    <w:p>
      <w:pPr>
        <w:pStyle w:val="ListBullet"/>
        <w:spacing w:after="40"/>
      </w:pPr>
      <w:r>
        <w:rPr>
          <w:sz w:val="22"/>
        </w:rPr>
        <w:t>Source code aplikasi serving (FastAPI + Streamlit + predictor wrapper) yang siap di-clone dan dijalankan.</w:t>
      </w:r>
    </w:p>
    <w:p>
      <w:pPr>
        <w:pStyle w:val="ListBullet"/>
        <w:spacing w:after="40"/>
      </w:pPr>
      <w:r>
        <w:rPr>
          <w:sz w:val="22"/>
        </w:rPr>
        <w:t>Model K-Means terlatih (models/kmeans_rfm.pkl, 374 KB) beserta serving artifacts (winsorize bounds + segment mapping).</w:t>
      </w:r>
    </w:p>
    <w:p>
      <w:pPr>
        <w:pStyle w:val="ListBullet"/>
        <w:spacing w:after="40"/>
      </w:pPr>
      <w:r>
        <w:rPr>
          <w:sz w:val="22"/>
        </w:rPr>
        <w:t>Docker config (Dockerfile, start.sh) untuk deployment otomatis ke Hugging Face Spaces atau platform container lain.</w:t>
      </w:r>
    </w:p>
    <w:p>
      <w:pPr>
        <w:pStyle w:val="ListBullet"/>
        <w:spacing w:after="40"/>
      </w:pPr>
      <w:r>
        <w:rPr>
          <w:sz w:val="22"/>
        </w:rPr>
        <w:t>27 file gambar visualisasi (21 figure modeling + 6 screenshot deployment) sebagai bukti hasil dan dokumentasi visual.</w:t>
      </w:r>
    </w:p>
    <w:p>
      <w:pPr>
        <w:pStyle w:val="ListBullet"/>
        <w:spacing w:after="40"/>
      </w:pPr>
      <w:r>
        <w:rPr>
          <w:sz w:val="22"/>
        </w:rPr>
        <w:t>Laporan tugas dalam format DOCX yang siap di-review.</w:t>
      </w:r>
    </w:p>
    <w:p>
      <w:pPr>
        <w:pStyle w:val="ListBullet"/>
        <w:spacing w:after="40"/>
      </w:pPr>
      <w:r>
        <w:rPr>
          <w:sz w:val="22"/>
        </w:rPr>
        <w:t>DVC pipeline configuration (dvc.yaml, params.yaml) untuk reproducibility eksperimen.</w:t>
      </w:r>
    </w:p>
    <w:p>
      <w:pPr>
        <w:spacing w:after="120"/>
      </w:pPr>
      <w:r>
        <w:rPr>
          <w:b/>
          <w:i w:val="0"/>
          <w:sz w:val="22"/>
        </w:rPr>
        <w:t>Tidak Disertakan (sesuai .gitignore):</w:t>
      </w:r>
    </w:p>
    <w:p>
      <w:pPr>
        <w:pStyle w:val="ListBullet"/>
        <w:spacing w:after="40"/>
      </w:pPr>
      <w:r>
        <w:rPr>
          <w:sz w:val="22"/>
        </w:rPr>
        <w:t>Dataset raw Olist (~120 MB) — terlalu besar untuk Git biasa. Dataset dapat di-download dari Kaggle (referensi link di README) atau di-track via DVC remote.</w:t>
      </w:r>
    </w:p>
    <w:p>
      <w:pPr>
        <w:pStyle w:val="ListBullet"/>
        <w:spacing w:after="40"/>
      </w:pPr>
      <w:r>
        <w:rPr>
          <w:sz w:val="22"/>
        </w:rPr>
        <w:t>Virtual environment (.venv) dan dependency yang terinstall — dapat di-restore via pip install -r requirements.txt.</w:t>
      </w:r>
    </w:p>
    <w:p>
      <w:pPr>
        <w:pStyle w:val="ListBullet"/>
        <w:spacing w:after="40"/>
      </w:pPr>
      <w:r>
        <w:rPr>
          <w:sz w:val="22"/>
        </w:rPr>
        <w:t>File cache dan temporary lain (__pycache__, .ipynb_checkpoints, .dvc/cache).</w:t>
      </w:r>
    </w:p>
    <w:p>
      <w:pPr>
        <w:spacing w:after="120"/>
      </w:pPr>
      <w:r>
        <w:rPr>
          <w:b/>
          <w:i w:val="0"/>
          <w:sz w:val="22"/>
        </w:rPr>
        <w:t>Cara Clone &amp; Jalankan:</w:t>
      </w:r>
    </w:p>
    <w:p>
      <w:pPr>
        <w:spacing w:after="120"/>
        <w:ind w:left="283"/>
        <w:shd w:fill="F2F2F2"/>
      </w:pPr>
      <w:r>
        <w:rPr>
          <w:rFonts w:ascii="Consolas" w:hAnsi="Consolas"/>
          <w:sz w:val="18"/>
          <w:rFonts w:ascii="Consolas" w:hAnsi="Consolas" w:cs="Consolas"/>
        </w:rPr>
        <w:t># 1. Clone repository</w:t>
        <w:br/>
        <w:t>git clone https://github.com/rafafifuwae/rfm-customer-segmentation.git</w:t>
        <w:br/>
        <w:t>cd rfm-customer-segmentation</w:t>
        <w:br/>
        <w:br/>
        <w:t># 2. Setup virtual environment</w:t>
        <w:br/>
        <w:t>python -m venv .venv</w:t>
        <w:br/>
        <w:t>source .venv/bin/activate          # Linux/Mac</w:t>
        <w:br/>
        <w:t># .venv\Scripts\activate          # Windows</w:t>
        <w:br/>
        <w:br/>
        <w:t># 3. Install dependencies</w:t>
        <w:br/>
        <w:t>pip install -r requirements.txt</w:t>
        <w:br/>
        <w:br/>
        <w:t># 4. (Opsional) Download dataset Olist dari Kaggle</w:t>
        <w:br/>
        <w:t>#    https://www.kaggle.com/datasets/olistbr/brazilian-ecommerce</w:t>
        <w:br/>
        <w:t>#    Ekstrak ke folder data/raw/</w:t>
        <w:br/>
        <w:t>#    (Skip langkah ini kalau hanya ingin menjalankan inference,</w:t>
        <w:br/>
        <w:t>#     karena model &amp; serving artifacts sudah ter-include)</w:t>
        <w:br/>
        <w:br/>
        <w:t># 5. Jalankan aplikasi</w:t>
        <w:br/>
        <w:t>./scripts/run_app.sh</w:t>
        <w:br/>
        <w:t>#    UI       : http://localhost:8501</w:t>
        <w:br/>
        <w:t>#    API docs : http://localhost:8000/docs</w:t>
      </w:r>
    </w:p>
    <w:p>
      <w:pPr>
        <w:spacing w:after="120"/>
      </w:pPr>
      <w:r>
        <w:rPr>
          <w:b/>
          <w:i w:val="0"/>
          <w:sz w:val="22"/>
        </w:rPr>
        <w:t>Manfaat Publikasi di GitHub:</w:t>
      </w:r>
    </w:p>
    <w:p>
      <w:pPr>
        <w:pStyle w:val="ListBullet"/>
        <w:spacing w:after="40"/>
      </w:pPr>
      <w:r>
        <w:rPr>
          <w:sz w:val="22"/>
        </w:rPr>
        <w:t>Transparansi penelitian — reviewer/dosen dapat memeriksa setiap baris kode dan keputusan teknis langsung di browser.</w:t>
      </w:r>
    </w:p>
    <w:p>
      <w:pPr>
        <w:pStyle w:val="ListBullet"/>
        <w:spacing w:after="40"/>
      </w:pPr>
      <w:r>
        <w:rPr>
          <w:sz w:val="22"/>
        </w:rPr>
        <w:t>Reproducibility — siapa pun dapat menjalankan ulang pipeline yang sama dengan random_state yang fixed.</w:t>
      </w:r>
    </w:p>
    <w:p>
      <w:pPr>
        <w:pStyle w:val="ListBullet"/>
        <w:spacing w:after="40"/>
      </w:pPr>
      <w:r>
        <w:rPr>
          <w:sz w:val="22"/>
        </w:rPr>
        <w:t>Portofolio profesional — repository menjadi bukti karya nyata dengan dokumentasi lengkap (commit history, README, kode).</w:t>
      </w:r>
    </w:p>
    <w:p>
      <w:pPr>
        <w:pStyle w:val="ListBullet"/>
        <w:spacing w:after="40"/>
      </w:pPr>
      <w:r>
        <w:rPr>
          <w:sz w:val="22"/>
        </w:rPr>
        <w:t>Versioning — perubahan kode tercatat lengkap melalui commit history, memudahkan tracking eksperimen.</w:t>
      </w:r>
    </w:p>
    <w:p>
      <w:pPr>
        <w:pStyle w:val="ListBullet"/>
        <w:spacing w:after="40"/>
      </w:pPr>
      <w:r>
        <w:rPr>
          <w:sz w:val="22"/>
        </w:rPr>
        <w:t>Kolaborasi — siapa pun dapat fork, contribute, atau mengadaptasi project untuk dataset lain.</w:t>
      </w:r>
    </w:p>
    <w:p>
      <w:pPr>
        <w:pStyle w:val="Heading1"/>
      </w:pPr>
      <w:r>
        <w:rPr>
          <w:color w:val="1F3A5F"/>
        </w:rPr>
        <w:t>Kesimpulan</w:t>
      </w:r>
    </w:p>
    <w:p>
      <w:pPr>
        <w:spacing w:after="120"/>
        <w:ind w:firstLine="425"/>
        <w:jc w:val="both"/>
      </w:pPr>
      <w:r>
        <w:rPr>
          <w:sz w:val="22"/>
        </w:rPr>
        <w:t>Penelitian ini berhasil membangun sistem segmentasi pelanggan end-to-end mulai dari raw data sekitar 120 MB hingga deployment yang siap pakai. Pipeline mengikuti standar CRISP-DM, di-track via DVC untuk reproducibility, dan menghasilkan 4 segmen pelanggan dengan metrik Silhouette = 0,372 dan Davies-Bouldin = 0,763 yang menunjukkan kualitas clustering yang baik untuk konteks data perilaku pelanggan. Hasil segmentasi diterjemahkan menjadi rekomendasi strategi pemasaran yang spesifik per segmen (Champions, Loyal Customers, At Risk, Hibernating / Lost).</w:t>
      </w:r>
    </w:p>
    <w:p>
      <w:pPr>
        <w:spacing w:after="120"/>
        <w:ind w:firstLine="425"/>
        <w:jc w:val="both"/>
      </w:pPr>
      <w:r>
        <w:rPr>
          <w:sz w:val="22"/>
        </w:rPr>
        <w:t>Dari sisi deployment, sistem dirancang dengan tiga layer yang saling melengkapi: (1) Layer lokal untuk development, (2) Layer demo publik via Cloudflare Tunnel untuk presentasi cepat tanpa biaya tambahan, dan (3) Layer hosting permanen via Docker + Hugging Face Spaces untuk akses 24/7. Aplikasi dapat diakses melalui Web UI Streamlit yang interaktif maupun REST API FastAPI yang siap diintegrasikan dengan sistem lain. Strategi multi-layer ini memastikan transisi mulus dari development hingga production tanpa perubahan kode aplikasi.</w:t>
      </w:r>
    </w:p>
    <w:p>
      <w:pPr>
        <w:spacing w:after="120"/>
        <w:ind w:firstLine="425"/>
        <w:jc w:val="both"/>
      </w:pPr>
      <w:r>
        <w:rPr>
          <w:sz w:val="22"/>
        </w:rPr>
        <w:t>Sebagai bentuk transparansi dan untuk mendukung reproducibility, seluruh kode, model, konfigurasi, dan laporan dipublikasikan sebagai repository open-source di GitHub (https://github.com/rafafifuwae/rfm-customer-segmentation) sehingga reviewer maupun pihak ketiga dapat memeriksa, menjalankan ulang, atau mengadaptasi sistem ini untuk dataset lain.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