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157"/>
      </w:tblGrid>
      <w:tr>
        <w:tc>
          <w:tcPr>
            <w:tcW w:type="dxa" w:w="465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742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pany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74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58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991B1B"/>
                <w:sz w:val="26"/>
              </w:rPr>
              <w:t>PT ASHOKA MULTI SINERGI (AMS PROPERTI)</w:t>
              <w:br/>
            </w:r>
            <w:r>
              <w:rPr>
                <w:rFonts w:ascii="Arial" w:hAnsi="Arial"/>
                <w:b/>
                <w:color w:val="0F172A"/>
                <w:sz w:val="18"/>
              </w:rPr>
              <w:t>DEVELOPER &amp; REAL ESTATE MANAGEMENT SYSTEM</w:t>
              <w:br/>
            </w:r>
            <w:r>
              <w:rPr>
                <w:rFonts w:ascii="Arial" w:hAnsi="Arial"/>
                <w:color w:val="475569"/>
                <w:sz w:val="16"/>
              </w:rPr>
              <w:t>Head Office: Bizhub Commercial Complex, Kav. 08-09 | Website: amsproperti.site</w:t>
              <w:br/>
              <w:t>Divisi Human Resources Development (HRD) &amp; General Affair</w:t>
            </w:r>
          </w:p>
        </w:tc>
      </w:tr>
    </w:tbl>
    <w:p>
      <w:pPr>
        <w:spacing w:before="80" w:after="280"/>
        <w:pBdr>
          <w:bottom w:val="single" w:sz="16" w:space="1" w:color="991B1B"/>
        </w:pBdr>
      </w:pPr>
    </w:p>
    <w:p>
      <w:pPr>
        <w:spacing w:before="0" w:after="80"/>
        <w:jc w:val="center"/>
      </w:pPr>
      <w:r>
        <w:rPr>
          <w:rFonts w:ascii="Arial" w:hAnsi="Arial"/>
          <w:b/>
          <w:color w:val="0F172A"/>
          <w:sz w:val="28"/>
        </w:rPr>
        <w:t>PANDUAN STANDAR OPERASIONAL &amp; FORMULA PERHITUNGAN</w:t>
        <w:br/>
        <w:t>MODUL KEY PERFORMANCE INDICATORS (KPI)</w:t>
      </w:r>
    </w:p>
    <w:p>
      <w:pPr>
        <w:spacing w:after="240"/>
        <w:jc w:val="center"/>
      </w:pPr>
      <w:r>
        <w:rPr>
          <w:rFonts w:ascii="Arial" w:hAnsi="Arial"/>
          <w:i/>
          <w:color w:val="475569"/>
          <w:sz w:val="20"/>
        </w:rPr>
        <w:t>Sistem Evaluasi Kinerja Karyawan Terintegrasi ERP AMS Property Management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04"/>
        <w:gridCol w:w="2448"/>
        <w:gridCol w:w="2016"/>
        <w:gridCol w:w="2549"/>
      </w:tblGrid>
      <w:tr>
        <w:tc>
          <w:tcPr>
            <w:tcW w:type="dxa" w:w="2329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Nomor Dokumen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SOP/HRD-AMS/KPI/2026/01</w:t>
            </w:r>
          </w:p>
        </w:tc>
        <w:tc>
          <w:tcPr>
            <w:tcW w:type="dxa" w:w="2329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Tanggal Efektif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01 Oktober 2026</w:t>
            </w:r>
          </w:p>
        </w:tc>
      </w:tr>
      <w:tr>
        <w:tc>
          <w:tcPr>
            <w:tcW w:type="dxa" w:w="2329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Revisi / Versi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Rev. 02 / Terintegrasi</w:t>
            </w:r>
          </w:p>
        </w:tc>
        <w:tc>
          <w:tcPr>
            <w:tcW w:type="dxa" w:w="2329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7"/>
              </w:rPr>
              <w:t>Klasifikasi</w:t>
            </w:r>
          </w:p>
        </w:tc>
        <w:tc>
          <w:tcPr>
            <w:tcW w:type="dxa" w:w="232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Dokumen Internal Terkendali</w:t>
            </w:r>
          </w:p>
        </w:tc>
      </w:tr>
    </w:tbl>
    <w:p>
      <w:pPr>
        <w:spacing w:before="160" w:after="80"/>
      </w:pPr>
    </w:p>
    <w:p>
      <w:pPr>
        <w:spacing w:before="200" w:after="80"/>
      </w:pPr>
      <w:r>
        <w:rPr>
          <w:rFonts w:ascii="Arial" w:hAnsi="Arial"/>
          <w:b/>
          <w:color w:val="991B1B"/>
          <w:sz w:val="22"/>
        </w:rPr>
        <w:t>BAB I: LATAR BELAKANG &amp; FILOSOFI PENILAIAN TERPADU</w:t>
      </w:r>
    </w:p>
    <w:p>
      <w:pPr>
        <w:spacing w:after="120" w:line="276" w:lineRule="auto"/>
      </w:pPr>
      <w:r>
        <w:rPr>
          <w:color w:val="1E293B"/>
          <w:sz w:val="19"/>
        </w:rPr>
        <w:t>Modul Key Performance Indicators (KPI) pada sistem ERP PT Ashoka Multi Sinergi dirancang untuk mewujudkan evaluasi kinerja yang objektif, transparan, dan terukur berbasis data riil (Data-Driven KPI). Berbeda dengan evaluasi konvensional yang kerap dipengaruhi persepsi subjektif, sistem AMS mengintegrasikan kalkulasi performa secara otomatis dengan modul operasional harian perusahaan:</w:t>
        <w:br/>
        <w:t>1. Modul Instruksi Tugas &amp; To-Do List Harian: Mengukur ketuntasan dan kecepatan eksekusi tugas (SLA on-time).</w:t>
        <w:br/>
        <w:t>2. Modul Presensi GPS Geofencing: Menghitung rasio kedisiplinan kehadiran di kantor/proyek secara presisi.</w:t>
        <w:br/>
        <w:t>3. Modul Capaian Target Divisi: Mengukur output fisik (closing unit, kurva-S konstruksi, validasi legal, buku kas).</w:t>
        <w:br/>
        <w:t>4. Asesmen Perilaku Manajerial: Menilai integritas, etika kerja, kepatuhan SOP, dan kerjasama tim.</w:t>
      </w:r>
    </w:p>
    <w:p>
      <w:pPr>
        <w:spacing w:before="240" w:after="80"/>
      </w:pPr>
      <w:r>
        <w:rPr>
          <w:rFonts w:ascii="Arial" w:hAnsi="Arial"/>
          <w:b/>
          <w:color w:val="991B1B"/>
          <w:sz w:val="22"/>
        </w:rPr>
        <w:t>BAB II: STRUKTUR 4 PILAR UTAMA &amp; DISTRIBUSI BOBOT SKOR</w:t>
      </w:r>
    </w:p>
    <w:p>
      <w:pPr>
        <w:spacing w:after="120"/>
      </w:pPr>
      <w:r>
        <w:rPr>
          <w:color w:val="1E293B"/>
          <w:sz w:val="19"/>
        </w:rPr>
        <w:t>Setiap karyawan dievaluasi menggunakan skala 0 hingga 100 poin yang terdistribusi ke dalam 4 pilar fundamental dengan proporsi bobot sebagai berikut: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864"/>
        <w:gridCol w:w="3168"/>
        <w:gridCol w:w="1296"/>
        <w:gridCol w:w="3989"/>
      </w:tblGrid>
      <w:tr>
        <w:tc>
          <w:tcPr>
            <w:tcW w:type="dxa" w:w="2329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329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Pilar Evaluasi Kinerja</w:t>
            </w:r>
          </w:p>
        </w:tc>
        <w:tc>
          <w:tcPr>
            <w:tcW w:type="dxa" w:w="2329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Bobot</w:t>
            </w:r>
          </w:p>
        </w:tc>
        <w:tc>
          <w:tcPr>
            <w:tcW w:type="dxa" w:w="2329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Sumber Data &amp; Parameter Pengukuran</w:t>
            </w:r>
          </w:p>
        </w:tc>
      </w:tr>
      <w:tr>
        <w:tc>
          <w:tcPr>
            <w:tcW w:type="dxa" w:w="232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1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Hard Target Output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>40 %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Realisasi target kunci per divisi (Closing unit, Kurva-S deviasi fisik, validasi sertifikat, buku kas audit).</w:t>
            </w:r>
          </w:p>
        </w:tc>
      </w:tr>
      <w:tr>
        <w:tc>
          <w:tcPr>
            <w:tcW w:type="dxa" w:w="232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2</w:t>
            </w:r>
          </w:p>
        </w:tc>
        <w:tc>
          <w:tcPr>
            <w:tcW w:type="dxa" w:w="232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Eksekusi To-Do List</w:t>
            </w:r>
          </w:p>
        </w:tc>
        <w:tc>
          <w:tcPr>
            <w:tcW w:type="dxa" w:w="232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>25 %</w:t>
            </w:r>
          </w:p>
        </w:tc>
        <w:tc>
          <w:tcPr>
            <w:tcW w:type="dxa" w:w="232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Log riil modul Tugas &amp; Instruksi Kerja (Tingkat ketuntasan tugas + SLA ketepatan waktu sebelum deadline).</w:t>
            </w:r>
          </w:p>
        </w:tc>
      </w:tr>
      <w:tr>
        <w:tc>
          <w:tcPr>
            <w:tcW w:type="dxa" w:w="232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3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Presensi &amp; Absensi GPS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>15 %</w:t>
            </w:r>
          </w:p>
        </w:tc>
        <w:tc>
          <w:tcPr>
            <w:tcW w:type="dxa" w:w="232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Log modul Presensi Geofencing GPS (Tingkat kehadiran tepat waktu, nihil keterlambatan / izin tanpa kabar).</w:t>
            </w:r>
          </w:p>
        </w:tc>
      </w:tr>
      <w:tr>
        <w:tc>
          <w:tcPr>
            <w:tcW w:type="dxa" w:w="232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4</w:t>
            </w:r>
          </w:p>
        </w:tc>
        <w:tc>
          <w:tcPr>
            <w:tcW w:type="dxa" w:w="232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Soft Skills &amp; Integritas</w:t>
            </w:r>
          </w:p>
        </w:tc>
        <w:tc>
          <w:tcPr>
            <w:tcW w:type="dxa" w:w="232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>20 %</w:t>
            </w:r>
          </w:p>
        </w:tc>
        <w:tc>
          <w:tcPr>
            <w:tcW w:type="dxa" w:w="232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Penilaian atasan langsung (Etika kerja, kepatuhan SOP, inisiatif, kerjasama tim, dan integritas perusahaan).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991B1B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991B1B"/>
                <w:sz w:val="19"/>
              </w:rPr>
              <w:t>★ RUMUS BESAR KALKULASI AKHIR (KPI MASTER FORMULA)</w:t>
              <w:br/>
            </w:r>
            <w:r>
              <w:rPr>
                <w:rFonts w:ascii="Arial" w:hAnsi="Arial"/>
                <w:color w:val="1E293B"/>
                <w:sz w:val="19"/>
              </w:rPr>
              <w:t>Skor Akhir KPI = (Hard Target × 40%) + (To-Do List × 25%) + (Absensi × 15%) + (Soft Skills × 20%)</w:t>
              <w:br/>
              <w:t>Total bobot akumulasi bernilai tepat 100%. Seluruh nilai input berskala 0 - 100 poin.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Arial" w:hAnsi="Arial"/>
          <w:b/>
          <w:color w:val="991B1B"/>
          <w:sz w:val="22"/>
        </w:rPr>
        <w:t>BAB III: METODOLOGI &amp; RUMUS MATEMATIS TIAP PILAR</w:t>
      </w:r>
    </w:p>
    <w:p>
      <w:pPr>
        <w:spacing w:after="40"/>
      </w:pPr>
      <w:r>
        <w:rPr>
          <w:b/>
          <w:color w:val="0F172A"/>
          <w:sz w:val="20"/>
        </w:rPr>
        <w:t>3.1 Pilar 1: Hard Target / Output Divisi (Bobot 40%)</w:t>
        <w:br/>
      </w:r>
      <w:r>
        <w:rPr>
          <w:sz w:val="18"/>
        </w:rPr>
        <w:t>Menilai pencapaian kuantitatif atas Sasaran Kerja Individu (SKI). Evaluasi diberikan oleh Kepala Divisi berdasarkan realisasi riil dokumen fisik pada sistem (misal: SPR closing, Berita Acara STK, Laporan Keuangan). Rumus pencapaian target:</w:t>
        <w:br/>
        <w:t xml:space="preserve">  • Skor = (Realisasi Aktual / Target Rencana) × 100  [Maksimal 100.0 poin]</w:t>
      </w:r>
    </w:p>
    <w:p>
      <w:pPr>
        <w:spacing w:after="40"/>
      </w:pPr>
      <w:r>
        <w:rPr>
          <w:b/>
          <w:color w:val="0F172A"/>
          <w:sz w:val="20"/>
        </w:rPr>
        <w:t>3.2 Pilar 2: Eksekusi To-Do List &amp; Kecepatan Kerja (Bobot 25%)</w:t>
        <w:br/>
      </w:r>
      <w:r>
        <w:rPr>
          <w:sz w:val="18"/>
        </w:rPr>
        <w:t>Sistem ERP AMS menghitung otomatis seluruh penugasan yang diberikan oleh pimpinan ke karyawan bersangkutan. Skor To-Do List merupakan perpaduan antara rasio ketuntasan (50%) dan rasio kepatuhan batas waktu / SLA (50%):</w:t>
        <w:br/>
        <w:t xml:space="preserve">  1. Completion Rate (%) = (Total Tugas Selesai / Total Tugas Diberikan) × 100%</w:t>
        <w:br/>
        <w:t xml:space="preserve">  2. On-Time Rate (%) = (Tugas Selesai Tepat Waktu / Total Tugas Selesai) × 100%</w:t>
        <w:br/>
        <w:t xml:space="preserve">  3. Skor Mentah = (Completion Rate × 0.5) + (On-Time Rate × 0.5)</w:t>
        <w:br/>
        <w:t xml:space="preserve">  4. Fast-Track Bonus: Penyelesaian tugas &gt;4 jam sebelum deadline memberikan nilai percepatan (rata-rata 4.2 jam).</w:t>
      </w:r>
    </w:p>
    <w:p>
      <w:pPr>
        <w:spacing w:after="40"/>
      </w:pPr>
      <w:r>
        <w:rPr>
          <w:b/>
          <w:color w:val="0F172A"/>
          <w:sz w:val="20"/>
        </w:rPr>
        <w:t>3.3 Pilar 3: Log Presensi GPS Geofencing (Bobot 15%)</w:t>
        <w:br/>
      </w:r>
      <w:r>
        <w:rPr>
          <w:sz w:val="18"/>
        </w:rPr>
        <w:t>Dihitung secara real-time dari modul Presensi AMS. Karyawan yang melakukan check-in di luar radius kantor atau terlambat (lateMinutes &gt; 0) akan tercatat otomatis:</w:t>
        <w:br/>
        <w:t xml:space="preserve">  • On-Time Attendance Rate (%) = (Hari Hadir Tepat Waktu / Total Hari Masuk Kerja) × 100%</w:t>
        <w:br/>
        <w:t xml:space="preserve">  • Karyawan tanpa keterlambatan mendapatkan poin penuh 100.0.</w:t>
      </w:r>
    </w:p>
    <w:p>
      <w:pPr>
        <w:spacing w:after="80"/>
      </w:pPr>
      <w:r>
        <w:rPr>
          <w:b/>
          <w:color w:val="0F172A"/>
          <w:sz w:val="20"/>
        </w:rPr>
        <w:t>3.4 Pilar 4: Soft Skills, Sikap Kerja &amp; Integritas (Bobot 20%)</w:t>
        <w:br/>
      </w:r>
      <w:r>
        <w:rPr>
          <w:sz w:val="18"/>
        </w:rPr>
        <w:t>Dinilai melalui kuisioner manajerial terstandar yang meliputi 4 elemen kunci: (1) Integritas &amp; Kepatuhan SOP (25%), (2) Inisiatif &amp; Kecepatan Solusi (25%), (3) Kerjasama Lintas Divisi (25%), dan (4) Tanggung Jawab Aset Kantor (25%).</w:t>
      </w:r>
    </w:p>
    <w:p>
      <w:pPr>
        <w:spacing w:before="200" w:after="80"/>
      </w:pPr>
      <w:r>
        <w:rPr>
          <w:rFonts w:ascii="Arial" w:hAnsi="Arial"/>
          <w:b/>
          <w:color w:val="991B1B"/>
          <w:sz w:val="22"/>
        </w:rPr>
        <w:t>BAB IV: MATRIKS SKALA GRADE, PREDIKAT &amp; REKOMENDASI HRD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584"/>
        <w:gridCol w:w="1584"/>
        <w:gridCol w:w="2592"/>
        <w:gridCol w:w="1872"/>
        <w:gridCol w:w="1685"/>
      </w:tblGrid>
      <w:tr>
        <w:tc>
          <w:tcPr>
            <w:tcW w:type="dxa" w:w="1863"/>
            <w:shd w:fill="0F172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Grade</w:t>
            </w:r>
          </w:p>
        </w:tc>
        <w:tc>
          <w:tcPr>
            <w:tcW w:type="dxa" w:w="1863"/>
            <w:shd w:fill="0F172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Rentang Skor</w:t>
            </w:r>
          </w:p>
        </w:tc>
        <w:tc>
          <w:tcPr>
            <w:tcW w:type="dxa" w:w="1863"/>
            <w:shd w:fill="0F172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Predikat Kinerja</w:t>
            </w:r>
          </w:p>
        </w:tc>
        <w:tc>
          <w:tcPr>
            <w:tcW w:type="dxa" w:w="1863"/>
            <w:shd w:fill="0F172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Rekomendasi HRD</w:t>
            </w:r>
          </w:p>
        </w:tc>
        <w:tc>
          <w:tcPr>
            <w:tcW w:type="dxa" w:w="1863"/>
            <w:shd w:fill="0F172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Status Kontrak</w:t>
            </w:r>
          </w:p>
        </w:tc>
      </w:tr>
      <w:tr>
        <w:tc>
          <w:tcPr>
            <w:tcW w:type="dxa" w:w="1863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10B981"/>
                <w:sz w:val="17"/>
              </w:rPr>
              <w:t>Grade A</w:t>
            </w:r>
          </w:p>
        </w:tc>
        <w:tc>
          <w:tcPr>
            <w:tcW w:type="dxa" w:w="1863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1E293B"/>
                <w:sz w:val="17"/>
              </w:rPr>
              <w:t>90.0 – 100.0</w:t>
            </w:r>
          </w:p>
        </w:tc>
        <w:tc>
          <w:tcPr>
            <w:tcW w:type="dxa" w:w="1863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  <w:r>
              <w:rPr>
                <w:color w:val="1E293B"/>
                <w:sz w:val="17"/>
              </w:rPr>
              <w:t>Sangat Memuaskan</w:t>
              <w:br/>
              <w:t>(Exceeds Expectations)</w:t>
            </w:r>
          </w:p>
        </w:tc>
        <w:tc>
          <w:tcPr>
            <w:tcW w:type="dxa" w:w="1863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  <w:r>
              <w:rPr>
                <w:color w:val="1E293B"/>
                <w:sz w:val="17"/>
              </w:rPr>
              <w:t>Insentif Bonus Kuartal Penuh &amp; Prioritas Promosi Jabatan</w:t>
            </w:r>
          </w:p>
        </w:tc>
        <w:tc>
          <w:tcPr>
            <w:tcW w:type="dxa" w:w="1863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  <w:r>
              <w:rPr>
                <w:color w:val="1E293B"/>
                <w:sz w:val="17"/>
              </w:rPr>
              <w:t>Diperpanjang / Diangkat Tetap</w:t>
            </w:r>
          </w:p>
        </w:tc>
      </w:tr>
      <w:tr>
        <w:tc>
          <w:tcPr>
            <w:tcW w:type="dxa" w:w="186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284C7"/>
                <w:sz w:val="17"/>
              </w:rPr>
              <w:t>Grade B</w:t>
            </w:r>
          </w:p>
        </w:tc>
        <w:tc>
          <w:tcPr>
            <w:tcW w:type="dxa" w:w="186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80.0 – 89.9</w:t>
            </w:r>
          </w:p>
        </w:tc>
        <w:tc>
          <w:tcPr>
            <w:tcW w:type="dxa" w:w="186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Baik &amp; Produktif</w:t>
              <w:br/>
              <w:t>(Meets Expectations)</w:t>
            </w:r>
          </w:p>
        </w:tc>
        <w:tc>
          <w:tcPr>
            <w:tcW w:type="dxa" w:w="186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Perpanjangan Kontrak PKWT &amp; Insentif Standar Tercapai</w:t>
            </w:r>
          </w:p>
        </w:tc>
        <w:tc>
          <w:tcPr>
            <w:tcW w:type="dxa" w:w="186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Diperpanjang PKWT</w:t>
            </w:r>
          </w:p>
        </w:tc>
      </w:tr>
      <w:tr>
        <w:tc>
          <w:tcPr>
            <w:tcW w:type="dxa" w:w="1863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D97706"/>
                <w:sz w:val="17"/>
              </w:rPr>
              <w:t>Grade C</w:t>
            </w:r>
          </w:p>
        </w:tc>
        <w:tc>
          <w:tcPr>
            <w:tcW w:type="dxa" w:w="1863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color w:val="1E293B"/>
                <w:sz w:val="17"/>
              </w:rPr>
              <w:t>70.0 – 79.9</w:t>
            </w:r>
          </w:p>
        </w:tc>
        <w:tc>
          <w:tcPr>
            <w:tcW w:type="dxa" w:w="1863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  <w:r>
              <w:rPr>
                <w:color w:val="1E293B"/>
                <w:sz w:val="17"/>
              </w:rPr>
              <w:t>Cukup / Perlu Pembinaan</w:t>
              <w:br/>
              <w:t>(Needs Improvement)</w:t>
            </w:r>
          </w:p>
        </w:tc>
        <w:tc>
          <w:tcPr>
            <w:tcW w:type="dxa" w:w="1863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  <w:r>
              <w:rPr>
                <w:color w:val="1E293B"/>
                <w:sz w:val="17"/>
              </w:rPr>
              <w:t>Program Pendampingan Khusus (PIP) &amp; Evaluasi Berkala 3 Bulan</w:t>
            </w:r>
          </w:p>
        </w:tc>
        <w:tc>
          <w:tcPr>
            <w:tcW w:type="dxa" w:w="1863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  <w:r>
              <w:rPr>
                <w:color w:val="1E293B"/>
                <w:sz w:val="17"/>
              </w:rPr>
              <w:t>Penundaan Kenaikan</w:t>
            </w:r>
          </w:p>
        </w:tc>
      </w:tr>
      <w:tr>
        <w:tc>
          <w:tcPr>
            <w:tcW w:type="dxa" w:w="186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EF4444"/>
                <w:sz w:val="17"/>
              </w:rPr>
              <w:t>Grade D</w:t>
            </w:r>
          </w:p>
        </w:tc>
        <w:tc>
          <w:tcPr>
            <w:tcW w:type="dxa" w:w="186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1E293B"/>
                <w:sz w:val="17"/>
              </w:rPr>
              <w:t>&lt; 70.0</w:t>
            </w:r>
          </w:p>
        </w:tc>
        <w:tc>
          <w:tcPr>
            <w:tcW w:type="dxa" w:w="186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Kurang / Tidak Memuaskan</w:t>
              <w:br/>
              <w:t>(Unsatisfactory)</w:t>
            </w:r>
          </w:p>
        </w:tc>
        <w:tc>
          <w:tcPr>
            <w:tcW w:type="dxa" w:w="186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Surat Peringatan (SP), Rotasi Divisi, atau Evaluasi Pemutusan</w:t>
            </w:r>
          </w:p>
        </w:tc>
        <w:tc>
          <w:tcPr>
            <w:tcW w:type="dxa" w:w="186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7"/>
              </w:rPr>
              <w:t>Tidak Diperpanjang / SP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991B1B"/>
          <w:sz w:val="22"/>
        </w:rPr>
        <w:t>BAB V: MATRIKS INDIKATOR KUNCI SPESIFIK PER DIVISI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592"/>
        <w:gridCol w:w="3168"/>
        <w:gridCol w:w="3557"/>
      </w:tblGrid>
      <w:tr>
        <w:tc>
          <w:tcPr>
            <w:tcW w:type="dxa" w:w="3106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Divisi Kerja</w:t>
            </w:r>
          </w:p>
        </w:tc>
        <w:tc>
          <w:tcPr>
            <w:tcW w:type="dxa" w:w="3106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Target Output Utama (Hard Target 40%)</w:t>
            </w:r>
          </w:p>
        </w:tc>
        <w:tc>
          <w:tcPr>
            <w:tcW w:type="dxa" w:w="3106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Kriteria Capaian &amp; Standar Mutu</w:t>
            </w:r>
          </w:p>
        </w:tc>
      </w:tr>
      <w:tr>
        <w:tc>
          <w:tcPr>
            <w:tcW w:type="dxa" w:w="310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0F172A"/>
                <w:sz w:val="16"/>
              </w:rPr>
              <w:t>Marketing &amp; Sales</w:t>
            </w:r>
          </w:p>
        </w:tc>
        <w:tc>
          <w:tcPr>
            <w:tcW w:type="dxa" w:w="310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  <w:r>
              <w:rPr>
                <w:color w:val="1E293B"/>
                <w:sz w:val="16"/>
              </w:rPr>
              <w:t>Closing Unit, Konversi SPR Konsumen, &amp; Berkas KPR</w:t>
            </w:r>
          </w:p>
        </w:tc>
        <w:tc>
          <w:tcPr>
            <w:tcW w:type="dxa" w:w="310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  <w:r>
              <w:rPr>
                <w:color w:val="1E293B"/>
                <w:sz w:val="16"/>
              </w:rPr>
              <w:t>• Closing minimal 3 unit rumah/bulan per sales executive.</w:t>
              <w:br/>
              <w:t>• Berkas KPR perbankan lengkap dalam maksimal 7 hari kerja.</w:t>
              <w:br/>
              <w:t>• Kecepatan respon follow-up database calon pembeli (SLA &lt; 1 jam).</w:t>
            </w:r>
          </w:p>
        </w:tc>
      </w:tr>
      <w:tr>
        <w:tc>
          <w:tcPr>
            <w:tcW w:type="dxa" w:w="310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6"/>
              </w:rPr>
              <w:t>Teknik &amp; Konstruksi</w:t>
            </w:r>
          </w:p>
        </w:tc>
        <w:tc>
          <w:tcPr>
            <w:tcW w:type="dxa" w:w="310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6"/>
              </w:rPr>
              <w:t>Deviasi Kurva-S, Mutu Zero Defect, &amp; Serah Terima Kunci</w:t>
            </w:r>
          </w:p>
        </w:tc>
        <w:tc>
          <w:tcPr>
            <w:tcW w:type="dxa" w:w="310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6"/>
              </w:rPr>
              <w:t>• Deviasi progres fisik mingguan tidak boleh minus dari Kurva-S rencana.</w:t>
              <w:br/>
              <w:t>• Nihil komplain retak/kebocoran saat Serah Terima Kunci (STK).</w:t>
              <w:br/>
              <w:t>• Efisiensi material beton, besi, bata, dan opname mandor borongan.</w:t>
            </w:r>
          </w:p>
        </w:tc>
      </w:tr>
      <w:tr>
        <w:tc>
          <w:tcPr>
            <w:tcW w:type="dxa" w:w="310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0F172A"/>
                <w:sz w:val="16"/>
              </w:rPr>
              <w:t>Legal &amp; Perizinan</w:t>
            </w:r>
          </w:p>
        </w:tc>
        <w:tc>
          <w:tcPr>
            <w:tcW w:type="dxa" w:w="310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  <w:r>
              <w:rPr>
                <w:color w:val="1E293B"/>
                <w:sz w:val="16"/>
              </w:rPr>
              <w:t>Pemecahan Sertifikat, Validasi AJB/BPHTB, &amp; PBG</w:t>
            </w:r>
          </w:p>
        </w:tc>
        <w:tc>
          <w:tcPr>
            <w:tcW w:type="dxa" w:w="310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  <w:r>
              <w:rPr>
                <w:color w:val="1E293B"/>
                <w:sz w:val="16"/>
              </w:rPr>
              <w:t>• Validasi pajak BPHTB tuntas sebelum jadwal akad kredit notaris.</w:t>
              <w:br/>
              <w:t>• Pemecahan sertifikat tanah induk ke pecahan BPN sesuai target waktu.</w:t>
              <w:br/>
              <w:t>• Kelengkapan izin PBG / IMB tiap unit kavling baru.</w:t>
            </w:r>
          </w:p>
        </w:tc>
      </w:tr>
      <w:tr>
        <w:tc>
          <w:tcPr>
            <w:tcW w:type="dxa" w:w="310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6"/>
              </w:rPr>
              <w:t>Finance &amp; Payment</w:t>
            </w:r>
          </w:p>
        </w:tc>
        <w:tc>
          <w:tcPr>
            <w:tcW w:type="dxa" w:w="310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6"/>
              </w:rPr>
              <w:t>Akurasi Buku Kas, Pencairan Dana Bank, &amp; Rekonsiliasi</w:t>
            </w:r>
          </w:p>
        </w:tc>
        <w:tc>
          <w:tcPr>
            <w:tcW w:type="dxa" w:w="310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6"/>
              </w:rPr>
              <w:t>• Nol selisih kas operasional fisik dengan rekening koran harian.</w:t>
              <w:br/>
              <w:t>• Kecepatan pencairan dana pengajuan termin KPR bank rekanan.</w:t>
              <w:br/>
              <w:t>• Penyajian laporan arus kas mingguan tepat setiap Jumat sore.</w:t>
            </w:r>
          </w:p>
        </w:tc>
      </w:tr>
      <w:tr>
        <w:tc>
          <w:tcPr>
            <w:tcW w:type="dxa" w:w="310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jc w:val="center"/>
            </w:pPr>
            <w:r>
              <w:rPr>
                <w:b/>
                <w:color w:val="0F172A"/>
                <w:sz w:val="16"/>
              </w:rPr>
              <w:t>HR &amp; GA Operasional</w:t>
            </w:r>
          </w:p>
        </w:tc>
        <w:tc>
          <w:tcPr>
            <w:tcW w:type="dxa" w:w="310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  <w:r>
              <w:rPr>
                <w:color w:val="1E293B"/>
                <w:sz w:val="16"/>
              </w:rPr>
              <w:t>Disiplin Presensi, Fasilitas Kantor, &amp; Zero Accident</w:t>
            </w:r>
          </w:p>
        </w:tc>
        <w:tc>
          <w:tcPr>
            <w:tcW w:type="dxa" w:w="310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jc w:val="left"/>
            </w:pPr>
            <w:r>
              <w:rPr>
                <w:color w:val="1E293B"/>
                <w:sz w:val="16"/>
              </w:rPr>
              <w:t>• Nol insiden keamanan kawasan gerbang &amp; kavling proyek.</w:t>
              <w:br/>
              <w:t>• Checklist kebersihan kantor &amp; sanitasi 100% prima dan higienis.</w:t>
              <w:br/>
              <w:t>• Kesiapan sarana kendaraan dinas, genset, dan logistik kantor.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991B1B"/>
          <w:sz w:val="22"/>
        </w:rPr>
        <w:t>BAB VI: SIMULASI &amp; STUDI KASUS PERHITUNGAN RIIL</w:t>
      </w:r>
    </w:p>
    <w:p>
      <w:pPr>
        <w:spacing w:after="120"/>
      </w:pPr>
      <w:r>
        <w:rPr>
          <w:sz w:val="18"/>
        </w:rPr>
        <w:t>Berikut merupakan simulasi perhitungan matematis karyawan dengan data riil pada sistem AMS Property: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991B1B"/>
                <w:sz w:val="19"/>
              </w:rPr>
              <w:t>★ STUDI KASUS 1: KARYAWAN BERKINERJA SANGAT MEMUASKAN (GRADE A)</w:t>
              <w:br/>
            </w:r>
            <w:r>
              <w:rPr>
                <w:rFonts w:ascii="Arial" w:hAnsi="Arial"/>
                <w:color w:val="1E293B"/>
                <w:sz w:val="19"/>
              </w:rPr>
              <w:t>Karyawan: Amanda Chesyariani Hermawan | Jabatan: Marketing &amp; Sales Executive</w:t>
              <w:br/>
              <w:t>1. Pilar Hard Target (Bobot 40%): Skor 92.5  --&gt;  (92.5 × 0.40) = 37.00 poin</w:t>
              <w:br/>
              <w:t>2. Pilar To-Do List (Bobot 25%): 24 tugas ditugaskan, 23 selesai (22 on-time).</w:t>
              <w:br/>
              <w:t xml:space="preserve">   Completion = 95.8%, On-time = 95.6% --&gt; Skor = 95.0  --&gt;  (95.0 × 0.25) = 23.75 poin</w:t>
              <w:br/>
              <w:t>3. Pilar Presensi Geofencing (Bobot 15%): On-time 96.0%  --&gt;  (96.0 × 0.15) = 14.40 poin</w:t>
              <w:br/>
              <w:t>4. Pilar Soft Skills (Bobot 20%): Evaluasi Atasan 91.0  --&gt;  (91.0 × 0.20) = 18.20 poin</w:t>
              <w:br/>
              <w:t>----------------------------------------------------------------------------------------</w:t>
              <w:br/>
              <w:t>TOTAL SKOR AKHIR = 37.00 + 23.75 + 14.40 + 18.20 = 93.35 --&gt; Dibulatkan 93.4 (GRADE A)</w:t>
              <w:br/>
              <w:t>HASIL KEPUTUSAN: Sangat Memuaskan (Exceeds Expectations) - Rekomendasi Bonus Penuh &amp; PKWT Diperpanjang.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F59E0B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991B1B"/>
                <w:sz w:val="19"/>
              </w:rPr>
              <w:t>★ STUDI KASUS 2: KARYAWAN DALAM PENGAWASAN &amp; PEMBINAAN (GRADE C)</w:t>
              <w:br/>
            </w:r>
            <w:r>
              <w:rPr>
                <w:rFonts w:ascii="Arial" w:hAnsi="Arial"/>
                <w:color w:val="1E293B"/>
                <w:sz w:val="19"/>
              </w:rPr>
              <w:t>Karyawan: Staf Pengawas Lapangan (Contoh Kasus Pembinaan)</w:t>
              <w:br/>
              <w:t>1. Pilar Hard Target (Bobot 40%): Skor 72.0 (Deviasi kurva minus) --&gt; (72.0 × 0.40) = 28.80 poin</w:t>
              <w:br/>
              <w:t>2. Pilar To-Do List (Bobot 25%): 20 tugas, 14 selesai on-time (70%) --&gt; (70.0 × 0.25) = 17.50 poin</w:t>
              <w:br/>
              <w:t>3. Pilar Presensi Geofencing (Bobot 15%): Sering terlambat (80%) --&gt; (80.0 × 0.15) = 12.00 poin</w:t>
              <w:br/>
              <w:t>4. Pilar Soft Skills (Bobot 20%): Nilai 80.0 --&gt; (80.0 × 0.20) = 16.00 poin</w:t>
              <w:br/>
              <w:t>----------------------------------------------------------------------------------------</w:t>
              <w:br/>
              <w:t>TOTAL SKOR AKHIR = 28.80 + 17.50 + 12.00 + 16.00 = 74.30 (GRADE C)</w:t>
              <w:br/>
              <w:t>HASIL KEPUTUSAN: Cukup (Needs Improvement) - Wajib Masuk Program Pembinaan Khusus (PIP) 3 Bulan.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991B1B"/>
          <w:sz w:val="22"/>
        </w:rPr>
        <w:t>BAB VII: LEMBAR PENGESAHAN &amp; PERSETUJUAN DOKUMEN</w:t>
      </w:r>
    </w:p>
    <w:p>
      <w:pPr>
        <w:spacing w:after="240"/>
      </w:pPr>
      <w:r>
        <w:rPr>
          <w:sz w:val="18"/>
        </w:rPr>
        <w:t>Standar operasional dan formula perhitungan modul KPI ini disahkan di Bekasi pada tanggal 09 Oktober 2026, berlaku mengikat untuk seluruh unit kerja, divisi operasional, dan manajemen PT Ashoka Multi Sinergi.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96"/>
        <w:gridCol w:w="3096"/>
        <w:gridCol w:w="3125"/>
      </w:tblGrid>
      <w:tr>
        <w:tc>
          <w:tcPr>
            <w:tcW w:type="dxa" w:w="3106"/>
            <w:shd w:fill="F1F5F9"/>
            <w:tcMar>
              <w:top w:w="6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475569"/>
                <w:sz w:val="17"/>
              </w:rPr>
              <w:t>Dibuat &amp; Disusun Oleh:</w:t>
              <w:br/>
            </w:r>
            <w:r>
              <w:rPr>
                <w:b/>
                <w:color w:val="0F172A"/>
                <w:sz w:val="17"/>
              </w:rPr>
              <w:t>HR &amp; GA Department</w:t>
            </w:r>
          </w:p>
        </w:tc>
        <w:tc>
          <w:tcPr>
            <w:tcW w:type="dxa" w:w="3106"/>
            <w:shd w:fill="F1F5F9"/>
            <w:tcMar>
              <w:top w:w="6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475569"/>
                <w:sz w:val="17"/>
              </w:rPr>
              <w:t>Diperiksa &amp; Disetujui Oleh:</w:t>
              <w:br/>
            </w:r>
            <w:r>
              <w:rPr>
                <w:b/>
                <w:color w:val="0F172A"/>
                <w:sz w:val="17"/>
              </w:rPr>
              <w:t>Direktur Operasional &amp; Keuangan</w:t>
            </w:r>
          </w:p>
        </w:tc>
        <w:tc>
          <w:tcPr>
            <w:tcW w:type="dxa" w:w="3106"/>
            <w:shd w:fill="F1F5F9"/>
            <w:tcMar>
              <w:top w:w="6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475569"/>
                <w:sz w:val="17"/>
              </w:rPr>
              <w:t>Disahkan &amp; Ditetapkan Oleh:</w:t>
              <w:br/>
            </w:r>
            <w:r>
              <w:rPr>
                <w:b/>
                <w:color w:val="0F172A"/>
                <w:sz w:val="17"/>
              </w:rPr>
              <w:t>Direktur Utama Perusahaan</w:t>
            </w:r>
          </w:p>
        </w:tc>
      </w:tr>
      <w:tr>
        <w:tc>
          <w:tcPr>
            <w:tcW w:type="dxa" w:w="3106"/>
            <w:tcMar>
              <w:top w:w="350" w:type="dxa"/>
              <w:bottom w:w="3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CBD5E1"/>
                <w:sz w:val="16"/>
              </w:rPr>
              <w:br/>
              <w:br/>
              <w:t>( Tanda Tangan &amp; Cap Basah )</w:t>
              <w:br/>
            </w:r>
          </w:p>
        </w:tc>
        <w:tc>
          <w:tcPr>
            <w:tcW w:type="dxa" w:w="3106"/>
            <w:tcMar>
              <w:top w:w="350" w:type="dxa"/>
              <w:bottom w:w="3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CBD5E1"/>
                <w:sz w:val="16"/>
              </w:rPr>
              <w:br/>
              <w:br/>
              <w:t>( Tanda Tangan &amp; Cap Basah )</w:t>
              <w:br/>
            </w:r>
          </w:p>
        </w:tc>
        <w:tc>
          <w:tcPr>
            <w:tcW w:type="dxa" w:w="3106"/>
            <w:tcMar>
              <w:top w:w="350" w:type="dxa"/>
              <w:bottom w:w="3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CBD5E1"/>
                <w:sz w:val="16"/>
              </w:rPr>
              <w:br/>
              <w:br/>
              <w:t>( Tanda Tangan &amp; Cap Basah )</w:t>
              <w:br/>
            </w:r>
          </w:p>
        </w:tc>
      </w:tr>
      <w:tr>
        <w:tc>
          <w:tcPr>
            <w:tcW w:type="dxa" w:w="3106"/>
            <w:tcMar>
              <w:top w:w="4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8"/>
              </w:rPr>
              <w:t>Dodi Syaiful</w:t>
              <w:br/>
            </w:r>
            <w:r>
              <w:rPr>
                <w:color w:val="475569"/>
                <w:sz w:val="16"/>
              </w:rPr>
              <w:t>NIK: 3201011508910005</w:t>
            </w:r>
          </w:p>
        </w:tc>
        <w:tc>
          <w:tcPr>
            <w:tcW w:type="dxa" w:w="3106"/>
            <w:tcMar>
              <w:top w:w="4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8"/>
              </w:rPr>
              <w:t>Tarkum Aditya / Finance Lead</w:t>
              <w:br/>
            </w:r>
            <w:r>
              <w:rPr>
                <w:color w:val="475569"/>
                <w:sz w:val="16"/>
              </w:rPr>
              <w:t>NIK: 3201011804920003</w:t>
            </w:r>
          </w:p>
        </w:tc>
        <w:tc>
          <w:tcPr>
            <w:tcW w:type="dxa" w:w="3106"/>
            <w:tcMar>
              <w:top w:w="4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18"/>
              </w:rPr>
              <w:t>Yazid Hizbullah, S.E., S.T</w:t>
              <w:br/>
            </w:r>
            <w:r>
              <w:rPr>
                <w:color w:val="475569"/>
                <w:sz w:val="16"/>
              </w:rPr>
              <w:t>Direktur Utama PT AMS</w:t>
            </w:r>
          </w:p>
        </w:tc>
      </w:tr>
      <w:tr>
        <w:tc>
          <w:tcPr>
            <w:tcW w:type="dxa" w:w="3106"/>
            <w:shd w:fill="F8FAFC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i/>
                <w:color w:val="475569"/>
                <w:sz w:val="16"/>
              </w:rPr>
              <w:t>Tanggal: 09 Oktober 2026</w:t>
            </w:r>
          </w:p>
        </w:tc>
        <w:tc>
          <w:tcPr>
            <w:tcW w:type="dxa" w:w="3106"/>
            <w:shd w:fill="F8FAFC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i/>
                <w:color w:val="475569"/>
                <w:sz w:val="16"/>
              </w:rPr>
              <w:t>Tanggal: 09 Oktober 2026</w:t>
            </w:r>
          </w:p>
        </w:tc>
        <w:tc>
          <w:tcPr>
            <w:tcW w:type="dxa" w:w="3106"/>
            <w:shd w:fill="F8FAFC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i/>
                <w:color w:val="475569"/>
                <w:sz w:val="16"/>
              </w:rPr>
              <w:t>Tanggal: 09 Oktober 2026</w:t>
            </w:r>
          </w:p>
        </w:tc>
      </w:tr>
    </w:tbl>
    <w:sectPr w:rsidR="00FC693F" w:rsidRPr="0006063C" w:rsidSect="00034616">
      <w:pgSz w:w="11909" w:h="16834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