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الرابع — توسيع جدول المقارنة (جدول 7.4)</w:t>
      </w:r>
    </w:p>
    <w:p>
      <w:pPr>
        <w:bidi/>
        <w:spacing w:before="280" w:after="160"/>
        <w:jc w:val="right"/>
      </w:pPr>
      <w:r>
        <w:rPr>
          <w:rFonts w:ascii="Times New Roman" w:hAnsi="Times New Roman" w:cs="Times New Roman"/>
          <w:b/>
          <w:color w:val="2E5EA8"/>
          <w:sz w:val="28"/>
          <w:rtl/>
          <w:cs/>
        </w:rPr>
        <w:t>▸ الموضع: الفصل الرابع — القسم 6.4 (المقارنة الشاملة مع الأبحاث المنشورة، يُوسِّع جدول 7.4 الحالي)</w:t>
      </w:r>
    </w:p>
    <w:p>
      <w:pPr>
        <w:bidi/>
        <w:spacing w:before="80" w:after="80"/>
        <w:ind w:left="283" w:right="283"/>
        <w:jc w:val="right"/>
        <w:shd w:val="clear" w:color="auto" w:fill="F2F2F2"/>
      </w:pPr>
      <w:r>
        <w:rPr>
          <w:rFonts w:ascii="Times New Roman" w:hAnsi="Times New Roman" w:cs="Times New Roman"/>
          <w:i/>
          <w:color w:val="555555"/>
          <w:sz w:val="22"/>
          <w:rtl/>
          <w:cs/>
        </w:rPr>
        <w:t>ملاحظة توضيحية: طلب المشرف إضافة "حجم العينة" و"أزواج/أفراد" لجدول المقارنة مع الدراسات السابقة. بمراجعة الكتاب الحالي، وُجد أن "جدول 2.1" في الفصل الثاني هو جدول مختلف (مقارنة منهجية بين دراسات DCNN وAHAN وArcFace وغيرها، بأعمدة نقاط القوة/أوجه القصور) ولا يحتوي على Phillips/Sun/Toygar أو أرقام AUC/EER، فلا يُناسب إضافة هذه الأعمدة إليه. الجدول المناسب لطلب المشرف هو جدول (7.4) الموجود في الفصل الرابع (مقارنة Phillips/Sun/Toygar/النموذج المقترح بالـAUC/EER) — لذلك تم توسيعه هنا بالأعمدة المطلوبة. جدول 2.1 في الفصل الثاني يبقى كما هو دون تغيير.</w:t>
      </w:r>
    </w:p>
    <w:p>
      <w:pPr>
        <w:bidi/>
        <w:spacing w:line="360" w:lineRule="auto" w:after="120"/>
        <w:ind w:firstLine="567"/>
        <w:jc w:val="right"/>
      </w:pPr>
      <w:r>
        <w:rPr>
          <w:rFonts w:ascii="Times New Roman" w:hAnsi="Times New Roman" w:cs="Times New Roman"/>
          <w:sz w:val="24"/>
          <w:rtl/>
          <w:cs/>
        </w:rPr>
        <w:t>يُقدِّم الجدول التالي نسخةً موسَّعة من جدول 7.4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7.4 (مُوسَّع): مقارنة شاملة مع الدراسات السابقة — إضافة أعمدة حجم العينة ومنع تسرّب بيانات التوائم</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Local Region PCA</w:t>
              <w:br/>
              <w:t>(LRPCA) على مناطق</w:t>
              <w:br/>
              <w:t>محلية من الوجه</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2026</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التصنيف عبر طيّات GroupKFold الخمس (28,293 زوج إجمالاً)</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الطيّة (Fold)</w:t>
            </w:r>
          </w:p>
        </w:tc>
        <w:tc>
          <w:tcPr>
            <w:tcW w:type="dxa" w:w="2197"/>
            <w:shd w:val="clear" w:color="auto" w:fill="2E5EA8"/>
          </w:tcPr>
          <w:p>
            <w:pPr>
              <w:jc w:val="center"/>
            </w:pPr>
            <w:r>
              <w:rPr>
                <w:rFonts w:ascii="Times New Roman" w:hAnsi="Times New Roman" w:cs="Times New Roman"/>
                <w:b/>
                <w:color w:val="FFFFFF"/>
                <w:sz w:val="22"/>
              </w:rPr>
              <w:t>عدد أزواج التدريب</w:t>
              <w:br/>
              <w:t>(Pairs)</w:t>
            </w:r>
          </w:p>
        </w:tc>
        <w:tc>
          <w:tcPr>
            <w:tcW w:type="dxa" w:w="2197"/>
            <w:shd w:val="clear" w:color="auto" w:fill="2E5EA8"/>
          </w:tcPr>
          <w:p>
            <w:pPr>
              <w:jc w:val="center"/>
            </w:pPr>
            <w:r>
              <w:rPr>
                <w:rFonts w:ascii="Times New Roman" w:hAnsi="Times New Roman" w:cs="Times New Roman"/>
                <w:b/>
                <w:color w:val="FFFFFF"/>
                <w:sz w:val="22"/>
              </w:rPr>
              <w:t>عدد أزواج الاختبار</w:t>
              <w:br/>
              <w:t>(Pairs)</w:t>
            </w:r>
          </w:p>
        </w:tc>
        <w:tc>
          <w:tcPr>
            <w:tcW w:type="dxa" w:w="2197"/>
            <w:shd w:val="clear" w:color="auto" w:fill="2E5EA8"/>
          </w:tcPr>
          <w:p>
            <w:pPr>
              <w:jc w:val="center"/>
            </w:pPr>
            <w:r>
              <w:rPr>
                <w:rFonts w:ascii="Times New Roman" w:hAnsi="Times New Roman" w:cs="Times New Roman"/>
                <w:b/>
                <w:color w:val="FFFFFF"/>
                <w:sz w:val="22"/>
              </w:rPr>
              <w:t>نسبة الاختبار</w:t>
            </w:r>
          </w:p>
        </w:tc>
      </w:tr>
      <w:tr>
        <w:tc>
          <w:tcPr>
            <w:tcW w:type="dxa" w:w="2197"/>
            <w:shd w:val="clear" w:color="auto" w:fill="DCE6F1"/>
          </w:tcPr>
          <w:p>
            <w:pPr>
              <w:jc w:val="center"/>
            </w:pPr>
            <w:r>
              <w:rPr>
                <w:rFonts w:ascii="Times New Roman" w:hAnsi="Times New Roman" w:cs="Times New Roman"/>
                <w:sz w:val="22"/>
              </w:rPr>
              <w:t>الطيّة 1</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2</w:t>
            </w:r>
          </w:p>
        </w:tc>
        <w:tc>
          <w:tcPr>
            <w:tcW w:type="dxa" w:w="2197"/>
            <w:shd w:val="clear" w:color="auto" w:fill="FFFFFF"/>
          </w:tcPr>
          <w:p>
            <w:pPr>
              <w:jc w:val="center"/>
            </w:pPr>
            <w:r>
              <w:rPr>
                <w:rFonts w:ascii="Times New Roman" w:hAnsi="Times New Roman" w:cs="Times New Roman"/>
                <w:sz w:val="22"/>
              </w:rPr>
              <w:t>22,634</w:t>
            </w:r>
          </w:p>
        </w:tc>
        <w:tc>
          <w:tcPr>
            <w:tcW w:type="dxa" w:w="2197"/>
            <w:shd w:val="clear" w:color="auto" w:fill="FFFFFF"/>
          </w:tcPr>
          <w:p>
            <w:pPr>
              <w:jc w:val="center"/>
            </w:pPr>
            <w:r>
              <w:rPr>
                <w:rFonts w:ascii="Times New Roman" w:hAnsi="Times New Roman" w:cs="Times New Roman"/>
                <w:sz w:val="22"/>
              </w:rPr>
              <w:t>5,659</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3</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4</w:t>
            </w:r>
          </w:p>
        </w:tc>
        <w:tc>
          <w:tcPr>
            <w:tcW w:type="dxa" w:w="2197"/>
            <w:shd w:val="clear" w:color="auto" w:fill="FFFFFF"/>
          </w:tcPr>
          <w:p>
            <w:pPr>
              <w:jc w:val="center"/>
            </w:pPr>
            <w:r>
              <w:rPr>
                <w:rFonts w:ascii="Times New Roman" w:hAnsi="Times New Roman" w:cs="Times New Roman"/>
                <w:sz w:val="22"/>
              </w:rPr>
              <w:t>22,635</w:t>
            </w:r>
          </w:p>
        </w:tc>
        <w:tc>
          <w:tcPr>
            <w:tcW w:type="dxa" w:w="2197"/>
            <w:shd w:val="clear" w:color="auto" w:fill="FFFFFF"/>
          </w:tcPr>
          <w:p>
            <w:pPr>
              <w:jc w:val="center"/>
            </w:pPr>
            <w:r>
              <w:rPr>
                <w:rFonts w:ascii="Times New Roman" w:hAnsi="Times New Roman" w:cs="Times New Roman"/>
                <w:sz w:val="22"/>
              </w:rPr>
              <w:t>5,658</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5</w:t>
            </w:r>
          </w:p>
        </w:tc>
        <w:tc>
          <w:tcPr>
            <w:tcW w:type="dxa" w:w="2197"/>
            <w:shd w:val="clear" w:color="auto" w:fill="DCE6F1"/>
          </w:tcPr>
          <w:p>
            <w:pPr>
              <w:jc w:val="center"/>
            </w:pPr>
            <w:r>
              <w:rPr>
                <w:rFonts w:ascii="Times New Roman" w:hAnsi="Times New Roman" w:cs="Times New Roman"/>
                <w:sz w:val="22"/>
              </w:rPr>
              <w:t>22,635</w:t>
            </w:r>
          </w:p>
        </w:tc>
        <w:tc>
          <w:tcPr>
            <w:tcW w:type="dxa" w:w="2197"/>
            <w:shd w:val="clear" w:color="auto" w:fill="DCE6F1"/>
          </w:tcPr>
          <w:p>
            <w:pPr>
              <w:jc w:val="center"/>
            </w:pPr>
            <w:r>
              <w:rPr>
                <w:rFonts w:ascii="Times New Roman" w:hAnsi="Times New Roman" w:cs="Times New Roman"/>
                <w:sz w:val="22"/>
              </w:rPr>
              <w:t>5,658</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المجموع</w:t>
            </w:r>
          </w:p>
        </w:tc>
        <w:tc>
          <w:tcPr>
            <w:tcW w:type="dxa" w:w="2197"/>
            <w:shd w:val="clear" w:color="auto" w:fill="FFFFFF"/>
          </w:tcPr>
          <w:p>
            <w:pPr>
              <w:jc w:val="center"/>
            </w:pPr>
            <w:r>
              <w:rPr>
                <w:rFonts w:ascii="Times New Roman" w:hAnsi="Times New Roman" w:cs="Times New Roman"/>
                <w:sz w:val="22"/>
              </w:rPr>
              <w:t>—</w:t>
            </w:r>
          </w:p>
        </w:tc>
        <w:tc>
          <w:tcPr>
            <w:tcW w:type="dxa" w:w="2197"/>
            <w:shd w:val="clear" w:color="auto" w:fill="FFFFFF"/>
          </w:tcPr>
          <w:p>
            <w:pPr>
              <w:jc w:val="center"/>
            </w:pPr>
            <w:r>
              <w:rPr>
                <w:rFonts w:ascii="Times New Roman" w:hAnsi="Times New Roman" w:cs="Times New Roman"/>
                <w:sz w:val="22"/>
              </w:rPr>
              <w:t>28,293</w:t>
            </w:r>
          </w:p>
        </w:tc>
        <w:tc>
          <w:tcPr>
            <w:tcW w:type="dxa" w:w="2197"/>
            <w:shd w:val="clear" w:color="auto" w:fill="FFFFFF"/>
          </w:tcPr>
          <w:p>
            <w:pPr>
              <w:jc w:val="center"/>
            </w:pPr>
            <w:r>
              <w:rPr>
                <w:rFonts w:ascii="Times New Roman" w:hAnsi="Times New Roman" w:cs="Times New Roman"/>
                <w:sz w:val="22"/>
              </w:rPr>
              <w:t>100%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(≈20% اختبار في كل طيّة) وفق معرِّف twin_group (مع منح كل زوج خارج التوائم — Cross-group — معرِّف فريد)، مما يضمن عدم تسرّب بيانات أي زوج توائم بين التدريب والاختبار. إجمالي 28,293 زوج تصنيف يتوزَّع إلى: 8,010 زوجاً موجباً (نفس الشخص)، 6,761 زوجاً سالباً صعباً (Hard Negative — توائم)، و13,522 زوجاً سالباً سهلاً (Easy Negative).</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عبر بحث Bayesian (يُرجى تحديد عدد التجارب)</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 (1,030 بُعداً — مؤكَّد من الكود)</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(Hadamard)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تشابه جيب التمام 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قيمة واحدة</w:t>
            </w:r>
          </w:p>
        </w:tc>
        <w:tc>
          <w:tcPr>
            <w:tcW w:type="dxa" w:w="1758"/>
            <w:shd w:val="clear" w:color="auto" w:fill="FFFFFF"/>
          </w:tcPr>
          <w:p>
            <w:pPr>
              <w:jc w:val="center"/>
            </w:pPr>
            <w:r>
              <w:rPr>
                <w:rFonts w:ascii="Times New Roman" w:hAnsi="Times New Roman" w:cs="Times New Roman"/>
                <w:sz w:val="22"/>
              </w:rPr>
              <w:t>المسافة الإقليدية ‖f₁ - f₂‖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كامل الوجه</w:t>
            </w:r>
          </w:p>
        </w:tc>
        <w:tc>
          <w:tcPr>
            <w:tcW w:type="dxa" w:w="1758"/>
            <w:shd w:val="clear" w:color="auto" w:fill="DCE6F1"/>
          </w:tcPr>
          <w:p>
            <w:pPr>
              <w:jc w:val="center"/>
            </w:pPr>
            <w:r>
              <w:rPr>
                <w:rFonts w:ascii="Times New Roman" w:hAnsi="Times New Roman" w:cs="Times New Roman"/>
                <w:sz w:val="22"/>
              </w:rPr>
              <w:t>scikit-image LBP (P=16, R=2)</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(Periocular)</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χ²(p₁, p₂)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المنطقة المحيطة بالعين</w:t>
            </w:r>
          </w:p>
        </w:tc>
        <w:tc>
          <w:tcPr>
            <w:tcW w:type="dxa" w:w="1758"/>
            <w:shd w:val="clear" w:color="auto" w:fill="FFFFFF"/>
          </w:tcPr>
          <w:p>
            <w:pPr>
              <w:jc w:val="center"/>
            </w:pPr>
            <w:r>
              <w:rPr>
                <w:rFonts w:ascii="Times New Roman" w:hAnsi="Times New Roman" w:cs="Times New Roman"/>
                <w:sz w:val="22"/>
              </w:rPr>
              <w:t>scikit-image LBP (Periocular)</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cosine(p₁, p₂)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المتجه الكامل لكل زوج</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512 + 512 + 1 + 1 + 1 + 1 + 1 + 1</w:t>
            </w:r>
          </w:p>
        </w:tc>
        <w:tc>
          <w:tcPr>
            <w:tcW w:type="dxa" w:w="1758"/>
            <w:shd w:val="clear" w:color="auto" w:fill="DCE6F1"/>
          </w:tcPr>
          <w:p>
            <w:pPr>
              <w:jc w:val="center"/>
            </w:pPr>
            <w:r>
              <w:rPr>
                <w:rFonts w:ascii="Times New Roman" w:hAnsi="Times New Roman" w:cs="Times New Roman"/>
                <w:sz w:val="22"/>
              </w:rPr>
              <w:t>1,030 بُعداً</w:t>
            </w:r>
          </w:p>
        </w:tc>
      </w:tr>
    </w:tbl>
    <w:p/>
    <w:p>
      <w:pPr>
        <w:bidi/>
        <w:spacing w:before="80" w:after="80"/>
        <w:ind w:left="283" w:right="283"/>
        <w:jc w:val="right"/>
        <w:shd w:val="clear" w:color="auto" w:fill="F2F2F2"/>
      </w:pPr>
      <w:r>
        <w:rPr>
          <w:rFonts w:ascii="Times New Roman" w:hAnsi="Times New Roman" w:cs="Times New Roman"/>
          <w:i/>
          <w:color w:val="555555"/>
          <w:sz w:val="22"/>
          <w:rtl/>
          <w:cs/>
        </w:rPr>
        <w:t>★ تم التحقق من هذا التركيب مباشرةً من دالة build_features() في كود بناء الأزواج (Script 2)، والناتج الفعلي للمصفوفة X كان (28293, 1030)، مما يؤكد صحة القيمة 1,030 بُعداً.</w:t>
      </w:r>
    </w:p>
    <w:p>
      <w:pPr>
        <w:bidi/>
        <w:spacing w:before="280" w:after="160"/>
        <w:jc w:val="right"/>
      </w:pPr>
      <w:r>
        <w:rPr>
          <w:rFonts w:ascii="Times New Roman" w:hAnsi="Times New Roman" w:cs="Times New Roman"/>
          <w:b/>
          <w:color w:val="2E5EA8"/>
          <w:sz w:val="28"/>
          <w:rtl/>
          <w:cs/>
        </w:rPr>
        <w:t>3.ج-2 — معاملات Optuna المُحسَّنة (مؤكَّدة من الكود)</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bidi/>
        <w:spacing w:line="360" w:lineRule="auto" w:after="120"/>
        <w:ind w:firstLine="567"/>
        <w:jc w:val="right"/>
      </w:pPr>
      <w:r>
        <w:rPr>
          <w:rFonts w:ascii="Times New Roman" w:hAnsi="Times New Roman" w:cs="Times New Roman"/>
          <w:sz w:val="24"/>
          <w:rtl/>
          <w:cs/>
        </w:rPr>
        <w:t>استُخدم Optuna لتحسين فرط-معاملات كل من Logistic Regression وLightGBM، باستهداف تقليل EER على الطيّة الأولى من GroupKFold. يوضح الجدول التالي نطاقات البحث وعدد التجارب والقيم المُثلى المُحققة لكل نموذج:</w:t>
      </w:r>
    </w:p>
    <w:p>
      <w:pPr>
        <w:spacing w:before="160" w:after="80"/>
        <w:jc w:val="center"/>
      </w:pPr>
      <w:r>
        <w:rPr>
          <w:rFonts w:ascii="Times New Roman" w:hAnsi="Times New Roman" w:cs="Times New Roman"/>
          <w:b/>
          <w:i/>
          <w:sz w:val="22"/>
        </w:rPr>
        <w:t>جدول 4.4 (مُوسَّع): معاملات Optuna المُحسَّنة لكل من Logistic Regression وLightGBM (مؤكَّدة من ناتج Colab)</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النموذج</w:t>
            </w:r>
          </w:p>
        </w:tc>
        <w:tc>
          <w:tcPr>
            <w:tcW w:type="dxa" w:w="1758"/>
            <w:shd w:val="clear" w:color="auto" w:fill="2E5EA8"/>
          </w:tcPr>
          <w:p>
            <w:pPr>
              <w:jc w:val="center"/>
            </w:pPr>
            <w:r>
              <w:rPr>
                <w:rFonts w:ascii="Times New Roman" w:hAnsi="Times New Roman" w:cs="Times New Roman"/>
                <w:b/>
                <w:color w:val="FFFFFF"/>
                <w:sz w:val="22"/>
              </w:rPr>
              <w:t>المعامل</w:t>
            </w:r>
          </w:p>
        </w:tc>
        <w:tc>
          <w:tcPr>
            <w:tcW w:type="dxa" w:w="1758"/>
            <w:shd w:val="clear" w:color="auto" w:fill="2E5EA8"/>
          </w:tcPr>
          <w:p>
            <w:pPr>
              <w:jc w:val="center"/>
            </w:pPr>
            <w:r>
              <w:rPr>
                <w:rFonts w:ascii="Times New Roman" w:hAnsi="Times New Roman" w:cs="Times New Roman"/>
                <w:b/>
                <w:color w:val="FFFFFF"/>
                <w:sz w:val="22"/>
              </w:rPr>
              <w:t>نطاق البحث</w:t>
            </w:r>
          </w:p>
        </w:tc>
        <w:tc>
          <w:tcPr>
            <w:tcW w:type="dxa" w:w="1758"/>
            <w:shd w:val="clear" w:color="auto" w:fill="2E5EA8"/>
          </w:tcPr>
          <w:p>
            <w:pPr>
              <w:jc w:val="center"/>
            </w:pPr>
            <w:r>
              <w:rPr>
                <w:rFonts w:ascii="Times New Roman" w:hAnsi="Times New Roman" w:cs="Times New Roman"/>
                <w:b/>
                <w:color w:val="FFFFFF"/>
                <w:sz w:val="22"/>
              </w:rPr>
              <w:t>القيمة المُثلى</w:t>
            </w:r>
          </w:p>
        </w:tc>
        <w:tc>
          <w:tcPr>
            <w:tcW w:type="dxa" w:w="1758"/>
            <w:shd w:val="clear" w:color="auto" w:fill="2E5EA8"/>
          </w:tcPr>
          <w:p>
            <w:pPr>
              <w:jc w:val="center"/>
            </w:pPr>
            <w:r>
              <w:rPr>
                <w:rFonts w:ascii="Times New Roman" w:hAnsi="Times New Roman" w:cs="Times New Roman"/>
                <w:b/>
                <w:color w:val="FFFFFF"/>
                <w:sz w:val="22"/>
              </w:rPr>
              <w:t>عدد تجارب Optuna</w:t>
            </w:r>
          </w:p>
        </w:tc>
      </w:tr>
      <w:tr>
        <w:tc>
          <w:tcPr>
            <w:tcW w:type="dxa" w:w="1758"/>
            <w:shd w:val="clear" w:color="auto" w:fill="DCE6F1"/>
          </w:tcPr>
          <w:p>
            <w:pPr>
              <w:jc w:val="center"/>
            </w:pPr>
            <w:r>
              <w:rPr>
                <w:rFonts w:ascii="Times New Roman" w:hAnsi="Times New Roman" w:cs="Times New Roman"/>
                <w:sz w:val="22"/>
              </w:rPr>
              <w:t>Logistic Regression</w:t>
            </w:r>
          </w:p>
        </w:tc>
        <w:tc>
          <w:tcPr>
            <w:tcW w:type="dxa" w:w="1758"/>
            <w:shd w:val="clear" w:color="auto" w:fill="DCE6F1"/>
          </w:tcPr>
          <w:p>
            <w:pPr>
              <w:jc w:val="center"/>
            </w:pPr>
            <w:r>
              <w:rPr>
                <w:rFonts w:ascii="Times New Roman" w:hAnsi="Times New Roman" w:cs="Times New Roman"/>
                <w:sz w:val="22"/>
              </w:rPr>
              <w:t>C (التنظيم)</w:t>
            </w:r>
          </w:p>
        </w:tc>
        <w:tc>
          <w:tcPr>
            <w:tcW w:type="dxa" w:w="1758"/>
            <w:shd w:val="clear" w:color="auto" w:fill="DCE6F1"/>
          </w:tcPr>
          <w:p>
            <w:pPr>
              <w:jc w:val="center"/>
            </w:pPr>
            <w:r>
              <w:rPr>
                <w:rFonts w:ascii="Times New Roman" w:hAnsi="Times New Roman" w:cs="Times New Roman"/>
                <w:sz w:val="22"/>
              </w:rPr>
              <w:t>[1e-3, 1e2]</w:t>
              <w:br/>
              <w:t>(log scale)</w:t>
            </w:r>
          </w:p>
        </w:tc>
        <w:tc>
          <w:tcPr>
            <w:tcW w:type="dxa" w:w="1758"/>
            <w:shd w:val="clear" w:color="auto" w:fill="DCE6F1"/>
          </w:tcPr>
          <w:p>
            <w:pPr>
              <w:jc w:val="center"/>
            </w:pPr>
            <w:r>
              <w:rPr>
                <w:rFonts w:ascii="Times New Roman" w:hAnsi="Times New Roman" w:cs="Times New Roman"/>
                <w:sz w:val="22"/>
              </w:rPr>
              <w:t>0.00108</w:t>
            </w:r>
          </w:p>
        </w:tc>
        <w:tc>
          <w:tcPr>
            <w:tcW w:type="dxa" w:w="1758"/>
            <w:shd w:val="clear" w:color="auto" w:fill="DCE6F1"/>
          </w:tcPr>
          <w:p>
            <w:pPr>
              <w:jc w:val="center"/>
            </w:pPr>
            <w:r>
              <w:rPr>
                <w:rFonts w:ascii="Times New Roman" w:hAnsi="Times New Roman" w:cs="Times New Roman"/>
                <w:sz w:val="22"/>
              </w:rPr>
              <w:t>20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learning_rate</w:t>
            </w:r>
          </w:p>
        </w:tc>
        <w:tc>
          <w:tcPr>
            <w:tcW w:type="dxa" w:w="1758"/>
            <w:shd w:val="clear" w:color="auto" w:fill="FFFFFF"/>
          </w:tcPr>
          <w:p>
            <w:pPr>
              <w:jc w:val="center"/>
            </w:pPr>
            <w:r>
              <w:rPr>
                <w:rFonts w:ascii="Times New Roman" w:hAnsi="Times New Roman" w:cs="Times New Roman"/>
                <w:sz w:val="22"/>
              </w:rPr>
              <w:t>[0.01, 0.3]</w:t>
              <w:br/>
              <w:t>(log scale)</w:t>
            </w:r>
          </w:p>
        </w:tc>
        <w:tc>
          <w:tcPr>
            <w:tcW w:type="dxa" w:w="1758"/>
            <w:shd w:val="clear" w:color="auto" w:fill="FFFFFF"/>
          </w:tcPr>
          <w:p>
            <w:pPr>
              <w:jc w:val="center"/>
            </w:pPr>
            <w:r>
              <w:rPr>
                <w:rFonts w:ascii="Times New Roman" w:hAnsi="Times New Roman" w:cs="Times New Roman"/>
                <w:sz w:val="22"/>
              </w:rPr>
              <w:t>0.0134</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num_leaves</w:t>
            </w:r>
          </w:p>
        </w:tc>
        <w:tc>
          <w:tcPr>
            <w:tcW w:type="dxa" w:w="1758"/>
            <w:shd w:val="clear" w:color="auto" w:fill="DCE6F1"/>
          </w:tcPr>
          <w:p>
            <w:pPr>
              <w:jc w:val="center"/>
            </w:pPr>
            <w:r>
              <w:rPr>
                <w:rFonts w:ascii="Times New Roman" w:hAnsi="Times New Roman" w:cs="Times New Roman"/>
                <w:sz w:val="22"/>
              </w:rPr>
              <w:t>[15, 100]</w:t>
            </w:r>
          </w:p>
        </w:tc>
        <w:tc>
          <w:tcPr>
            <w:tcW w:type="dxa" w:w="1758"/>
            <w:shd w:val="clear" w:color="auto" w:fill="DCE6F1"/>
          </w:tcPr>
          <w:p>
            <w:pPr>
              <w:jc w:val="center"/>
            </w:pPr>
            <w:r>
              <w:rPr>
                <w:rFonts w:ascii="Times New Roman" w:hAnsi="Times New Roman" w:cs="Times New Roman"/>
                <w:sz w:val="22"/>
              </w:rPr>
              <w:t>86</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max_depth</w:t>
            </w:r>
          </w:p>
        </w:tc>
        <w:tc>
          <w:tcPr>
            <w:tcW w:type="dxa" w:w="1758"/>
            <w:shd w:val="clear" w:color="auto" w:fill="FFFFFF"/>
          </w:tcPr>
          <w:p>
            <w:pPr>
              <w:jc w:val="center"/>
            </w:pPr>
            <w:r>
              <w:rPr>
                <w:rFonts w:ascii="Times New Roman" w:hAnsi="Times New Roman" w:cs="Times New Roman"/>
                <w:sz w:val="22"/>
              </w:rPr>
              <w:t>[3, 10]</w:t>
            </w:r>
          </w:p>
        </w:tc>
        <w:tc>
          <w:tcPr>
            <w:tcW w:type="dxa" w:w="1758"/>
            <w:shd w:val="clear" w:color="auto" w:fill="FFFFFF"/>
          </w:tcPr>
          <w:p>
            <w:pPr>
              <w:jc w:val="center"/>
            </w:pPr>
            <w:r>
              <w:rPr>
                <w:rFonts w:ascii="Times New Roman" w:hAnsi="Times New Roman" w:cs="Times New Roman"/>
                <w:sz w:val="22"/>
              </w:rPr>
              <w:t>6</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min_data_in_leaf</w:t>
            </w:r>
          </w:p>
        </w:tc>
        <w:tc>
          <w:tcPr>
            <w:tcW w:type="dxa" w:w="1758"/>
            <w:shd w:val="clear" w:color="auto" w:fill="DCE6F1"/>
          </w:tcPr>
          <w:p>
            <w:pPr>
              <w:jc w:val="center"/>
            </w:pPr>
            <w:r>
              <w:rPr>
                <w:rFonts w:ascii="Times New Roman" w:hAnsi="Times New Roman" w:cs="Times New Roman"/>
                <w:sz w:val="22"/>
              </w:rPr>
              <w:t>[5, 50]</w:t>
            </w:r>
          </w:p>
        </w:tc>
        <w:tc>
          <w:tcPr>
            <w:tcW w:type="dxa" w:w="1758"/>
            <w:shd w:val="clear" w:color="auto" w:fill="DCE6F1"/>
          </w:tcPr>
          <w:p>
            <w:pPr>
              <w:jc w:val="center"/>
            </w:pPr>
            <w:r>
              <w:rPr>
                <w:rFonts w:ascii="Times New Roman" w:hAnsi="Times New Roman" w:cs="Times New Roman"/>
                <w:sz w:val="22"/>
              </w:rPr>
              <w:t>45</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feature_fraction</w:t>
            </w:r>
          </w:p>
        </w:tc>
        <w:tc>
          <w:tcPr>
            <w:tcW w:type="dxa" w:w="1758"/>
            <w:shd w:val="clear" w:color="auto" w:fill="FFFFFF"/>
          </w:tcPr>
          <w:p>
            <w:pPr>
              <w:jc w:val="center"/>
            </w:pPr>
            <w:r>
              <w:rPr>
                <w:rFonts w:ascii="Times New Roman" w:hAnsi="Times New Roman" w:cs="Times New Roman"/>
                <w:sz w:val="22"/>
              </w:rPr>
              <w:t>[0.5, 1.0]</w:t>
            </w:r>
          </w:p>
        </w:tc>
        <w:tc>
          <w:tcPr>
            <w:tcW w:type="dxa" w:w="1758"/>
            <w:shd w:val="clear" w:color="auto" w:fill="FFFFFF"/>
          </w:tcPr>
          <w:p>
            <w:pPr>
              <w:jc w:val="center"/>
            </w:pPr>
            <w:r>
              <w:rPr>
                <w:rFonts w:ascii="Times New Roman" w:hAnsi="Times New Roman" w:cs="Times New Roman"/>
                <w:sz w:val="22"/>
              </w:rPr>
              <w:t>0.687</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bagging_fraction</w:t>
            </w:r>
          </w:p>
        </w:tc>
        <w:tc>
          <w:tcPr>
            <w:tcW w:type="dxa" w:w="1758"/>
            <w:shd w:val="clear" w:color="auto" w:fill="DCE6F1"/>
          </w:tcPr>
          <w:p>
            <w:pPr>
              <w:jc w:val="center"/>
            </w:pPr>
            <w:r>
              <w:rPr>
                <w:rFonts w:ascii="Times New Roman" w:hAnsi="Times New Roman" w:cs="Times New Roman"/>
                <w:sz w:val="22"/>
              </w:rPr>
              <w:t>[0.5, 1.0]</w:t>
            </w:r>
          </w:p>
        </w:tc>
        <w:tc>
          <w:tcPr>
            <w:tcW w:type="dxa" w:w="1758"/>
            <w:shd w:val="clear" w:color="auto" w:fill="DCE6F1"/>
          </w:tcPr>
          <w:p>
            <w:pPr>
              <w:jc w:val="center"/>
            </w:pPr>
            <w:r>
              <w:rPr>
                <w:rFonts w:ascii="Times New Roman" w:hAnsi="Times New Roman" w:cs="Times New Roman"/>
                <w:sz w:val="22"/>
              </w:rPr>
              <w:t>0.526</w:t>
            </w:r>
          </w:p>
        </w:tc>
        <w:tc>
          <w:tcPr>
            <w:tcW w:type="dxa" w:w="1758"/>
            <w:shd w:val="clear" w:color="auto" w:fill="DCE6F1"/>
          </w:tcPr>
          <w:p>
            <w:pPr>
              <w:jc w:val="center"/>
            </w:pPr>
            <w:r>
              <w:rPr>
                <w:rFonts w:ascii="Times New Roman" w:hAnsi="Times New Roman" w:cs="Times New Roman"/>
                <w:sz w:val="22"/>
              </w:rPr>
              <w:t>25 تجربة</w:t>
            </w:r>
          </w:p>
        </w:tc>
      </w:tr>
    </w:tbl>
    <w:p/>
    <w:p>
      <w:pPr>
        <w:bidi/>
        <w:spacing w:before="80" w:after="80"/>
        <w:ind w:left="283" w:right="283"/>
        <w:jc w:val="right"/>
        <w:shd w:val="clear" w:color="auto" w:fill="F2F2F2"/>
      </w:pPr>
      <w:r>
        <w:rPr>
          <w:rFonts w:ascii="Times New Roman" w:hAnsi="Times New Roman" w:cs="Times New Roman"/>
          <w:i/>
          <w:color w:val="555555"/>
          <w:sz w:val="22"/>
          <w:rtl/>
          <w:cs/>
        </w:rPr>
        <w:t>★ هدف التحسين: تقليل EER (Equal Error Rate) على بيانات التحقق للطيّة الأولى من GroupKFold. أفضل EER محقق أثناء البحث: Logistic Regression = 0.1557، LightGBM = 0.1179. بعد التقييم الكامل على 5 طيّات بهذه المعاملات، حقق LightGBM EER=0.1211±0.006 (انظر جدول 5.4).</w:t>
      </w:r>
    </w:p>
    <w:p>
      <w:pPr>
        <w:bidi/>
        <w:spacing w:before="80" w:after="80"/>
        <w:ind w:left="283" w:right="283"/>
        <w:jc w:val="right"/>
        <w:shd w:val="clear" w:color="auto" w:fill="F2F2F2"/>
      </w:pPr>
      <w:r>
        <w:rPr>
          <w:rFonts w:ascii="Times New Roman" w:hAnsi="Times New Roman" w:cs="Times New Roman"/>
          <w:i/>
          <w:color w:val="555555"/>
          <w:sz w:val="22"/>
          <w:rtl/>
          <w:cs/>
        </w:rPr>
        <w:t>⚠ تنبيه هام: الجدول الحالي في كتابك (جدول 3.4، الفصل الثالث، "أفضل المعاملات الفائقة المكتشفة بواسطة Optuna لـLightGBM") يحتوي على قيم مختلفة عن الجدول أعلاه (learning_rate=0.054, num_leaves=65, max_depth=7, min_data_in_leaf=23, feature_fraction=0.679, bagging_fraction=0.605)، وهي تعود لتشغيل Optuna سابق لم يُستخدَم في إنتاج نتائج جدول 5.4 النهائية (AUC=0.9559). القيم المؤكَّدة في الجدول أعلاه (المأخوذة من سكريبت التدريب النهائي الذي أرسلتِه — Script 4) هي الأقرب لنتائج جدول 5.4، ويُنصح باستبدال جدول 3.4 الحالي في كتابك بالقيم الواردة في الجدول أعلاه لإزالة هذا التعارض.</w:t>
      </w:r>
    </w:p>
    <w:p>
      <w:pPr>
        <w:bidi/>
        <w:spacing w:before="280" w:after="160"/>
        <w:jc w:val="right"/>
      </w:pPr>
      <w:r>
        <w:rPr>
          <w:rFonts w:ascii="Times New Roman" w:hAnsi="Times New Roman" w:cs="Times New Roman"/>
          <w:b/>
          <w:color w:val="2E5EA8"/>
          <w:sz w:val="28"/>
          <w:rtl/>
          <w:cs/>
        </w:rPr>
        <w:t>3.د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3.هـ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الجوهرية في تمييز التوائم المتماثلة بصرياً.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3.و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bidi/>
        <w:spacing w:before="80" w:after="80"/>
        <w:ind w:left="283" w:right="283"/>
        <w:jc w:val="right"/>
        <w:shd w:val="clear" w:color="auto" w:fill="F2F2F2"/>
      </w:pPr>
      <w:r>
        <w:rPr>
          <w:rFonts w:ascii="Times New Roman" w:hAnsi="Times New Roman" w:cs="Times New Roman"/>
          <w:i/>
          <w:color w:val="555555"/>
          <w:sz w:val="22"/>
          <w:rtl/>
          <w:cs/>
        </w:rPr>
        <w:t>تم نقل النسخة المُوسَّعة من هذا الجدول (بأعمدة حجم العينة ومنع تسرّب بيانات التوائم) إلى "التعديل الأول" في بداية هذا المستند، لتجنّب تكرار الجدول مرتين. الفقرة التالية تبقى كإضافة نقاش تحليلي لجدول 7.4.</w:t>
      </w:r>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pPr>
        <w:bidi/>
        <w:spacing w:before="280" w:after="160"/>
        <w:jc w:val="right"/>
      </w:pPr>
      <w:r>
        <w:rPr>
          <w:rFonts w:ascii="Times New Roman" w:hAnsi="Times New Roman" w:cs="Times New Roman"/>
          <w:b/>
          <w:color w:val="2E5EA8"/>
          <w:sz w:val="28"/>
          <w:rtl/>
          <w:cs/>
        </w:rPr>
        <w:t>3.ز — تجارب إضافية: نموذج متخصص ونموذج Cascade (دراسة مقارنة اختيارية)</w:t>
      </w:r>
    </w:p>
    <w:p>
      <w:pPr>
        <w:bidi/>
        <w:spacing w:before="200" w:after="120"/>
        <w:jc w:val="right"/>
      </w:pPr>
      <w:r>
        <w:rPr>
          <w:rFonts w:ascii="Times New Roman" w:hAnsi="Times New Roman" w:cs="Times New Roman"/>
          <w:b/>
          <w:color w:val="1A1A1A"/>
          <w:sz w:val="26"/>
          <w:rtl/>
          <w:cs/>
        </w:rPr>
        <w:t>▸ الموضع: الفصل الخامس — قسم التجارب الإضافية / الاستنتاجات (اختياري)</w:t>
      </w:r>
    </w:p>
    <w:p>
      <w:pPr>
        <w:bidi/>
        <w:spacing w:line="360" w:lineRule="auto" w:after="120"/>
        <w:ind w:firstLine="567"/>
        <w:jc w:val="right"/>
      </w:pPr>
      <w:r>
        <w:rPr>
          <w:rFonts w:ascii="Times New Roman" w:hAnsi="Times New Roman" w:cs="Times New Roman"/>
          <w:sz w:val="24"/>
          <w:rtl/>
          <w:cs/>
        </w:rPr>
        <w:t>بالإضافة إلى النموذج العام (LightGBM المدرَّب على كل الأزواج)، تم إجراء تجربتين إضافيتين لاستكشاف إمكانية تحسين أداء تمييز التوائم تحديداً (وهي أصعب مهمة في النظام):</w:t>
      </w:r>
    </w:p>
    <w:p>
      <w:pPr>
        <w:bidi/>
        <w:spacing w:line="360" w:lineRule="auto" w:after="120"/>
        <w:jc w:val="right"/>
      </w:pPr>
      <w:r>
        <w:rPr>
          <w:rFonts w:ascii="Times New Roman" w:hAnsi="Times New Roman" w:cs="Times New Roman"/>
          <w:sz w:val="24"/>
          <w:rtl/>
          <w:cs/>
        </w:rPr>
        <w:t>• النموذج المتخصص (Specialist): نموذج LightGBM مستقل، مُدرَّب فقط على أزواج التوائم (Positive + Hard Negative = 14,771 زوجاً)، مع ضبط فرط-معاملات خاص به عبر Optuna (40 تجربة).</w:t>
      </w:r>
    </w:p>
    <w:p>
      <w:pPr>
        <w:bidi/>
        <w:spacing w:line="360" w:lineRule="auto" w:after="120"/>
        <w:jc w:val="right"/>
      </w:pPr>
      <w:r>
        <w:rPr>
          <w:rFonts w:ascii="Times New Roman" w:hAnsi="Times New Roman" w:cs="Times New Roman"/>
          <w:sz w:val="24"/>
          <w:rtl/>
          <w:cs/>
        </w:rPr>
        <w:t>• نموذج Cascade ثنائي المراحل: يستخدم النموذج العام للحالات الواضحة، ويُحوِّل الحالات الحدّية فقط (نطاق الدرجات [0.15, 0.65]، وتمثّل نحو 22-23% من الأزواج) إلى النموذج المتخصص بوزن مُرجَّح (عام=0.3، متخصص=0.7).</w:t>
      </w:r>
    </w:p>
    <w:p>
      <w:pPr>
        <w:spacing w:before="160" w:after="80"/>
        <w:jc w:val="center"/>
      </w:pPr>
      <w:r>
        <w:rPr>
          <w:rFonts w:ascii="Times New Roman" w:hAnsi="Times New Roman" w:cs="Times New Roman"/>
          <w:b/>
          <w:i/>
          <w:sz w:val="22"/>
        </w:rPr>
        <w:t>جدول 7.5 (جديد، اختياري): دراسة مقارنة (Ablation) بين النموذج العام والبدائل المتخصصة/الهجينة</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النموذج</w:t>
            </w:r>
          </w:p>
        </w:tc>
        <w:tc>
          <w:tcPr>
            <w:tcW w:type="dxa" w:w="1758"/>
            <w:shd w:val="clear" w:color="auto" w:fill="2E5EA8"/>
          </w:tcPr>
          <w:p>
            <w:pPr>
              <w:jc w:val="center"/>
            </w:pPr>
            <w:r>
              <w:rPr>
                <w:rFonts w:ascii="Times New Roman" w:hAnsi="Times New Roman" w:cs="Times New Roman"/>
                <w:b/>
                <w:color w:val="FFFFFF"/>
                <w:sz w:val="22"/>
              </w:rPr>
              <w:t>AUC (كل البيانات)</w:t>
            </w:r>
          </w:p>
        </w:tc>
        <w:tc>
          <w:tcPr>
            <w:tcW w:type="dxa" w:w="1758"/>
            <w:shd w:val="clear" w:color="auto" w:fill="2E5EA8"/>
          </w:tcPr>
          <w:p>
            <w:pPr>
              <w:jc w:val="center"/>
            </w:pPr>
            <w:r>
              <w:rPr>
                <w:rFonts w:ascii="Times New Roman" w:hAnsi="Times New Roman" w:cs="Times New Roman"/>
                <w:b/>
                <w:color w:val="FFFFFF"/>
                <w:sz w:val="22"/>
              </w:rPr>
              <w:t>EER (كل البيانات)</w:t>
            </w:r>
          </w:p>
        </w:tc>
        <w:tc>
          <w:tcPr>
            <w:tcW w:type="dxa" w:w="1758"/>
            <w:shd w:val="clear" w:color="auto" w:fill="2E5EA8"/>
          </w:tcPr>
          <w:p>
            <w:pPr>
              <w:jc w:val="center"/>
            </w:pPr>
            <w:r>
              <w:rPr>
                <w:rFonts w:ascii="Times New Roman" w:hAnsi="Times New Roman" w:cs="Times New Roman"/>
                <w:b/>
                <w:color w:val="FFFFFF"/>
                <w:sz w:val="22"/>
              </w:rPr>
              <w:t>AUC (التوائم فقط)</w:t>
            </w:r>
          </w:p>
        </w:tc>
        <w:tc>
          <w:tcPr>
            <w:tcW w:type="dxa" w:w="1758"/>
            <w:shd w:val="clear" w:color="auto" w:fill="2E5EA8"/>
          </w:tcPr>
          <w:p>
            <w:pPr>
              <w:jc w:val="center"/>
            </w:pPr>
            <w:r>
              <w:rPr>
                <w:rFonts w:ascii="Times New Roman" w:hAnsi="Times New Roman" w:cs="Times New Roman"/>
                <w:b/>
                <w:color w:val="FFFFFF"/>
                <w:sz w:val="22"/>
              </w:rPr>
              <w:t>EER (التوائم فقط)</w:t>
            </w:r>
          </w:p>
        </w:tc>
      </w:tr>
      <w:tr>
        <w:tc>
          <w:tcPr>
            <w:tcW w:type="dxa" w:w="1758"/>
            <w:shd w:val="clear" w:color="auto" w:fill="DCE6F1"/>
          </w:tcPr>
          <w:p>
            <w:pPr>
              <w:jc w:val="center"/>
            </w:pPr>
            <w:r>
              <w:rPr>
                <w:rFonts w:ascii="Times New Roman" w:hAnsi="Times New Roman" w:cs="Times New Roman"/>
                <w:sz w:val="22"/>
              </w:rPr>
              <w:t>العام (المقترح أصلاً) ⭐</w:t>
            </w:r>
          </w:p>
        </w:tc>
        <w:tc>
          <w:tcPr>
            <w:tcW w:type="dxa" w:w="1758"/>
            <w:shd w:val="clear" w:color="auto" w:fill="DCE6F1"/>
          </w:tcPr>
          <w:p>
            <w:pPr>
              <w:jc w:val="center"/>
            </w:pPr>
            <w:r>
              <w:rPr>
                <w:rFonts w:ascii="Times New Roman" w:hAnsi="Times New Roman" w:cs="Times New Roman"/>
                <w:sz w:val="22"/>
              </w:rPr>
              <w:t>0.9574 ± 0.0051</w:t>
            </w:r>
          </w:p>
        </w:tc>
        <w:tc>
          <w:tcPr>
            <w:tcW w:type="dxa" w:w="1758"/>
            <w:shd w:val="clear" w:color="auto" w:fill="DCE6F1"/>
          </w:tcPr>
          <w:p>
            <w:pPr>
              <w:jc w:val="center"/>
            </w:pPr>
            <w:r>
              <w:rPr>
                <w:rFonts w:ascii="Times New Roman" w:hAnsi="Times New Roman" w:cs="Times New Roman"/>
                <w:sz w:val="22"/>
              </w:rPr>
              <w:t>0.1211 ± 0.0060</w:t>
            </w:r>
          </w:p>
        </w:tc>
        <w:tc>
          <w:tcPr>
            <w:tcW w:type="dxa" w:w="1758"/>
            <w:shd w:val="clear" w:color="auto" w:fill="DCE6F1"/>
          </w:tcPr>
          <w:p>
            <w:pPr>
              <w:jc w:val="center"/>
            </w:pPr>
            <w:r>
              <w:rPr>
                <w:rFonts w:ascii="Times New Roman" w:hAnsi="Times New Roman" w:cs="Times New Roman"/>
                <w:sz w:val="22"/>
              </w:rPr>
              <w:t>0.8715</w:t>
            </w:r>
          </w:p>
        </w:tc>
        <w:tc>
          <w:tcPr>
            <w:tcW w:type="dxa" w:w="1758"/>
            <w:shd w:val="clear" w:color="auto" w:fill="DCE6F1"/>
          </w:tcPr>
          <w:p>
            <w:pPr>
              <w:jc w:val="center"/>
            </w:pPr>
            <w:r>
              <w:rPr>
                <w:rFonts w:ascii="Times New Roman" w:hAnsi="Times New Roman" w:cs="Times New Roman"/>
                <w:sz w:val="22"/>
              </w:rPr>
              <w:t>0.2180</w:t>
            </w:r>
          </w:p>
        </w:tc>
      </w:tr>
      <w:tr>
        <w:tc>
          <w:tcPr>
            <w:tcW w:type="dxa" w:w="1758"/>
            <w:shd w:val="clear" w:color="auto" w:fill="FFFFFF"/>
          </w:tcPr>
          <w:p>
            <w:pPr>
              <w:jc w:val="center"/>
            </w:pPr>
            <w:r>
              <w:rPr>
                <w:rFonts w:ascii="Times New Roman" w:hAnsi="Times New Roman" w:cs="Times New Roman"/>
                <w:sz w:val="22"/>
              </w:rPr>
              <w:t>المتخصص (Specialist)</w:t>
            </w:r>
          </w:p>
        </w:tc>
        <w:tc>
          <w:tcPr>
            <w:tcW w:type="dxa" w:w="1758"/>
            <w:shd w:val="clear" w:color="auto" w:fill="FFFFFF"/>
          </w:tcPr>
          <w:p>
            <w:pPr>
              <w:jc w:val="center"/>
            </w:pPr>
            <w:r>
              <w:rPr>
                <w:rFonts w:ascii="Times New Roman" w:hAnsi="Times New Roman" w:cs="Times New Roman"/>
                <w:sz w:val="22"/>
              </w:rPr>
              <w:t>0.9503 ± 0.0046</w:t>
            </w:r>
          </w:p>
        </w:tc>
        <w:tc>
          <w:tcPr>
            <w:tcW w:type="dxa" w:w="1758"/>
            <w:shd w:val="clear" w:color="auto" w:fill="FFFFFF"/>
          </w:tcPr>
          <w:p>
            <w:pPr>
              <w:jc w:val="center"/>
            </w:pPr>
            <w:r>
              <w:rPr>
                <w:rFonts w:ascii="Times New Roman" w:hAnsi="Times New Roman" w:cs="Times New Roman"/>
                <w:sz w:val="22"/>
              </w:rPr>
              <w:t>0.1255 ± 0.0062</w:t>
            </w:r>
          </w:p>
        </w:tc>
        <w:tc>
          <w:tcPr>
            <w:tcW w:type="dxa" w:w="1758"/>
            <w:shd w:val="clear" w:color="auto" w:fill="FFFFFF"/>
          </w:tcPr>
          <w:p>
            <w:pPr>
              <w:jc w:val="center"/>
            </w:pPr>
            <w:r>
              <w:rPr>
                <w:rFonts w:ascii="Times New Roman" w:hAnsi="Times New Roman" w:cs="Times New Roman"/>
                <w:sz w:val="22"/>
              </w:rPr>
              <w:t>0.8602</w:t>
            </w:r>
          </w:p>
        </w:tc>
        <w:tc>
          <w:tcPr>
            <w:tcW w:type="dxa" w:w="1758"/>
            <w:shd w:val="clear" w:color="auto" w:fill="FFFFFF"/>
          </w:tcPr>
          <w:p>
            <w:pPr>
              <w:jc w:val="center"/>
            </w:pPr>
            <w:r>
              <w:rPr>
                <w:rFonts w:ascii="Times New Roman" w:hAnsi="Times New Roman" w:cs="Times New Roman"/>
                <w:sz w:val="22"/>
              </w:rPr>
              <w:t>0.2306</w:t>
            </w:r>
          </w:p>
        </w:tc>
      </w:tr>
      <w:tr>
        <w:tc>
          <w:tcPr>
            <w:tcW w:type="dxa" w:w="1758"/>
            <w:shd w:val="clear" w:color="auto" w:fill="DCE6F1"/>
          </w:tcPr>
          <w:p>
            <w:pPr>
              <w:jc w:val="center"/>
            </w:pPr>
            <w:r>
              <w:rPr>
                <w:rFonts w:ascii="Times New Roman" w:hAnsi="Times New Roman" w:cs="Times New Roman"/>
                <w:sz w:val="22"/>
              </w:rPr>
              <w:t>Cascade (مرحلتين)</w:t>
            </w:r>
          </w:p>
        </w:tc>
        <w:tc>
          <w:tcPr>
            <w:tcW w:type="dxa" w:w="1758"/>
            <w:shd w:val="clear" w:color="auto" w:fill="DCE6F1"/>
          </w:tcPr>
          <w:p>
            <w:pPr>
              <w:jc w:val="center"/>
            </w:pPr>
            <w:r>
              <w:rPr>
                <w:rFonts w:ascii="Times New Roman" w:hAnsi="Times New Roman" w:cs="Times New Roman"/>
                <w:sz w:val="22"/>
              </w:rPr>
              <w:t>0.9558 ± 0.0046</w:t>
            </w:r>
          </w:p>
        </w:tc>
        <w:tc>
          <w:tcPr>
            <w:tcW w:type="dxa" w:w="1758"/>
            <w:shd w:val="clear" w:color="auto" w:fill="DCE6F1"/>
          </w:tcPr>
          <w:p>
            <w:pPr>
              <w:jc w:val="center"/>
            </w:pPr>
            <w:r>
              <w:rPr>
                <w:rFonts w:ascii="Times New Roman" w:hAnsi="Times New Roman" w:cs="Times New Roman"/>
                <w:sz w:val="22"/>
              </w:rPr>
              <w:t>0.1236 ± 0.0065</w:t>
            </w:r>
          </w:p>
        </w:tc>
        <w:tc>
          <w:tcPr>
            <w:tcW w:type="dxa" w:w="1758"/>
            <w:shd w:val="clear" w:color="auto" w:fill="DCE6F1"/>
          </w:tcPr>
          <w:p>
            <w:pPr>
              <w:jc w:val="center"/>
            </w:pPr>
            <w:r>
              <w:rPr>
                <w:rFonts w:ascii="Times New Roman" w:hAnsi="Times New Roman" w:cs="Times New Roman"/>
                <w:sz w:val="22"/>
              </w:rPr>
              <w:t>0.8666</w:t>
            </w:r>
          </w:p>
        </w:tc>
        <w:tc>
          <w:tcPr>
            <w:tcW w:type="dxa" w:w="1758"/>
            <w:shd w:val="clear" w:color="auto" w:fill="DCE6F1"/>
          </w:tcPr>
          <w:p>
            <w:pPr>
              <w:jc w:val="center"/>
            </w:pPr>
            <w:r>
              <w:rPr>
                <w:rFonts w:ascii="Times New Roman" w:hAnsi="Times New Roman" w:cs="Times New Roman"/>
                <w:sz w:val="22"/>
              </w:rPr>
              <w:t>0.2241</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النتيجة: النموذج العام يحقق أفضل أداء في كل المقاييس مقارنةً بالبديلين الأكثر تعقيداً. هذا يؤكد أن النموذج العام — وهو النموذج المعتمد في نتائج هذه الرسالة (جدول 5.4 و6.4) — هو الخيار الأمثل، وأن تخصيص نموذج إضافي لحالات التوائم لم يُحسِّن الأداء (بل أدى إلى تراجع طفيف)، مما يدعم بساطة وكفاءة البنية المُعتمَدة. ملاحظة: القيم الواردة هنا لتمييز التوائم (0.8715/0.2180 للنموذج العام) مستخرجة من تشغيل تحقّق إضافي مستقل، وهي قريبة جداً من النتائج الموثَّقة في جدول 6.4 (0.8673/0.2194)، والفرق الطفيف بينهما طبيعي ضمن التذبذب العشوائي بين عمليات التدريب.</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 أفضل EER محقق (LR: 20 تجربة، LightGBM: 25 تجربة — مؤكَّد من الكود)</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تجربة إضافية: مقارنة عام/متخصص/Cascade (اختياري)</w:t>
            </w:r>
          </w:p>
        </w:tc>
        <w:tc>
          <w:tcPr>
            <w:tcW w:type="dxa" w:w="2197"/>
            <w:shd w:val="clear" w:color="auto" w:fill="FFFFFF"/>
          </w:tcPr>
          <w:p>
            <w:pPr>
              <w:jc w:val="center"/>
            </w:pPr>
            <w:r>
              <w:rPr>
                <w:rFonts w:ascii="Times New Roman" w:hAnsi="Times New Roman" w:cs="Times New Roman"/>
                <w:sz w:val="22"/>
              </w:rPr>
              <w:t>الفصل الخامس — قسم التجارب الإضافية</w:t>
            </w:r>
          </w:p>
        </w:tc>
        <w:tc>
          <w:tcPr>
            <w:tcW w:type="dxa" w:w="2197"/>
            <w:shd w:val="clear" w:color="auto" w:fill="FFFFFF"/>
          </w:tcPr>
          <w:p>
            <w:pPr>
              <w:jc w:val="center"/>
            </w:pPr>
            <w:r>
              <w:rPr>
                <w:rFonts w:ascii="Times New Roman" w:hAnsi="Times New Roman" w:cs="Times New Roman"/>
                <w:sz w:val="22"/>
              </w:rPr>
              <w:t>✓ مُنجز (جدول 7.5 + ملاحظة تحليلية)</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p>
      <w:pPr>
        <w:bidi/>
        <w:spacing w:before="280" w:after="160"/>
        <w:jc w:val="right"/>
      </w:pPr>
      <w:r>
        <w:rPr>
          <w:rFonts w:ascii="Times New Roman" w:hAnsi="Times New Roman" w:cs="Times New Roman"/>
          <w:b/>
          <w:color w:val="2E5EA8"/>
          <w:sz w:val="28"/>
          <w:rtl/>
          <w:cs/>
        </w:rPr>
        <w:t>قائمة التحقق قبل التسليم (Verification Checklist)</w:t>
      </w:r>
    </w:p>
    <w:p>
      <w:pPr>
        <w:spacing w:before="160" w:after="80"/>
        <w:jc w:val="center"/>
      </w:pPr>
      <w:r>
        <w:rPr>
          <w:rFonts w:ascii="Times New Roman" w:hAnsi="Times New Roman" w:cs="Times New Roman"/>
          <w:b/>
          <w:i/>
          <w:sz w:val="22"/>
        </w:rPr>
        <w:t>قائمة التحقق النهائية — مُحدَّثة وفق المراجعة المرسلة من الطالبة</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البند</w:t>
            </w:r>
          </w:p>
        </w:tc>
        <w:tc>
          <w:tcPr>
            <w:tcW w:type="dxa" w:w="2197"/>
            <w:shd w:val="clear" w:color="auto" w:fill="2E5EA8"/>
          </w:tcPr>
          <w:p>
            <w:pPr>
              <w:jc w:val="center"/>
            </w:pPr>
            <w:r>
              <w:rPr>
                <w:rFonts w:ascii="Times New Roman" w:hAnsi="Times New Roman" w:cs="Times New Roman"/>
                <w:b/>
                <w:color w:val="FFFFFF"/>
                <w:sz w:val="22"/>
              </w:rPr>
              <w:t>الحالة</w:t>
            </w:r>
          </w:p>
        </w:tc>
        <w:tc>
          <w:tcPr>
            <w:tcW w:type="dxa" w:w="2197"/>
            <w:shd w:val="clear" w:color="auto" w:fill="2E5EA8"/>
          </w:tcPr>
          <w:p>
            <w:pPr>
              <w:jc w:val="center"/>
            </w:pPr>
            <w:r>
              <w:rPr>
                <w:rFonts w:ascii="Times New Roman" w:hAnsi="Times New Roman" w:cs="Times New Roman"/>
                <w:b/>
                <w:color w:val="FFFFFF"/>
                <w:sz w:val="22"/>
              </w:rPr>
              <w:t>الإجراء المطلوب</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311 شخصاً / 162 زوج / 4,743 صورة</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AUC=0.9559 / EER=0.1221 (الكلي)</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AUC=0.8673 / EER=0.2194 (التوائم)</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ArcFace 512 + LBP 256 + Periocular LBP 256</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GroupKFold بخمس طيّات على twin_group</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المقارنة مع Phillips/Sun/Toygar</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7</w:t>
            </w:r>
          </w:p>
        </w:tc>
        <w:tc>
          <w:tcPr>
            <w:tcW w:type="dxa" w:w="2197"/>
            <w:shd w:val="clear" w:color="auto" w:fill="DCE6F1"/>
          </w:tcPr>
          <w:p>
            <w:pPr>
              <w:jc w:val="center"/>
            </w:pPr>
            <w:r>
              <w:rPr>
                <w:rFonts w:ascii="Times New Roman" w:hAnsi="Times New Roman" w:cs="Times New Roman"/>
                <w:sz w:val="22"/>
              </w:rPr>
              <w:t>عدد تجارب Optuna: LR=20، LightGBM=25</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أبعاد متجه الزوج = 1,030 (8 مكوّنات، X.shape=(28293,1030))</w:t>
            </w:r>
          </w:p>
        </w:tc>
        <w:tc>
          <w:tcPr>
            <w:tcW w:type="dxa" w:w="2197"/>
            <w:shd w:val="clear" w:color="auto" w:fill="FFFFFF"/>
          </w:tcPr>
          <w:p>
            <w:pPr>
              <w:jc w:val="center"/>
            </w:pPr>
            <w:r>
              <w:rPr>
                <w:rFonts w:ascii="Times New Roman" w:hAnsi="Times New Roman" w:cs="Times New Roman"/>
                <w:sz w:val="22"/>
              </w:rPr>
              <w:t>🟢 مؤكَّد من الكود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9</w:t>
            </w:r>
          </w:p>
        </w:tc>
        <w:tc>
          <w:tcPr>
            <w:tcW w:type="dxa" w:w="2197"/>
            <w:shd w:val="clear" w:color="auto" w:fill="DCE6F1"/>
          </w:tcPr>
          <w:p>
            <w:pPr>
              <w:jc w:val="center"/>
            </w:pPr>
            <w:r>
              <w:rPr>
                <w:rFonts w:ascii="Times New Roman" w:hAnsi="Times New Roman" w:cs="Times New Roman"/>
                <w:sz w:val="22"/>
              </w:rPr>
              <w:t>عدد أزواج كل طيّة: ≈22,634 تدريب / ≈5,659 اختبار</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10</w:t>
            </w:r>
          </w:p>
        </w:tc>
        <w:tc>
          <w:tcPr>
            <w:tcW w:type="dxa" w:w="2197"/>
            <w:shd w:val="clear" w:color="auto" w:fill="FFFFFF"/>
          </w:tcPr>
          <w:p>
            <w:pPr>
              <w:jc w:val="center"/>
            </w:pPr>
            <w:r>
              <w:rPr>
                <w:rFonts w:ascii="Times New Roman" w:hAnsi="Times New Roman" w:cs="Times New Roman"/>
                <w:sz w:val="22"/>
              </w:rPr>
              <w:t>منهجية Phillips et al. — تصحيح إلى Local Region PCA</w:t>
            </w:r>
          </w:p>
        </w:tc>
        <w:tc>
          <w:tcPr>
            <w:tcW w:type="dxa" w:w="2197"/>
            <w:shd w:val="clear" w:color="auto" w:fill="FFFFFF"/>
          </w:tcPr>
          <w:p>
            <w:pPr>
              <w:jc w:val="center"/>
            </w:pPr>
            <w:r>
              <w:rPr>
                <w:rFonts w:ascii="Times New Roman" w:hAnsi="Times New Roman" w:cs="Times New Roman"/>
                <w:sz w:val="22"/>
              </w:rPr>
              <w:t>✓ صُحِّح في هذا المستند</w:t>
            </w:r>
          </w:p>
        </w:tc>
        <w:tc>
          <w:tcPr>
            <w:tcW w:type="dxa" w:w="2197"/>
            <w:shd w:val="clear" w:color="auto" w:fill="FFFFFF"/>
          </w:tcPr>
          <w:p>
            <w:pPr>
              <w:jc w:val="center"/>
            </w:pPr>
            <w:r>
              <w:rPr>
                <w:rFonts w:ascii="Times New Roman" w:hAnsi="Times New Roman" w:cs="Times New Roman"/>
                <w:sz w:val="22"/>
              </w:rPr>
              <w:t>لا حاجة لإجراء إضافي</w:t>
            </w:r>
          </w:p>
        </w:tc>
      </w:tr>
      <w:tr>
        <w:tc>
          <w:tcPr>
            <w:tcW w:type="dxa" w:w="2197"/>
            <w:shd w:val="clear" w:color="auto" w:fill="DCE6F1"/>
          </w:tcPr>
          <w:p>
            <w:pPr>
              <w:jc w:val="center"/>
            </w:pPr>
            <w:r>
              <w:rPr>
                <w:rFonts w:ascii="Times New Roman" w:hAnsi="Times New Roman" w:cs="Times New Roman"/>
                <w:sz w:val="22"/>
              </w:rPr>
              <w:t>11</w:t>
            </w:r>
          </w:p>
        </w:tc>
        <w:tc>
          <w:tcPr>
            <w:tcW w:type="dxa" w:w="2197"/>
            <w:shd w:val="clear" w:color="auto" w:fill="DCE6F1"/>
          </w:tcPr>
          <w:p>
            <w:pPr>
              <w:jc w:val="center"/>
            </w:pPr>
            <w:r>
              <w:rPr>
                <w:rFonts w:ascii="Times New Roman" w:hAnsi="Times New Roman" w:cs="Times New Roman"/>
                <w:sz w:val="22"/>
              </w:rPr>
              <w:t>مقولة "أداء الإنسان 70-80%"</w:t>
            </w:r>
          </w:p>
        </w:tc>
        <w:tc>
          <w:tcPr>
            <w:tcW w:type="dxa" w:w="2197"/>
            <w:shd w:val="clear" w:color="auto" w:fill="DCE6F1"/>
          </w:tcPr>
          <w:p>
            <w:pPr>
              <w:jc w:val="center"/>
            </w:pPr>
            <w:r>
              <w:rPr>
                <w:rFonts w:ascii="Times New Roman" w:hAnsi="Times New Roman" w:cs="Times New Roman"/>
                <w:sz w:val="22"/>
              </w:rPr>
              <w:t>✓ حُذفت</w:t>
            </w:r>
          </w:p>
        </w:tc>
        <w:tc>
          <w:tcPr>
            <w:tcW w:type="dxa" w:w="2197"/>
            <w:shd w:val="clear" w:color="auto" w:fill="DCE6F1"/>
          </w:tcPr>
          <w:p>
            <w:pPr>
              <w:jc w:val="center"/>
            </w:pPr>
            <w:r>
              <w:rPr>
                <w:rFonts w:ascii="Times New Roman" w:hAnsi="Times New Roman" w:cs="Times New Roman"/>
                <w:sz w:val="22"/>
              </w:rPr>
              <w:t>لا حاجة لإجراء</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