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360" w:after="240"/>
        <w:jc w:val="right"/>
      </w:pPr>
      <w:r>
        <w:rPr>
          <w:rFonts w:ascii="Times New Roman" w:hAnsi="Times New Roman" w:cs="Times New Roman"/>
          <w:b/>
          <w:color w:val="1F397D"/>
          <w:sz w:val="32"/>
          <w:rtl/>
          <w:cs/>
        </w:rPr>
        <w:t>الفصل الرابع</w:t>
      </w:r>
    </w:p>
    <w:p>
      <w:pPr>
        <w:bidi/>
        <w:spacing w:before="360" w:after="240"/>
        <w:jc w:val="right"/>
      </w:pPr>
      <w:r>
        <w:rPr>
          <w:rFonts w:ascii="Times New Roman" w:hAnsi="Times New Roman" w:cs="Times New Roman"/>
          <w:b/>
          <w:color w:val="1F397D"/>
          <w:sz w:val="32"/>
          <w:rtl/>
          <w:cs/>
        </w:rPr>
        <w:t>تنفيذ النظام وعرض النتائج</w:t>
      </w:r>
    </w:p>
    <w:p/>
    <w:p>
      <w:pPr>
        <w:bidi/>
        <w:spacing w:before="280" w:after="160"/>
        <w:jc w:val="right"/>
      </w:pPr>
      <w:r>
        <w:rPr>
          <w:rFonts w:ascii="Times New Roman" w:hAnsi="Times New Roman" w:cs="Times New Roman"/>
          <w:b/>
          <w:color w:val="2E5EA8"/>
          <w:sz w:val="28"/>
          <w:rtl/>
          <w:cs/>
        </w:rPr>
        <w:t>1.4  مقدمة الفصل</w:t>
      </w:r>
    </w:p>
    <w:p>
      <w:pPr>
        <w:bidi/>
        <w:spacing w:line="360" w:lineRule="auto" w:after="120"/>
        <w:ind w:firstLine="567"/>
        <w:jc w:val="right"/>
      </w:pPr>
      <w:r>
        <w:rPr>
          <w:rFonts w:ascii="Times New Roman" w:hAnsi="Times New Roman" w:cs="Times New Roman"/>
          <w:sz w:val="24"/>
          <w:rtl/>
          <w:cs/>
        </w:rPr>
        <w:t>يُعدّ هذا الفصل المحور الرئيسي للدراسة، إذ يتناول التنفيذ الفعلي للنموذج الهجين المقترح لنظام التعرف على وجوه التوائم، والذي تمّ تصميمه وتحليله في الفصل السابق. يستعرض هذا الفصل بالتفصيل خطوات التنفيذ؛ بدءاً من إعداد بيئة التطوير ومجموعة البيانات، مروراً بمراحل المعالجة المسبقة للصور، وصولاً إلى بناء النموذج الهجين القائم على دمج خوارزمية ArcFace مع تحليل ملمس الوجه (LBP وWavelet) وتحليل منطقة العين (Periocular). وتُعرض في القسم الأخير من هذا الفصل النتائج الكمية لتقييم أداء النظام باستخدام عدة مقاييس معيارية، مع مقارنة شاملة بأبرز الدراسات السابقة ذات الصلة.</w:t>
      </w:r>
    </w:p>
    <w:p>
      <w:pPr>
        <w:bidi/>
        <w:spacing w:before="280" w:after="160"/>
        <w:jc w:val="right"/>
      </w:pPr>
      <w:r>
        <w:rPr>
          <w:rFonts w:ascii="Times New Roman" w:hAnsi="Times New Roman" w:cs="Times New Roman"/>
          <w:b/>
          <w:color w:val="2E5EA8"/>
          <w:sz w:val="28"/>
          <w:rtl/>
          <w:cs/>
        </w:rPr>
        <w:t>2.4  بيئة التنفيذ والأدوات المستخدمة</w:t>
      </w:r>
    </w:p>
    <w:p>
      <w:pPr>
        <w:bidi/>
        <w:spacing w:before="200" w:after="120"/>
        <w:jc w:val="right"/>
      </w:pPr>
      <w:r>
        <w:rPr>
          <w:rFonts w:ascii="Times New Roman" w:hAnsi="Times New Roman" w:cs="Times New Roman"/>
          <w:b/>
          <w:color w:val="1A1A1A"/>
          <w:sz w:val="26"/>
          <w:rtl/>
          <w:cs/>
        </w:rPr>
        <w:t>2.4.1  المواصفات التقنية للنظام</w:t>
      </w:r>
    </w:p>
    <w:p>
      <w:pPr>
        <w:bidi/>
        <w:spacing w:line="360" w:lineRule="auto" w:after="120"/>
        <w:ind w:firstLine="567"/>
        <w:jc w:val="right"/>
      </w:pPr>
      <w:r>
        <w:rPr>
          <w:rFonts w:ascii="Times New Roman" w:hAnsi="Times New Roman" w:cs="Times New Roman"/>
          <w:sz w:val="24"/>
          <w:rtl/>
          <w:cs/>
        </w:rPr>
        <w:t>نُفِّذت تجارب هذه الدراسة على نظام حاسوبي يعمل بنظام التشغيل Windows 11، بمواصفات تقنية تُلائم متطلبات التعلم العميق والمعالجة المتكثفة للصور. يُوضح الجدول (1.4) المواصفات التفصيلية لبيئة التنفيذ:</w:t>
      </w:r>
    </w:p>
    <w:p>
      <w:pPr>
        <w:spacing w:before="80" w:after="200"/>
        <w:jc w:val="center"/>
      </w:pPr>
      <w:r>
        <w:rPr>
          <w:rFonts w:ascii="Times New Roman" w:hAnsi="Times New Roman" w:cs="Times New Roman"/>
          <w:b/>
          <w:i/>
          <w:sz w:val="22"/>
        </w:rPr>
        <w:t>الجدول (1.4): المواصفات التقنية لبيئة التنفيذ</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5EA8"/>
          </w:tcPr>
          <w:p>
            <w:pPr>
              <w:jc w:val="center"/>
            </w:pPr>
            <w:r>
              <w:rPr>
                <w:rFonts w:ascii="Times New Roman" w:hAnsi="Times New Roman" w:cs="Times New Roman"/>
                <w:b/>
                <w:color w:val="FFFFFF"/>
                <w:sz w:val="22"/>
              </w:rPr>
              <w:t>المكوّن</w:t>
            </w:r>
          </w:p>
        </w:tc>
        <w:tc>
          <w:tcPr>
            <w:tcW w:type="dxa" w:w="4394"/>
            <w:shd w:val="clear" w:color="auto" w:fill="2E5EA8"/>
          </w:tcPr>
          <w:p>
            <w:pPr>
              <w:jc w:val="center"/>
            </w:pPr>
            <w:r>
              <w:rPr>
                <w:rFonts w:ascii="Times New Roman" w:hAnsi="Times New Roman" w:cs="Times New Roman"/>
                <w:b/>
                <w:color w:val="FFFFFF"/>
                <w:sz w:val="22"/>
              </w:rPr>
              <w:t>المواصفات</w:t>
            </w:r>
          </w:p>
        </w:tc>
      </w:tr>
      <w:tr>
        <w:tc>
          <w:tcPr>
            <w:tcW w:type="dxa" w:w="4394"/>
            <w:shd w:val="clear" w:color="auto" w:fill="DCE6F1"/>
          </w:tcPr>
          <w:p>
            <w:pPr>
              <w:jc w:val="center"/>
            </w:pPr>
            <w:r>
              <w:rPr>
                <w:rFonts w:ascii="Times New Roman" w:hAnsi="Times New Roman" w:cs="Times New Roman"/>
                <w:sz w:val="22"/>
              </w:rPr>
              <w:t>نظام التشغيل</w:t>
            </w:r>
          </w:p>
        </w:tc>
        <w:tc>
          <w:tcPr>
            <w:tcW w:type="dxa" w:w="4394"/>
            <w:shd w:val="clear" w:color="auto" w:fill="DCE6F1"/>
          </w:tcPr>
          <w:p>
            <w:pPr>
              <w:jc w:val="center"/>
            </w:pPr>
            <w:r>
              <w:rPr>
                <w:rFonts w:ascii="Times New Roman" w:hAnsi="Times New Roman" w:cs="Times New Roman"/>
                <w:sz w:val="22"/>
              </w:rPr>
              <w:t>Windows 11 (64-bit)</w:t>
            </w:r>
          </w:p>
        </w:tc>
      </w:tr>
      <w:tr>
        <w:tc>
          <w:tcPr>
            <w:tcW w:type="dxa" w:w="4394"/>
          </w:tcPr>
          <w:p>
            <w:pPr>
              <w:jc w:val="center"/>
            </w:pPr>
            <w:r>
              <w:rPr>
                <w:rFonts w:ascii="Times New Roman" w:hAnsi="Times New Roman" w:cs="Times New Roman"/>
                <w:sz w:val="22"/>
              </w:rPr>
              <w:t>المعالج المركزي (CPU)</w:t>
            </w:r>
          </w:p>
        </w:tc>
        <w:tc>
          <w:tcPr>
            <w:tcW w:type="dxa" w:w="4394"/>
          </w:tcPr>
          <w:p>
            <w:pPr>
              <w:jc w:val="center"/>
            </w:pPr>
            <w:r>
              <w:rPr>
                <w:rFonts w:ascii="Times New Roman" w:hAnsi="Times New Roman" w:cs="Times New Roman"/>
                <w:sz w:val="22"/>
              </w:rPr>
              <w:t>Intel Core i7 (الجيل العاشر أو أعلى)</w:t>
            </w:r>
          </w:p>
        </w:tc>
      </w:tr>
      <w:tr>
        <w:tc>
          <w:tcPr>
            <w:tcW w:type="dxa" w:w="4394"/>
            <w:shd w:val="clear" w:color="auto" w:fill="DCE6F1"/>
          </w:tcPr>
          <w:p>
            <w:pPr>
              <w:jc w:val="center"/>
            </w:pPr>
            <w:r>
              <w:rPr>
                <w:rFonts w:ascii="Times New Roman" w:hAnsi="Times New Roman" w:cs="Times New Roman"/>
                <w:sz w:val="22"/>
              </w:rPr>
              <w:t>ذاكرة الوصول العشوائي (RAM)</w:t>
            </w:r>
          </w:p>
        </w:tc>
        <w:tc>
          <w:tcPr>
            <w:tcW w:type="dxa" w:w="4394"/>
            <w:shd w:val="clear" w:color="auto" w:fill="DCE6F1"/>
          </w:tcPr>
          <w:p>
            <w:pPr>
              <w:jc w:val="center"/>
            </w:pPr>
            <w:r>
              <w:rPr>
                <w:rFonts w:ascii="Times New Roman" w:hAnsi="Times New Roman" w:cs="Times New Roman"/>
                <w:sz w:val="22"/>
              </w:rPr>
              <w:t>16 GB DDR4</w:t>
            </w:r>
          </w:p>
        </w:tc>
      </w:tr>
      <w:tr>
        <w:tc>
          <w:tcPr>
            <w:tcW w:type="dxa" w:w="4394"/>
          </w:tcPr>
          <w:p>
            <w:pPr>
              <w:jc w:val="center"/>
            </w:pPr>
            <w:r>
              <w:rPr>
                <w:rFonts w:ascii="Times New Roman" w:hAnsi="Times New Roman" w:cs="Times New Roman"/>
                <w:sz w:val="22"/>
              </w:rPr>
              <w:t>بطاقة الرسومات (GPU)</w:t>
            </w:r>
          </w:p>
        </w:tc>
        <w:tc>
          <w:tcPr>
            <w:tcW w:type="dxa" w:w="4394"/>
          </w:tcPr>
          <w:p>
            <w:pPr>
              <w:jc w:val="center"/>
            </w:pPr>
            <w:r>
              <w:rPr>
                <w:rFonts w:ascii="Times New Roman" w:hAnsi="Times New Roman" w:cs="Times New Roman"/>
                <w:sz w:val="22"/>
              </w:rPr>
              <w:t>NVIDIA GTX/RTX (اختياري – لتسريع التدريب)</w:t>
            </w:r>
          </w:p>
        </w:tc>
      </w:tr>
      <w:tr>
        <w:tc>
          <w:tcPr>
            <w:tcW w:type="dxa" w:w="4394"/>
            <w:shd w:val="clear" w:color="auto" w:fill="DCE6F1"/>
          </w:tcPr>
          <w:p>
            <w:pPr>
              <w:jc w:val="center"/>
            </w:pPr>
            <w:r>
              <w:rPr>
                <w:rFonts w:ascii="Times New Roman" w:hAnsi="Times New Roman" w:cs="Times New Roman"/>
                <w:sz w:val="22"/>
              </w:rPr>
              <w:t>مساحة التخزين</w:t>
            </w:r>
          </w:p>
        </w:tc>
        <w:tc>
          <w:tcPr>
            <w:tcW w:type="dxa" w:w="4394"/>
            <w:shd w:val="clear" w:color="auto" w:fill="DCE6F1"/>
          </w:tcPr>
          <w:p>
            <w:pPr>
              <w:jc w:val="center"/>
            </w:pPr>
            <w:r>
              <w:rPr>
                <w:rFonts w:ascii="Times New Roman" w:hAnsi="Times New Roman" w:cs="Times New Roman"/>
                <w:sz w:val="22"/>
              </w:rPr>
              <w:t>500 GB SSD</w:t>
            </w:r>
          </w:p>
        </w:tc>
      </w:tr>
      <w:tr>
        <w:tc>
          <w:tcPr>
            <w:tcW w:type="dxa" w:w="4394"/>
          </w:tcPr>
          <w:p>
            <w:pPr>
              <w:jc w:val="center"/>
            </w:pPr>
            <w:r>
              <w:rPr>
                <w:rFonts w:ascii="Times New Roman" w:hAnsi="Times New Roman" w:cs="Times New Roman"/>
                <w:sz w:val="22"/>
              </w:rPr>
              <w:t>بيئة التطوير (IDE)</w:t>
            </w:r>
          </w:p>
        </w:tc>
        <w:tc>
          <w:tcPr>
            <w:tcW w:type="dxa" w:w="4394"/>
          </w:tcPr>
          <w:p>
            <w:pPr>
              <w:jc w:val="center"/>
            </w:pPr>
            <w:r>
              <w:rPr>
                <w:rFonts w:ascii="Times New Roman" w:hAnsi="Times New Roman" w:cs="Times New Roman"/>
                <w:sz w:val="22"/>
              </w:rPr>
              <w:t>Visual Studio Code (VS Code)</w:t>
            </w:r>
          </w:p>
        </w:tc>
      </w:tr>
      <w:tr>
        <w:tc>
          <w:tcPr>
            <w:tcW w:type="dxa" w:w="4394"/>
            <w:shd w:val="clear" w:color="auto" w:fill="DCE6F1"/>
          </w:tcPr>
          <w:p>
            <w:pPr>
              <w:jc w:val="center"/>
            </w:pPr>
            <w:r>
              <w:rPr>
                <w:rFonts w:ascii="Times New Roman" w:hAnsi="Times New Roman" w:cs="Times New Roman"/>
                <w:sz w:val="22"/>
              </w:rPr>
              <w:t>لغة البرمجة</w:t>
            </w:r>
          </w:p>
        </w:tc>
        <w:tc>
          <w:tcPr>
            <w:tcW w:type="dxa" w:w="4394"/>
            <w:shd w:val="clear" w:color="auto" w:fill="DCE6F1"/>
          </w:tcPr>
          <w:p>
            <w:pPr>
              <w:jc w:val="center"/>
            </w:pPr>
            <w:r>
              <w:rPr>
                <w:rFonts w:ascii="Times New Roman" w:hAnsi="Times New Roman" w:cs="Times New Roman"/>
                <w:sz w:val="22"/>
              </w:rPr>
              <w:t>Python 3.9+</w:t>
            </w:r>
          </w:p>
        </w:tc>
      </w:tr>
    </w:tbl>
    <w:p/>
    <w:p>
      <w:pPr>
        <w:bidi/>
        <w:spacing w:before="200" w:after="120"/>
        <w:jc w:val="right"/>
      </w:pPr>
      <w:r>
        <w:rPr>
          <w:rFonts w:ascii="Times New Roman" w:hAnsi="Times New Roman" w:cs="Times New Roman"/>
          <w:b/>
          <w:color w:val="1A1A1A"/>
          <w:sz w:val="26"/>
          <w:rtl/>
          <w:cs/>
        </w:rPr>
        <w:t>2.4.2  المكتبات والحزم البرمجية المستخدمة</w:t>
      </w:r>
    </w:p>
    <w:p>
      <w:pPr>
        <w:bidi/>
        <w:spacing w:line="360" w:lineRule="auto" w:after="120"/>
        <w:ind w:firstLine="567"/>
        <w:jc w:val="right"/>
      </w:pPr>
      <w:r>
        <w:rPr>
          <w:rFonts w:ascii="Times New Roman" w:hAnsi="Times New Roman" w:cs="Times New Roman"/>
          <w:sz w:val="24"/>
          <w:rtl/>
          <w:cs/>
        </w:rPr>
        <w:t>اعتمد النظام المقترح على مجموعة من المكتبات البرمجية المتخصصة في معالجة الصور والتعلم العميق، وذلك لضمان كفاءة التنفيذ ودقة النتائج. يُوضح الجدول (2.4) أبرز هذه المكتبات وأغراض توظيفها:</w:t>
      </w:r>
    </w:p>
    <w:p>
      <w:pPr>
        <w:spacing w:before="80" w:after="200"/>
        <w:jc w:val="center"/>
      </w:pPr>
      <w:r>
        <w:rPr>
          <w:rFonts w:ascii="Times New Roman" w:hAnsi="Times New Roman" w:cs="Times New Roman"/>
          <w:b/>
          <w:i/>
          <w:sz w:val="22"/>
        </w:rPr>
        <w:t>الجدول (2.4): المكتبات البرمجية المستخدمة في التنفيذ</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5EA8"/>
          </w:tcPr>
          <w:p>
            <w:pPr>
              <w:jc w:val="center"/>
            </w:pPr>
            <w:r>
              <w:rPr>
                <w:rFonts w:ascii="Times New Roman" w:hAnsi="Times New Roman" w:cs="Times New Roman"/>
                <w:b/>
                <w:color w:val="FFFFFF"/>
                <w:sz w:val="22"/>
              </w:rPr>
              <w:t>المكتبة / الإطار</w:t>
            </w:r>
          </w:p>
        </w:tc>
        <w:tc>
          <w:tcPr>
            <w:tcW w:type="dxa" w:w="2929"/>
            <w:shd w:val="clear" w:color="auto" w:fill="2E5EA8"/>
          </w:tcPr>
          <w:p>
            <w:pPr>
              <w:jc w:val="center"/>
            </w:pPr>
            <w:r>
              <w:rPr>
                <w:rFonts w:ascii="Times New Roman" w:hAnsi="Times New Roman" w:cs="Times New Roman"/>
                <w:b/>
                <w:color w:val="FFFFFF"/>
                <w:sz w:val="22"/>
              </w:rPr>
              <w:t>الإصدار</w:t>
            </w:r>
          </w:p>
        </w:tc>
        <w:tc>
          <w:tcPr>
            <w:tcW w:type="dxa" w:w="2929"/>
            <w:shd w:val="clear" w:color="auto" w:fill="2E5EA8"/>
          </w:tcPr>
          <w:p>
            <w:pPr>
              <w:jc w:val="center"/>
            </w:pPr>
            <w:r>
              <w:rPr>
                <w:rFonts w:ascii="Times New Roman" w:hAnsi="Times New Roman" w:cs="Times New Roman"/>
                <w:b/>
                <w:color w:val="FFFFFF"/>
                <w:sz w:val="22"/>
              </w:rPr>
              <w:t>الغرض من الاستخدام</w:t>
            </w:r>
          </w:p>
        </w:tc>
      </w:tr>
      <w:tr>
        <w:tc>
          <w:tcPr>
            <w:tcW w:type="dxa" w:w="2929"/>
            <w:shd w:val="clear" w:color="auto" w:fill="DCE6F1"/>
          </w:tcPr>
          <w:p>
            <w:pPr>
              <w:jc w:val="center"/>
            </w:pPr>
            <w:r>
              <w:rPr>
                <w:rFonts w:ascii="Times New Roman" w:hAnsi="Times New Roman" w:cs="Times New Roman"/>
                <w:sz w:val="22"/>
              </w:rPr>
              <w:t>Python</w:t>
            </w:r>
          </w:p>
        </w:tc>
        <w:tc>
          <w:tcPr>
            <w:tcW w:type="dxa" w:w="2929"/>
            <w:shd w:val="clear" w:color="auto" w:fill="DCE6F1"/>
          </w:tcPr>
          <w:p>
            <w:pPr>
              <w:jc w:val="center"/>
            </w:pPr>
            <w:r>
              <w:rPr>
                <w:rFonts w:ascii="Times New Roman" w:hAnsi="Times New Roman" w:cs="Times New Roman"/>
                <w:sz w:val="22"/>
              </w:rPr>
              <w:t>3.9+</w:t>
            </w:r>
          </w:p>
        </w:tc>
        <w:tc>
          <w:tcPr>
            <w:tcW w:type="dxa" w:w="2929"/>
            <w:shd w:val="clear" w:color="auto" w:fill="DCE6F1"/>
          </w:tcPr>
          <w:p>
            <w:pPr>
              <w:jc w:val="center"/>
            </w:pPr>
            <w:r>
              <w:rPr>
                <w:rFonts w:ascii="Times New Roman" w:hAnsi="Times New Roman" w:cs="Times New Roman"/>
                <w:sz w:val="22"/>
              </w:rPr>
              <w:t>لغة البرمجة الأساسية</w:t>
            </w:r>
          </w:p>
        </w:tc>
      </w:tr>
      <w:tr>
        <w:tc>
          <w:tcPr>
            <w:tcW w:type="dxa" w:w="2929"/>
          </w:tcPr>
          <w:p>
            <w:pPr>
              <w:jc w:val="center"/>
            </w:pPr>
            <w:r>
              <w:rPr>
                <w:rFonts w:ascii="Times New Roman" w:hAnsi="Times New Roman" w:cs="Times New Roman"/>
                <w:sz w:val="22"/>
              </w:rPr>
              <w:t>TensorFlow / PyTorch</w:t>
            </w:r>
          </w:p>
        </w:tc>
        <w:tc>
          <w:tcPr>
            <w:tcW w:type="dxa" w:w="2929"/>
          </w:tcPr>
          <w:p>
            <w:pPr>
              <w:jc w:val="center"/>
            </w:pPr>
            <w:r>
              <w:rPr>
                <w:rFonts w:ascii="Times New Roman" w:hAnsi="Times New Roman" w:cs="Times New Roman"/>
                <w:sz w:val="22"/>
              </w:rPr>
              <w:t>2.x / 1.x</w:t>
            </w:r>
          </w:p>
        </w:tc>
        <w:tc>
          <w:tcPr>
            <w:tcW w:type="dxa" w:w="2929"/>
          </w:tcPr>
          <w:p>
            <w:pPr>
              <w:jc w:val="center"/>
            </w:pPr>
            <w:r>
              <w:rPr>
                <w:rFonts w:ascii="Times New Roman" w:hAnsi="Times New Roman" w:cs="Times New Roman"/>
                <w:sz w:val="22"/>
              </w:rPr>
              <w:t>بناء نماذج التعلم العميق وتدريبها</w:t>
            </w:r>
          </w:p>
        </w:tc>
      </w:tr>
      <w:tr>
        <w:tc>
          <w:tcPr>
            <w:tcW w:type="dxa" w:w="2929"/>
            <w:shd w:val="clear" w:color="auto" w:fill="DCE6F1"/>
          </w:tcPr>
          <w:p>
            <w:pPr>
              <w:jc w:val="center"/>
            </w:pPr>
            <w:r>
              <w:rPr>
                <w:rFonts w:ascii="Times New Roman" w:hAnsi="Times New Roman" w:cs="Times New Roman"/>
                <w:sz w:val="22"/>
              </w:rPr>
              <w:t>OpenCV (cv2)</w:t>
            </w:r>
          </w:p>
        </w:tc>
        <w:tc>
          <w:tcPr>
            <w:tcW w:type="dxa" w:w="2929"/>
            <w:shd w:val="clear" w:color="auto" w:fill="DCE6F1"/>
          </w:tcPr>
          <w:p>
            <w:pPr>
              <w:jc w:val="center"/>
            </w:pPr>
            <w:r>
              <w:rPr>
                <w:rFonts w:ascii="Times New Roman" w:hAnsi="Times New Roman" w:cs="Times New Roman"/>
                <w:sz w:val="22"/>
              </w:rPr>
              <w:t>4.x</w:t>
            </w:r>
          </w:p>
        </w:tc>
        <w:tc>
          <w:tcPr>
            <w:tcW w:type="dxa" w:w="2929"/>
            <w:shd w:val="clear" w:color="auto" w:fill="DCE6F1"/>
          </w:tcPr>
          <w:p>
            <w:pPr>
              <w:jc w:val="center"/>
            </w:pPr>
            <w:r>
              <w:rPr>
                <w:rFonts w:ascii="Times New Roman" w:hAnsi="Times New Roman" w:cs="Times New Roman"/>
                <w:sz w:val="22"/>
              </w:rPr>
              <w:t>معالجة الصور وكشف الوجه</w:t>
            </w:r>
          </w:p>
        </w:tc>
      </w:tr>
      <w:tr>
        <w:tc>
          <w:tcPr>
            <w:tcW w:type="dxa" w:w="2929"/>
          </w:tcPr>
          <w:p>
            <w:pPr>
              <w:jc w:val="center"/>
            </w:pPr>
            <w:r>
              <w:rPr>
                <w:rFonts w:ascii="Times New Roman" w:hAnsi="Times New Roman" w:cs="Times New Roman"/>
                <w:sz w:val="22"/>
              </w:rPr>
              <w:t>NumPy</w:t>
            </w:r>
          </w:p>
        </w:tc>
        <w:tc>
          <w:tcPr>
            <w:tcW w:type="dxa" w:w="2929"/>
          </w:tcPr>
          <w:p>
            <w:pPr>
              <w:jc w:val="center"/>
            </w:pPr>
            <w:r>
              <w:rPr>
                <w:rFonts w:ascii="Times New Roman" w:hAnsi="Times New Roman" w:cs="Times New Roman"/>
                <w:sz w:val="22"/>
              </w:rPr>
              <w:t>1.24+</w:t>
            </w:r>
          </w:p>
        </w:tc>
        <w:tc>
          <w:tcPr>
            <w:tcW w:type="dxa" w:w="2929"/>
          </w:tcPr>
          <w:p>
            <w:pPr>
              <w:jc w:val="center"/>
            </w:pPr>
            <w:r>
              <w:rPr>
                <w:rFonts w:ascii="Times New Roman" w:hAnsi="Times New Roman" w:cs="Times New Roman"/>
                <w:sz w:val="22"/>
              </w:rPr>
              <w:t>العمليات الرياضية ومعالجة المصفوفات</w:t>
            </w:r>
          </w:p>
        </w:tc>
      </w:tr>
      <w:tr>
        <w:tc>
          <w:tcPr>
            <w:tcW w:type="dxa" w:w="2929"/>
            <w:shd w:val="clear" w:color="auto" w:fill="DCE6F1"/>
          </w:tcPr>
          <w:p>
            <w:pPr>
              <w:jc w:val="center"/>
            </w:pPr>
            <w:r>
              <w:rPr>
                <w:rFonts w:ascii="Times New Roman" w:hAnsi="Times New Roman" w:cs="Times New Roman"/>
                <w:sz w:val="22"/>
              </w:rPr>
              <w:t>scikit-image</w:t>
            </w:r>
          </w:p>
        </w:tc>
        <w:tc>
          <w:tcPr>
            <w:tcW w:type="dxa" w:w="2929"/>
            <w:shd w:val="clear" w:color="auto" w:fill="DCE6F1"/>
          </w:tcPr>
          <w:p>
            <w:pPr>
              <w:jc w:val="center"/>
            </w:pPr>
            <w:r>
              <w:rPr>
                <w:rFonts w:ascii="Times New Roman" w:hAnsi="Times New Roman" w:cs="Times New Roman"/>
                <w:sz w:val="22"/>
              </w:rPr>
              <w:t>0.20+</w:t>
            </w:r>
          </w:p>
        </w:tc>
        <w:tc>
          <w:tcPr>
            <w:tcW w:type="dxa" w:w="2929"/>
            <w:shd w:val="clear" w:color="auto" w:fill="DCE6F1"/>
          </w:tcPr>
          <w:p>
            <w:pPr>
              <w:jc w:val="center"/>
            </w:pPr>
            <w:r>
              <w:rPr>
                <w:rFonts w:ascii="Times New Roman" w:hAnsi="Times New Roman" w:cs="Times New Roman"/>
                <w:sz w:val="22"/>
              </w:rPr>
              <w:t>استخراج ميزات LBP وتحليل الملمس</w:t>
            </w:r>
          </w:p>
        </w:tc>
      </w:tr>
      <w:tr>
        <w:tc>
          <w:tcPr>
            <w:tcW w:type="dxa" w:w="2929"/>
          </w:tcPr>
          <w:p>
            <w:pPr>
              <w:jc w:val="center"/>
            </w:pPr>
            <w:r>
              <w:rPr>
                <w:rFonts w:ascii="Times New Roman" w:hAnsi="Times New Roman" w:cs="Times New Roman"/>
                <w:sz w:val="22"/>
              </w:rPr>
              <w:t>PyWavelets (pywt)</w:t>
            </w:r>
          </w:p>
        </w:tc>
        <w:tc>
          <w:tcPr>
            <w:tcW w:type="dxa" w:w="2929"/>
          </w:tcPr>
          <w:p>
            <w:pPr>
              <w:jc w:val="center"/>
            </w:pPr>
            <w:r>
              <w:rPr>
                <w:rFonts w:ascii="Times New Roman" w:hAnsi="Times New Roman" w:cs="Times New Roman"/>
                <w:sz w:val="22"/>
              </w:rPr>
              <w:t>1.4+</w:t>
            </w:r>
          </w:p>
        </w:tc>
        <w:tc>
          <w:tcPr>
            <w:tcW w:type="dxa" w:w="2929"/>
          </w:tcPr>
          <w:p>
            <w:pPr>
              <w:jc w:val="center"/>
            </w:pPr>
            <w:r>
              <w:rPr>
                <w:rFonts w:ascii="Times New Roman" w:hAnsi="Times New Roman" w:cs="Times New Roman"/>
                <w:sz w:val="22"/>
              </w:rPr>
              <w:t>تحليل Wavelet لاستخراج ميزات الملمس</w:t>
            </w:r>
          </w:p>
        </w:tc>
      </w:tr>
      <w:tr>
        <w:tc>
          <w:tcPr>
            <w:tcW w:type="dxa" w:w="2929"/>
            <w:shd w:val="clear" w:color="auto" w:fill="DCE6F1"/>
          </w:tcPr>
          <w:p>
            <w:pPr>
              <w:jc w:val="center"/>
            </w:pPr>
            <w:r>
              <w:rPr>
                <w:rFonts w:ascii="Times New Roman" w:hAnsi="Times New Roman" w:cs="Times New Roman"/>
                <w:sz w:val="22"/>
              </w:rPr>
              <w:t>InsightFace / DeepFace</w:t>
            </w:r>
          </w:p>
        </w:tc>
        <w:tc>
          <w:tcPr>
            <w:tcW w:type="dxa" w:w="2929"/>
            <w:shd w:val="clear" w:color="auto" w:fill="DCE6F1"/>
          </w:tcPr>
          <w:p>
            <w:pPr>
              <w:jc w:val="center"/>
            </w:pPr>
            <w:r>
              <w:rPr>
                <w:rFonts w:ascii="Times New Roman" w:hAnsi="Times New Roman" w:cs="Times New Roman"/>
                <w:sz w:val="22"/>
              </w:rPr>
              <w:t>الأحدث</w:t>
            </w:r>
          </w:p>
        </w:tc>
        <w:tc>
          <w:tcPr>
            <w:tcW w:type="dxa" w:w="2929"/>
            <w:shd w:val="clear" w:color="auto" w:fill="DCE6F1"/>
          </w:tcPr>
          <w:p>
            <w:pPr>
              <w:jc w:val="center"/>
            </w:pPr>
            <w:r>
              <w:rPr>
                <w:rFonts w:ascii="Times New Roman" w:hAnsi="Times New Roman" w:cs="Times New Roman"/>
                <w:sz w:val="22"/>
              </w:rPr>
              <w:t>استخراج التضمينات العميقة عبر ArcFace</w:t>
            </w:r>
          </w:p>
        </w:tc>
      </w:tr>
      <w:tr>
        <w:tc>
          <w:tcPr>
            <w:tcW w:type="dxa" w:w="2929"/>
          </w:tcPr>
          <w:p>
            <w:pPr>
              <w:jc w:val="center"/>
            </w:pPr>
            <w:r>
              <w:rPr>
                <w:rFonts w:ascii="Times New Roman" w:hAnsi="Times New Roman" w:cs="Times New Roman"/>
                <w:sz w:val="22"/>
              </w:rPr>
              <w:t>scikit-learn</w:t>
            </w:r>
          </w:p>
        </w:tc>
        <w:tc>
          <w:tcPr>
            <w:tcW w:type="dxa" w:w="2929"/>
          </w:tcPr>
          <w:p>
            <w:pPr>
              <w:jc w:val="center"/>
            </w:pPr>
            <w:r>
              <w:rPr>
                <w:rFonts w:ascii="Times New Roman" w:hAnsi="Times New Roman" w:cs="Times New Roman"/>
                <w:sz w:val="22"/>
              </w:rPr>
              <w:t>1.2+</w:t>
            </w:r>
          </w:p>
        </w:tc>
        <w:tc>
          <w:tcPr>
            <w:tcW w:type="dxa" w:w="2929"/>
          </w:tcPr>
          <w:p>
            <w:pPr>
              <w:jc w:val="center"/>
            </w:pPr>
            <w:r>
              <w:rPr>
                <w:rFonts w:ascii="Times New Roman" w:hAnsi="Times New Roman" w:cs="Times New Roman"/>
                <w:sz w:val="22"/>
              </w:rPr>
              <w:t>حساب مقاييس التقييم والتصنيف</w:t>
            </w:r>
          </w:p>
        </w:tc>
      </w:tr>
      <w:tr>
        <w:tc>
          <w:tcPr>
            <w:tcW w:type="dxa" w:w="2929"/>
            <w:shd w:val="clear" w:color="auto" w:fill="DCE6F1"/>
          </w:tcPr>
          <w:p>
            <w:pPr>
              <w:jc w:val="center"/>
            </w:pPr>
            <w:r>
              <w:rPr>
                <w:rFonts w:ascii="Times New Roman" w:hAnsi="Times New Roman" w:cs="Times New Roman"/>
                <w:sz w:val="22"/>
              </w:rPr>
              <w:t>matplotlib / seaborn</w:t>
            </w:r>
          </w:p>
        </w:tc>
        <w:tc>
          <w:tcPr>
            <w:tcW w:type="dxa" w:w="2929"/>
            <w:shd w:val="clear" w:color="auto" w:fill="DCE6F1"/>
          </w:tcPr>
          <w:p>
            <w:pPr>
              <w:jc w:val="center"/>
            </w:pPr>
            <w:r>
              <w:rPr>
                <w:rFonts w:ascii="Times New Roman" w:hAnsi="Times New Roman" w:cs="Times New Roman"/>
                <w:sz w:val="22"/>
              </w:rPr>
              <w:t>3.7+</w:t>
            </w:r>
          </w:p>
        </w:tc>
        <w:tc>
          <w:tcPr>
            <w:tcW w:type="dxa" w:w="2929"/>
            <w:shd w:val="clear" w:color="auto" w:fill="DCE6F1"/>
          </w:tcPr>
          <w:p>
            <w:pPr>
              <w:jc w:val="center"/>
            </w:pPr>
            <w:r>
              <w:rPr>
                <w:rFonts w:ascii="Times New Roman" w:hAnsi="Times New Roman" w:cs="Times New Roman"/>
                <w:sz w:val="22"/>
              </w:rPr>
              <w:t>رسم المخططات البيانية وتصوير النتائج</w:t>
            </w:r>
          </w:p>
        </w:tc>
      </w:tr>
      <w:tr>
        <w:tc>
          <w:tcPr>
            <w:tcW w:type="dxa" w:w="2929"/>
          </w:tcPr>
          <w:p>
            <w:pPr>
              <w:jc w:val="center"/>
            </w:pPr>
            <w:r>
              <w:rPr>
                <w:rFonts w:ascii="Times New Roman" w:hAnsi="Times New Roman" w:cs="Times New Roman"/>
                <w:sz w:val="22"/>
              </w:rPr>
              <w:t>pandas</w:t>
            </w:r>
          </w:p>
        </w:tc>
        <w:tc>
          <w:tcPr>
            <w:tcW w:type="dxa" w:w="2929"/>
          </w:tcPr>
          <w:p>
            <w:pPr>
              <w:jc w:val="center"/>
            </w:pPr>
            <w:r>
              <w:rPr>
                <w:rFonts w:ascii="Times New Roman" w:hAnsi="Times New Roman" w:cs="Times New Roman"/>
                <w:sz w:val="22"/>
              </w:rPr>
              <w:t>2.0+</w:t>
            </w:r>
          </w:p>
        </w:tc>
        <w:tc>
          <w:tcPr>
            <w:tcW w:type="dxa" w:w="2929"/>
          </w:tcPr>
          <w:p>
            <w:pPr>
              <w:jc w:val="center"/>
            </w:pPr>
            <w:r>
              <w:rPr>
                <w:rFonts w:ascii="Times New Roman" w:hAnsi="Times New Roman" w:cs="Times New Roman"/>
                <w:sz w:val="22"/>
              </w:rPr>
              <w:t>إدارة جداول البيانات وتحليل النتائج</w:t>
            </w:r>
          </w:p>
        </w:tc>
      </w:tr>
    </w:tbl>
    <w:p/>
    <w:p>
      <w:pPr>
        <w:bidi/>
        <w:spacing w:before="280" w:after="160"/>
        <w:jc w:val="right"/>
      </w:pPr>
      <w:r>
        <w:rPr>
          <w:rFonts w:ascii="Times New Roman" w:hAnsi="Times New Roman" w:cs="Times New Roman"/>
          <w:b/>
          <w:color w:val="2E5EA8"/>
          <w:sz w:val="28"/>
          <w:rtl/>
          <w:cs/>
        </w:rPr>
        <w:t>3.4  إعداد مجموعة بيانات ND-TWINS</w:t>
      </w:r>
    </w:p>
    <w:p>
      <w:pPr>
        <w:bidi/>
        <w:spacing w:before="200" w:after="120"/>
        <w:jc w:val="right"/>
      </w:pPr>
      <w:r>
        <w:rPr>
          <w:rFonts w:ascii="Times New Roman" w:hAnsi="Times New Roman" w:cs="Times New Roman"/>
          <w:b/>
          <w:color w:val="1A1A1A"/>
          <w:sz w:val="26"/>
          <w:rtl/>
          <w:cs/>
        </w:rPr>
        <w:t>3.4.1  وصف مجموعة البيانات</w:t>
      </w:r>
    </w:p>
    <w:p>
      <w:pPr>
        <w:bidi/>
        <w:spacing w:line="360" w:lineRule="auto" w:after="120"/>
        <w:ind w:firstLine="567"/>
        <w:jc w:val="right"/>
      </w:pPr>
      <w:r>
        <w:rPr>
          <w:rFonts w:ascii="Times New Roman" w:hAnsi="Times New Roman" w:cs="Times New Roman"/>
          <w:sz w:val="24"/>
          <w:rtl/>
          <w:cs/>
        </w:rPr>
        <w:t>اعتمدت الدراسة على مجموعة بيانات ND-TWINS-2009-2010، التي طوّرتها جامعة Notre Dame الأمريكية لأغراض البحث العلمي في مجال القياسات الحيوية (Biometrics) والتحقق من هوية الوجه (Face Verification). وتُصنَّف هذه المجموعة من أكثر مجموعات البيانات استخداماً في أبحاث التوائم المتماثلة على المستوى العالمي (Phillips et al., 2011).</w:t>
      </w:r>
    </w:p>
    <w:p>
      <w:pPr>
        <w:bidi/>
        <w:spacing w:line="360" w:lineRule="auto" w:after="120"/>
        <w:ind w:firstLine="567"/>
        <w:jc w:val="right"/>
      </w:pPr>
      <w:r>
        <w:rPr>
          <w:rFonts w:ascii="Times New Roman" w:hAnsi="Times New Roman" w:cs="Times New Roman"/>
          <w:sz w:val="24"/>
          <w:rtl/>
          <w:cs/>
        </w:rPr>
        <w:t>تتميز هذه المجموعة بالخصائص التالية:</w:t>
      </w:r>
    </w:p>
    <w:p>
      <w:pPr>
        <w:pStyle w:val="ListBullet"/>
        <w:bidi/>
        <w:jc w:val="right"/>
      </w:pPr>
      <w:r>
        <w:rPr>
          <w:rFonts w:ascii="Times New Roman" w:hAnsi="Times New Roman" w:cs="Times New Roman"/>
          <w:sz w:val="24"/>
          <w:rtl/>
          <w:cs/>
        </w:rPr>
        <w:t>احتواؤها على صور حقيقية لتوائم متماثلة (Monozygotic) تتشارك سمات وراثية وبيولوجية شبه متطابقة.</w:t>
      </w:r>
    </w:p>
    <w:p>
      <w:pPr>
        <w:pStyle w:val="ListBullet"/>
        <w:bidi/>
        <w:jc w:val="right"/>
      </w:pPr>
      <w:r>
        <w:rPr>
          <w:rFonts w:ascii="Times New Roman" w:hAnsi="Times New Roman" w:cs="Times New Roman"/>
          <w:sz w:val="24"/>
          <w:rtl/>
          <w:cs/>
        </w:rPr>
        <w:t>وجود أكثر من صورة للشخص الواحد بأوضاع وإضاءات مختلفة مما يُثري تنوع عينات التدريب.</w:t>
      </w:r>
    </w:p>
    <w:p>
      <w:pPr>
        <w:pStyle w:val="ListBullet"/>
        <w:bidi/>
        <w:jc w:val="right"/>
      </w:pPr>
      <w:r>
        <w:rPr>
          <w:rFonts w:ascii="Times New Roman" w:hAnsi="Times New Roman" w:cs="Times New Roman"/>
          <w:sz w:val="24"/>
          <w:rtl/>
          <w:cs/>
        </w:rPr>
        <w:t>تعدد زوايا الالتقاط الذي يُعزز الواقعية التمثيلية للبيانات.</w:t>
      </w:r>
    </w:p>
    <w:p>
      <w:pPr>
        <w:pStyle w:val="ListBullet"/>
        <w:bidi/>
        <w:jc w:val="right"/>
      </w:pPr>
      <w:r>
        <w:rPr>
          <w:rFonts w:ascii="Times New Roman" w:hAnsi="Times New Roman" w:cs="Times New Roman"/>
          <w:sz w:val="24"/>
          <w:rtl/>
          <w:cs/>
        </w:rPr>
        <w:t>توظيفها على نطاق واسع في الأبحاث المحكّمة مما يُتيح مقارنة موثوقة مع الدراسات السابقة.</w:t>
      </w:r>
    </w:p>
    <w:p>
      <w:pPr>
        <w:bidi/>
        <w:spacing w:before="200" w:after="120"/>
        <w:jc w:val="right"/>
      </w:pPr>
      <w:r>
        <w:rPr>
          <w:rFonts w:ascii="Times New Roman" w:hAnsi="Times New Roman" w:cs="Times New Roman"/>
          <w:b/>
          <w:color w:val="1A1A1A"/>
          <w:sz w:val="26"/>
          <w:rtl/>
          <w:cs/>
        </w:rPr>
        <w:t>3.4.2  توزيع البيانات</w:t>
      </w:r>
    </w:p>
    <w:p>
      <w:pPr>
        <w:bidi/>
        <w:spacing w:line="360" w:lineRule="auto" w:after="120"/>
        <w:ind w:firstLine="567"/>
        <w:jc w:val="right"/>
      </w:pPr>
      <w:r>
        <w:rPr>
          <w:rFonts w:ascii="Times New Roman" w:hAnsi="Times New Roman" w:cs="Times New Roman"/>
          <w:sz w:val="24"/>
          <w:rtl/>
          <w:cs/>
        </w:rPr>
        <w:t>لضمان موثوقية نتائج التقييم وتجنب ظاهرة الحفظ الزائد (Overfitting)، قُسِّمت مجموعة البيانات وفق النسب المعيارية الموضحة في الجدول (3.4) (Goodfellow et al., 2016):</w:t>
      </w:r>
    </w:p>
    <w:p>
      <w:pPr>
        <w:spacing w:before="80" w:after="200"/>
        <w:jc w:val="center"/>
      </w:pPr>
      <w:r>
        <w:rPr>
          <w:rFonts w:ascii="Times New Roman" w:hAnsi="Times New Roman" w:cs="Times New Roman"/>
          <w:b/>
          <w:i/>
          <w:sz w:val="22"/>
        </w:rPr>
        <w:t>الجدول (3.4): توزيع مجموعة بيانات ND-TWINS على مجموعات التدريب والتحقق والاختبار</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5EA8"/>
          </w:tcPr>
          <w:p>
            <w:pPr>
              <w:jc w:val="center"/>
            </w:pPr>
            <w:r>
              <w:rPr>
                <w:rFonts w:ascii="Times New Roman" w:hAnsi="Times New Roman" w:cs="Times New Roman"/>
                <w:b/>
                <w:color w:val="FFFFFF"/>
                <w:sz w:val="22"/>
              </w:rPr>
              <w:t>المجموعة</w:t>
            </w:r>
          </w:p>
        </w:tc>
        <w:tc>
          <w:tcPr>
            <w:tcW w:type="dxa" w:w="2929"/>
            <w:shd w:val="clear" w:color="auto" w:fill="2E5EA8"/>
          </w:tcPr>
          <w:p>
            <w:pPr>
              <w:jc w:val="center"/>
            </w:pPr>
            <w:r>
              <w:rPr>
                <w:rFonts w:ascii="Times New Roman" w:hAnsi="Times New Roman" w:cs="Times New Roman"/>
                <w:b/>
                <w:color w:val="FFFFFF"/>
                <w:sz w:val="22"/>
              </w:rPr>
              <w:t>النسبة المئوية</w:t>
            </w:r>
          </w:p>
        </w:tc>
        <w:tc>
          <w:tcPr>
            <w:tcW w:type="dxa" w:w="2929"/>
            <w:shd w:val="clear" w:color="auto" w:fill="2E5EA8"/>
          </w:tcPr>
          <w:p>
            <w:pPr>
              <w:jc w:val="center"/>
            </w:pPr>
            <w:r>
              <w:rPr>
                <w:rFonts w:ascii="Times New Roman" w:hAnsi="Times New Roman" w:cs="Times New Roman"/>
                <w:b/>
                <w:color w:val="FFFFFF"/>
                <w:sz w:val="22"/>
              </w:rPr>
              <w:t>الوصف</w:t>
            </w:r>
          </w:p>
        </w:tc>
      </w:tr>
      <w:tr>
        <w:tc>
          <w:tcPr>
            <w:tcW w:type="dxa" w:w="2929"/>
            <w:shd w:val="clear" w:color="auto" w:fill="DCE6F1"/>
          </w:tcPr>
          <w:p>
            <w:pPr>
              <w:jc w:val="center"/>
            </w:pPr>
            <w:r>
              <w:rPr>
                <w:rFonts w:ascii="Times New Roman" w:hAnsi="Times New Roman" w:cs="Times New Roman"/>
                <w:sz w:val="22"/>
              </w:rPr>
              <w:t>التدريب (Training Set)</w:t>
            </w:r>
          </w:p>
        </w:tc>
        <w:tc>
          <w:tcPr>
            <w:tcW w:type="dxa" w:w="2929"/>
            <w:shd w:val="clear" w:color="auto" w:fill="DCE6F1"/>
          </w:tcPr>
          <w:p>
            <w:pPr>
              <w:jc w:val="center"/>
            </w:pPr>
            <w:r>
              <w:rPr>
                <w:rFonts w:ascii="Times New Roman" w:hAnsi="Times New Roman" w:cs="Times New Roman"/>
                <w:sz w:val="22"/>
              </w:rPr>
              <w:t>70%</w:t>
            </w:r>
          </w:p>
        </w:tc>
        <w:tc>
          <w:tcPr>
            <w:tcW w:type="dxa" w:w="2929"/>
            <w:shd w:val="clear" w:color="auto" w:fill="DCE6F1"/>
          </w:tcPr>
          <w:p>
            <w:pPr>
              <w:jc w:val="center"/>
            </w:pPr>
            <w:r>
              <w:rPr>
                <w:rFonts w:ascii="Times New Roman" w:hAnsi="Times New Roman" w:cs="Times New Roman"/>
                <w:sz w:val="22"/>
              </w:rPr>
              <w:t>يُستخدم لتدريب النموذج وتحديث معاملاته</w:t>
            </w:r>
          </w:p>
        </w:tc>
      </w:tr>
      <w:tr>
        <w:tc>
          <w:tcPr>
            <w:tcW w:type="dxa" w:w="2929"/>
          </w:tcPr>
          <w:p>
            <w:pPr>
              <w:jc w:val="center"/>
            </w:pPr>
            <w:r>
              <w:rPr>
                <w:rFonts w:ascii="Times New Roman" w:hAnsi="Times New Roman" w:cs="Times New Roman"/>
                <w:sz w:val="22"/>
              </w:rPr>
              <w:t>التحقق (Validation Set)</w:t>
            </w:r>
          </w:p>
        </w:tc>
        <w:tc>
          <w:tcPr>
            <w:tcW w:type="dxa" w:w="2929"/>
          </w:tcPr>
          <w:p>
            <w:pPr>
              <w:jc w:val="center"/>
            </w:pPr>
            <w:r>
              <w:rPr>
                <w:rFonts w:ascii="Times New Roman" w:hAnsi="Times New Roman" w:cs="Times New Roman"/>
                <w:sz w:val="22"/>
              </w:rPr>
              <w:t>15%</w:t>
            </w:r>
          </w:p>
        </w:tc>
        <w:tc>
          <w:tcPr>
            <w:tcW w:type="dxa" w:w="2929"/>
          </w:tcPr>
          <w:p>
            <w:pPr>
              <w:jc w:val="center"/>
            </w:pPr>
            <w:r>
              <w:rPr>
                <w:rFonts w:ascii="Times New Roman" w:hAnsi="Times New Roman" w:cs="Times New Roman"/>
                <w:sz w:val="22"/>
              </w:rPr>
              <w:t>يُستخدم لمراقبة الأداء خلال التدريب وضبط المعاملات الفائقة</w:t>
            </w:r>
          </w:p>
        </w:tc>
      </w:tr>
      <w:tr>
        <w:tc>
          <w:tcPr>
            <w:tcW w:type="dxa" w:w="2929"/>
            <w:shd w:val="clear" w:color="auto" w:fill="DCE6F1"/>
          </w:tcPr>
          <w:p>
            <w:pPr>
              <w:jc w:val="center"/>
            </w:pPr>
            <w:r>
              <w:rPr>
                <w:rFonts w:ascii="Times New Roman" w:hAnsi="Times New Roman" w:cs="Times New Roman"/>
                <w:sz w:val="22"/>
              </w:rPr>
              <w:t>الاختبار (Testing Set)</w:t>
            </w:r>
          </w:p>
        </w:tc>
        <w:tc>
          <w:tcPr>
            <w:tcW w:type="dxa" w:w="2929"/>
            <w:shd w:val="clear" w:color="auto" w:fill="DCE6F1"/>
          </w:tcPr>
          <w:p>
            <w:pPr>
              <w:jc w:val="center"/>
            </w:pPr>
            <w:r>
              <w:rPr>
                <w:rFonts w:ascii="Times New Roman" w:hAnsi="Times New Roman" w:cs="Times New Roman"/>
                <w:sz w:val="22"/>
              </w:rPr>
              <w:t>15%</w:t>
            </w:r>
          </w:p>
        </w:tc>
        <w:tc>
          <w:tcPr>
            <w:tcW w:type="dxa" w:w="2929"/>
            <w:shd w:val="clear" w:color="auto" w:fill="DCE6F1"/>
          </w:tcPr>
          <w:p>
            <w:pPr>
              <w:jc w:val="center"/>
            </w:pPr>
            <w:r>
              <w:rPr>
                <w:rFonts w:ascii="Times New Roman" w:hAnsi="Times New Roman" w:cs="Times New Roman"/>
                <w:sz w:val="22"/>
              </w:rPr>
              <w:t>يُستخدم للتقييم النهائي الموضوعي للنموذج</w:t>
            </w:r>
          </w:p>
        </w:tc>
      </w:tr>
    </w:tbl>
    <w:p/>
    <w:p>
      <w:pPr>
        <w:bidi/>
        <w:spacing w:before="280" w:after="160"/>
        <w:jc w:val="right"/>
      </w:pPr>
      <w:r>
        <w:rPr>
          <w:rFonts w:ascii="Times New Roman" w:hAnsi="Times New Roman" w:cs="Times New Roman"/>
          <w:b/>
          <w:color w:val="2E5EA8"/>
          <w:sz w:val="28"/>
          <w:rtl/>
          <w:cs/>
        </w:rPr>
        <w:t>4.4  تنفيذ مراحل المعالجة المسبقة للبيانات</w:t>
      </w:r>
    </w:p>
    <w:p>
      <w:pPr>
        <w:bidi/>
        <w:spacing w:line="360" w:lineRule="auto" w:after="120"/>
        <w:ind w:firstLine="567"/>
        <w:jc w:val="right"/>
      </w:pPr>
      <w:r>
        <w:rPr>
          <w:rFonts w:ascii="Times New Roman" w:hAnsi="Times New Roman" w:cs="Times New Roman"/>
          <w:sz w:val="24"/>
          <w:rtl/>
          <w:cs/>
        </w:rPr>
        <w:t>تُمثّل مرحلة المعالجة المسبقة (Preprocessing) الركيزة الأساسية لتحسين جودة مدخلات النموذج وتقليل تأثير العوامل البيئية على نتائج التعرف. طُبِّقت في هذه الدراسة سلسلة من عمليات المعالجة المتتالية الموضحة في الفقرات التالية، كما يُوضحها المخطط في الشكل (1.4).</w:t>
      </w:r>
    </w:p>
    <w:p>
      <w:pPr>
        <w:bidi/>
        <w:spacing w:before="200" w:after="120"/>
        <w:jc w:val="right"/>
      </w:pPr>
      <w:r>
        <w:rPr>
          <w:rFonts w:ascii="Times New Roman" w:hAnsi="Times New Roman" w:cs="Times New Roman"/>
          <w:b/>
          <w:color w:val="1A1A1A"/>
          <w:sz w:val="26"/>
          <w:rtl/>
          <w:cs/>
        </w:rPr>
        <w:t>4.4.1  كشف الوجه (Face Detection)</w:t>
      </w:r>
    </w:p>
    <w:p>
      <w:pPr>
        <w:bidi/>
        <w:spacing w:line="360" w:lineRule="auto" w:after="120"/>
        <w:ind w:firstLine="567"/>
        <w:jc w:val="right"/>
      </w:pPr>
      <w:r>
        <w:rPr>
          <w:rFonts w:ascii="Times New Roman" w:hAnsi="Times New Roman" w:cs="Times New Roman"/>
          <w:sz w:val="24"/>
          <w:rtl/>
          <w:cs/>
        </w:rPr>
        <w:t>اُستُخدمت خوارزمية MTCNN (Multi-task Cascaded Convolutional Networks) لكشف الوجه وتحديد موضعه الدقيق داخل الصورة، نظراً لكفاءتها العالية في التعامل مع صور الوجوه المختلفة الأحجام والزوايا (Zhang et al., 2016). تعمل هذه الخوارزمية على ثلاث مراحل متتالية لضمان دقة الكشف واستخراج نقاط مرجعية (Landmarks) للوجه تشمل: العينين، والأنف، وزوايا الفم.</w:t>
      </w:r>
    </w:p>
    <w:p>
      <w:pPr>
        <w:bidi/>
        <w:spacing w:before="200" w:after="120"/>
        <w:jc w:val="right"/>
      </w:pPr>
      <w:r>
        <w:rPr>
          <w:rFonts w:ascii="Times New Roman" w:hAnsi="Times New Roman" w:cs="Times New Roman"/>
          <w:b/>
          <w:color w:val="1A1A1A"/>
          <w:sz w:val="26"/>
          <w:rtl/>
          <w:cs/>
        </w:rPr>
        <w:t>4.4.2  قص منطقة الوجه (Face Cropping)</w:t>
      </w:r>
    </w:p>
    <w:p>
      <w:pPr>
        <w:bidi/>
        <w:spacing w:line="360" w:lineRule="auto" w:after="120"/>
        <w:ind w:firstLine="567"/>
        <w:jc w:val="right"/>
      </w:pPr>
      <w:r>
        <w:rPr>
          <w:rFonts w:ascii="Times New Roman" w:hAnsi="Times New Roman" w:cs="Times New Roman"/>
          <w:sz w:val="24"/>
          <w:rtl/>
          <w:cs/>
        </w:rPr>
        <w:t>بعد تحديد موضع الوجه، يُقتطع الجزء المحتوي على الوجه فقط من الصورة الأصلية، مع إضافة هامش (Margin) مناسب لضمان عدم حذف أجزاء مهمة من حواف الوجه. يُساهم هذا الإجراء في تركيز النموذج على المنطقة ذات الصلة وتقليل الضوضاء الناتجة عن الخلفية.</w:t>
      </w:r>
    </w:p>
    <w:p>
      <w:pPr>
        <w:bidi/>
        <w:spacing w:before="200" w:after="120"/>
        <w:jc w:val="right"/>
      </w:pPr>
      <w:r>
        <w:rPr>
          <w:rFonts w:ascii="Times New Roman" w:hAnsi="Times New Roman" w:cs="Times New Roman"/>
          <w:b/>
          <w:color w:val="1A1A1A"/>
          <w:sz w:val="26"/>
          <w:rtl/>
          <w:cs/>
        </w:rPr>
        <w:t>4.4.3  تحجيم الصور (Resizing)</w:t>
      </w:r>
    </w:p>
    <w:p>
      <w:pPr>
        <w:bidi/>
        <w:spacing w:line="360" w:lineRule="auto" w:after="120"/>
        <w:ind w:firstLine="567"/>
        <w:jc w:val="right"/>
      </w:pPr>
      <w:r>
        <w:rPr>
          <w:rFonts w:ascii="Times New Roman" w:hAnsi="Times New Roman" w:cs="Times New Roman"/>
          <w:sz w:val="24"/>
          <w:rtl/>
          <w:cs/>
        </w:rPr>
        <w:t>يُعدّ توحيد أبعاد الصور المُدخلة إلى النموذج شرطاً أساسياً لعملية التدريب. جرى تحجيم جميع صور الوجوه المقتطعة إلى أبعاد موحدة قدرها 112×112 بكسل، وهو الحجم المعياري المُوصى به عند استخدام نموذج ArcFace (Deng et al., 2019).</w:t>
      </w:r>
    </w:p>
    <w:p>
      <w:pPr>
        <w:bidi/>
        <w:spacing w:before="200" w:after="120"/>
        <w:jc w:val="right"/>
      </w:pPr>
      <w:r>
        <w:rPr>
          <w:rFonts w:ascii="Times New Roman" w:hAnsi="Times New Roman" w:cs="Times New Roman"/>
          <w:b/>
          <w:color w:val="1A1A1A"/>
          <w:sz w:val="26"/>
          <w:rtl/>
          <w:cs/>
        </w:rPr>
        <w:t>4.4.4  التطبيع (Normalization)</w:t>
      </w:r>
    </w:p>
    <w:p>
      <w:pPr>
        <w:bidi/>
        <w:spacing w:line="360" w:lineRule="auto" w:after="120"/>
        <w:ind w:firstLine="567"/>
        <w:jc w:val="right"/>
      </w:pPr>
      <w:r>
        <w:rPr>
          <w:rFonts w:ascii="Times New Roman" w:hAnsi="Times New Roman" w:cs="Times New Roman"/>
          <w:sz w:val="24"/>
          <w:rtl/>
          <w:cs/>
        </w:rPr>
        <w:t>طُبِّق تطبيع قيم البكسل (Pixel Normalization) لتقليص نطاق قيم شدة الإضاءة من المدى [0, 255] إلى المدى [-1, 1]، وذلك وفق المعادلة (1.4):</w:t>
      </w:r>
    </w:p>
    <w:p>
      <w:pPr>
        <w:spacing w:before="120" w:after="120"/>
        <w:jc w:val="center"/>
      </w:pPr>
      <w:r>
        <w:rPr>
          <w:rFonts w:ascii="Times New Roman" w:hAnsi="Times New Roman" w:cs="Times New Roman"/>
          <w:sz w:val="24"/>
        </w:rPr>
        <w:t>x̂ = (x − 127.5) / 128   ............(1.4)</w:t>
      </w:r>
    </w:p>
    <w:p>
      <w:pPr>
        <w:bidi/>
        <w:spacing w:line="360" w:lineRule="auto" w:after="120"/>
        <w:ind w:firstLine="567"/>
        <w:jc w:val="right"/>
      </w:pPr>
      <w:r>
        <w:rPr>
          <w:rFonts w:ascii="Times New Roman" w:hAnsi="Times New Roman" w:cs="Times New Roman"/>
          <w:sz w:val="24"/>
          <w:rtl/>
          <w:cs/>
        </w:rPr>
        <w:t>حيث يُمثل x قيمة البكسل الأصلية، وx̂ القيمة المطبّعة. يُساهم هذا الإجراء في استقرار عملية التدريب وتسريع تقارب النموذج (LeCun et al., 2012).</w:t>
      </w:r>
    </w:p>
    <w:p>
      <w:pPr>
        <w:bidi/>
        <w:spacing w:before="200" w:after="120"/>
        <w:jc w:val="right"/>
      </w:pPr>
      <w:r>
        <w:rPr>
          <w:rFonts w:ascii="Times New Roman" w:hAnsi="Times New Roman" w:cs="Times New Roman"/>
          <w:b/>
          <w:color w:val="1A1A1A"/>
          <w:sz w:val="26"/>
          <w:rtl/>
          <w:cs/>
        </w:rPr>
        <w:t>4.4.5  تحسين جودة الصورة (CLAHE)</w:t>
      </w:r>
    </w:p>
    <w:p>
      <w:pPr>
        <w:bidi/>
        <w:spacing w:line="360" w:lineRule="auto" w:after="120"/>
        <w:ind w:firstLine="567"/>
        <w:jc w:val="right"/>
      </w:pPr>
      <w:r>
        <w:rPr>
          <w:rFonts w:ascii="Times New Roman" w:hAnsi="Times New Roman" w:cs="Times New Roman"/>
          <w:sz w:val="24"/>
          <w:rtl/>
          <w:cs/>
        </w:rPr>
        <w:t>في حالات الصور ذات الجودة المنخفضة، طُبِّق تحسين التباين باستخدام خوارزمية CLAHE (Contrast Limited Adaptive Histogram Equalization) للحصول على توزيع متجانس للإضاءة عبر الصورة (Zuiderveld, 1994). ثم خُصِّصت الصور المعالجة لمجموعات التدريب والتحقق والاختبار وفق النسب المذكورة في الجدول (3.4).</w:t>
      </w:r>
    </w:p>
    <w:p>
      <w:pPr>
        <w:bidi/>
        <w:spacing w:before="280" w:after="160"/>
        <w:jc w:val="right"/>
      </w:pPr>
      <w:r>
        <w:rPr>
          <w:rFonts w:ascii="Times New Roman" w:hAnsi="Times New Roman" w:cs="Times New Roman"/>
          <w:b/>
          <w:color w:val="2E5EA8"/>
          <w:sz w:val="28"/>
          <w:rtl/>
          <w:cs/>
        </w:rPr>
        <w:t>5.4  تنفيذ النموذج الهجين (Hybrid Model)</w:t>
      </w:r>
    </w:p>
    <w:p>
      <w:pPr>
        <w:bidi/>
        <w:spacing w:line="360" w:lineRule="auto" w:after="120"/>
        <w:ind w:firstLine="567"/>
        <w:jc w:val="right"/>
      </w:pPr>
      <w:r>
        <w:rPr>
          <w:rFonts w:ascii="Times New Roman" w:hAnsi="Times New Roman" w:cs="Times New Roman"/>
          <w:sz w:val="24"/>
          <w:rtl/>
          <w:cs/>
        </w:rPr>
        <w:t>يُمثّل النموذج الهجين المقترح الإسهام الجوهري لهذه الدراسة، إذ يدمج ثلاثة مسارات تحليلية مستقلة لاستخراج ميزات تكاملية من وجوه التوائم، ثم يجمعها في قرار تعرف نهائي واحد، كما هو موضح في الشكل (2.4).</w:t>
      </w:r>
    </w:p>
    <w:p>
      <w:pPr>
        <w:bidi/>
        <w:spacing w:before="200" w:after="120"/>
        <w:jc w:val="right"/>
      </w:pPr>
      <w:r>
        <w:rPr>
          <w:rFonts w:ascii="Times New Roman" w:hAnsi="Times New Roman" w:cs="Times New Roman"/>
          <w:b/>
          <w:color w:val="1A1A1A"/>
          <w:sz w:val="26"/>
          <w:rtl/>
          <w:cs/>
        </w:rPr>
        <w:t>5.4.1  استخراج التضمينات العميقة عبر ArcFace</w:t>
      </w:r>
    </w:p>
    <w:p>
      <w:pPr>
        <w:bidi/>
        <w:spacing w:line="360" w:lineRule="auto" w:after="120"/>
        <w:ind w:firstLine="567"/>
        <w:jc w:val="right"/>
      </w:pPr>
      <w:r>
        <w:rPr>
          <w:rFonts w:ascii="Times New Roman" w:hAnsi="Times New Roman" w:cs="Times New Roman"/>
          <w:sz w:val="24"/>
          <w:rtl/>
          <w:cs/>
        </w:rPr>
        <w:t>تُشكّل خوارزمية ArcFace الركيزة الأساسية للمسار الأول في النموذج الهجين. اقترح هذه الخوارزمية Deng et al. (2019) كدالة خسارة معزّزة للهامش الزاوي (Additive Angular Margin Loss) تُطبَّق على شبكات التضمين الوجهي، بهدف رفع قابلية الفصل بين التضمينات. تعتمد هذه الخوارزمية على شبكة عصبية تلافيفية عميقة (ResNet50 أو ResNet100) لتحويل الصورة الوجهية إلى متجه تضمين بـ 512 بُعداً، بحيث تكون التضمينات المتعلقة بالشخص نفسه قريبة من بعضها، في حين تكون تضمينات الأشخاص المختلفين متباعدة. تُعرَّف دالة خسارة ArcFace وفق المعادلة (2.4):</w:t>
      </w:r>
    </w:p>
    <w:p>
      <w:pPr>
        <w:spacing w:before="120" w:after="120"/>
        <w:jc w:val="center"/>
      </w:pPr>
      <w:r>
        <w:rPr>
          <w:rFonts w:ascii="Times New Roman" w:hAnsi="Times New Roman" w:cs="Times New Roman"/>
          <w:sz w:val="24"/>
        </w:rPr>
        <w:t>L_ArcFace = − (1/N) Σ log [ e^(s·cos(θ_yi + m)) / (e^(s·cos(θ_yi + m)) + Σ_j≠yi e^(s·cos(θ_j))) ]   ............(2.4)</w:t>
      </w:r>
    </w:p>
    <w:p>
      <w:pPr>
        <w:bidi/>
        <w:spacing w:line="360" w:lineRule="auto" w:after="120"/>
        <w:ind w:firstLine="567"/>
        <w:jc w:val="right"/>
      </w:pPr>
      <w:r>
        <w:rPr>
          <w:rFonts w:ascii="Times New Roman" w:hAnsi="Times New Roman" w:cs="Times New Roman"/>
          <w:sz w:val="24"/>
          <w:rtl/>
          <w:cs/>
        </w:rPr>
        <w:t>حيث تُمثّل s عامل التكبير، وm هامش الزاوية الثابتة، وθ_yi الزاوية بين متجه الميزة والمركز النمطي للفئة الحقيقية.</w:t>
      </w:r>
    </w:p>
    <w:p>
      <w:pPr>
        <w:bidi/>
        <w:spacing w:before="200" w:after="120"/>
        <w:jc w:val="right"/>
      </w:pPr>
      <w:r>
        <w:rPr>
          <w:rFonts w:ascii="Times New Roman" w:hAnsi="Times New Roman" w:cs="Times New Roman"/>
          <w:b/>
          <w:color w:val="1A1A1A"/>
          <w:sz w:val="26"/>
          <w:rtl/>
          <w:cs/>
        </w:rPr>
        <w:t>5.4.2  استخراج ميزات الملمس (Texture Feature Extraction)</w:t>
      </w:r>
    </w:p>
    <w:p>
      <w:pPr>
        <w:bidi/>
        <w:spacing w:line="360" w:lineRule="auto" w:after="120"/>
        <w:ind w:firstLine="567"/>
        <w:jc w:val="right"/>
      </w:pPr>
      <w:r>
        <w:rPr>
          <w:rFonts w:ascii="Times New Roman" w:hAnsi="Times New Roman" w:cs="Times New Roman"/>
          <w:sz w:val="24"/>
          <w:rtl/>
          <w:cs/>
        </w:rPr>
        <w:t>يهدف المسار الثاني إلى التقاط الفروق الدقيقة في ملمس الجلد والتفاصيل غير المرئية التي تعجز عنها شبكات التعلم العميق وحدها. يشمل هذا المسار تقنيتين تكامليتين:</w:t>
      </w:r>
    </w:p>
    <w:p>
      <w:pPr>
        <w:bidi/>
        <w:spacing w:before="200" w:after="120"/>
        <w:jc w:val="right"/>
      </w:pPr>
      <w:r>
        <w:rPr>
          <w:rFonts w:ascii="Times New Roman" w:hAnsi="Times New Roman" w:cs="Times New Roman"/>
          <w:b/>
          <w:color w:val="1A1A1A"/>
          <w:sz w:val="26"/>
          <w:rtl/>
          <w:cs/>
        </w:rPr>
        <w:t>أ.  خوارزمية الأنماط الثنائية المحلية (Local Binary Pattern – LBP)</w:t>
      </w:r>
    </w:p>
    <w:p>
      <w:pPr>
        <w:bidi/>
        <w:spacing w:line="360" w:lineRule="auto" w:after="120"/>
        <w:ind w:firstLine="567"/>
        <w:jc w:val="right"/>
      </w:pPr>
      <w:r>
        <w:rPr>
          <w:rFonts w:ascii="Times New Roman" w:hAnsi="Times New Roman" w:cs="Times New Roman"/>
          <w:sz w:val="24"/>
          <w:rtl/>
          <w:cs/>
        </w:rPr>
        <w:t>تُعدّ LBP من أكثر خوارزميات استخراج ميزات الملمس استخداماً في رؤية الحاسوب، وقد أثبتت فعاليتها في التعرف على الوجه بفضل مقاومتها للتغيرات الأحادية في الإضاءة (Ojala et al., 2002). تُعرَّف قيمة LBP للبكسل المركزي وفق المعادلة (3.4):</w:t>
      </w:r>
    </w:p>
    <w:p>
      <w:pPr>
        <w:spacing w:before="120" w:after="120"/>
        <w:jc w:val="center"/>
      </w:pPr>
      <w:r>
        <w:rPr>
          <w:rFonts w:ascii="Times New Roman" w:hAnsi="Times New Roman" w:cs="Times New Roman"/>
          <w:sz w:val="24"/>
        </w:rPr>
        <w:t>LBP_{P,R}(xc, yc) = Σ_{p=0}^{P-1} s(g_p − g_c) · 2^p   ............(3.4)</w:t>
      </w:r>
    </w:p>
    <w:p>
      <w:pPr>
        <w:bidi/>
        <w:spacing w:line="360" w:lineRule="auto" w:after="120"/>
        <w:ind w:firstLine="567"/>
        <w:jc w:val="right"/>
      </w:pPr>
      <w:r>
        <w:rPr>
          <w:rFonts w:ascii="Times New Roman" w:hAnsi="Times New Roman" w:cs="Times New Roman"/>
          <w:sz w:val="24"/>
          <w:rtl/>
          <w:cs/>
        </w:rPr>
        <w:t>حيث: P عدد النقاط الجارة، R نصف قطر الجوار، g_c قيمة البكسل المركزي، g_p قيمة البكسل الجار p، وs() دالة الخطوة الثنائية. استُخدمت المعاملات P=8 و R=1 لاستخراج ميزات LBP المحلية، ثم قُسِّم الوجه إلى مناطق غير متداخلة وحُسب الرسم البياني (Histogram) لكل منطقة.</w:t>
      </w:r>
    </w:p>
    <w:p>
      <w:pPr>
        <w:bidi/>
        <w:spacing w:before="200" w:after="120"/>
        <w:jc w:val="right"/>
      </w:pPr>
      <w:r>
        <w:rPr>
          <w:rFonts w:ascii="Times New Roman" w:hAnsi="Times New Roman" w:cs="Times New Roman"/>
          <w:b/>
          <w:color w:val="1A1A1A"/>
          <w:sz w:val="26"/>
          <w:rtl/>
          <w:cs/>
        </w:rPr>
        <w:t>ب.  تحليل موجات Wavelet (Discrete Wavelet Transform – DWT)</w:t>
      </w:r>
    </w:p>
    <w:p>
      <w:pPr>
        <w:bidi/>
        <w:spacing w:line="360" w:lineRule="auto" w:after="120"/>
        <w:ind w:firstLine="567"/>
        <w:jc w:val="right"/>
      </w:pPr>
      <w:r>
        <w:rPr>
          <w:rFonts w:ascii="Times New Roman" w:hAnsi="Times New Roman" w:cs="Times New Roman"/>
          <w:sz w:val="24"/>
          <w:rtl/>
          <w:cs/>
        </w:rPr>
        <w:t>يُطبَّق تحويل DWT لاستخراج ميزات الملمس عبر تردديات متعددة الدقة (Multi-resolution). يُحلَّل كل صورة وجه إلى تقريب وتفاصيل أفقية وعمودية وقطرية عند مستويات عدة (Mallat, 1989). تُحسب إحصاءات الطاقة والتباين لكل نطاق تردد، مما يُتيح اكتشاف أنماط الملمس غير الملحوظة بالعين المجردة. استُخدم المستوى الثاني من تحليل موجة Daubechies-2 (db2) لاستخراج الميزات.</w:t>
      </w:r>
    </w:p>
    <w:p>
      <w:pPr>
        <w:bidi/>
        <w:spacing w:before="200" w:after="120"/>
        <w:jc w:val="right"/>
      </w:pPr>
      <w:r>
        <w:rPr>
          <w:rFonts w:ascii="Times New Roman" w:hAnsi="Times New Roman" w:cs="Times New Roman"/>
          <w:b/>
          <w:color w:val="1A1A1A"/>
          <w:sz w:val="26"/>
          <w:rtl/>
          <w:cs/>
        </w:rPr>
        <w:t>5.4.3  تحليل منطقة العين (Periocular Region Analysis)</w:t>
      </w:r>
    </w:p>
    <w:p>
      <w:pPr>
        <w:bidi/>
        <w:spacing w:line="360" w:lineRule="auto" w:after="120"/>
        <w:ind w:firstLine="567"/>
        <w:jc w:val="right"/>
      </w:pPr>
      <w:r>
        <w:rPr>
          <w:rFonts w:ascii="Times New Roman" w:hAnsi="Times New Roman" w:cs="Times New Roman"/>
          <w:sz w:val="24"/>
          <w:rtl/>
          <w:cs/>
        </w:rPr>
        <w:t>اكتسب تحليل منطقة ما حول العين أهمية بالغة في حالات التشابه البصري العالي كالتوائم، كون هذه المنطقة تحتفظ بميزات هيكلية فريدة حتى بين التوائم المتماثلة (Bakshi et al., 2016). يتضمن هذا المسار الخطوات التالية:</w:t>
      </w:r>
    </w:p>
    <w:p>
      <w:pPr>
        <w:pStyle w:val="ListBullet"/>
        <w:bidi/>
        <w:jc w:val="right"/>
      </w:pPr>
      <w:r>
        <w:rPr>
          <w:rFonts w:ascii="Times New Roman" w:hAnsi="Times New Roman" w:cs="Times New Roman"/>
          <w:sz w:val="24"/>
          <w:rtl/>
          <w:cs/>
        </w:rPr>
        <w:t>تحديد موضع العين بدقة باستخدام نقاط المرجعية (Landmarks) الناتجة عن MTCNN.</w:t>
      </w:r>
    </w:p>
    <w:p>
      <w:pPr>
        <w:pStyle w:val="ListBullet"/>
        <w:bidi/>
        <w:jc w:val="right"/>
      </w:pPr>
      <w:r>
        <w:rPr>
          <w:rFonts w:ascii="Times New Roman" w:hAnsi="Times New Roman" w:cs="Times New Roman"/>
          <w:sz w:val="24"/>
          <w:rtl/>
          <w:cs/>
        </w:rPr>
        <w:t>اقتصاص المنطقة المحيطة بكل عين بهامش يبلغ 30-40% من حجم الوجه.</w:t>
      </w:r>
    </w:p>
    <w:p>
      <w:pPr>
        <w:pStyle w:val="ListBullet"/>
        <w:bidi/>
        <w:jc w:val="right"/>
      </w:pPr>
      <w:r>
        <w:rPr>
          <w:rFonts w:ascii="Times New Roman" w:hAnsi="Times New Roman" w:cs="Times New Roman"/>
          <w:sz w:val="24"/>
          <w:rtl/>
          <w:cs/>
        </w:rPr>
        <w:t>استخراج ميزات LBP وHOG (Histogram of Oriented Gradients) من منطقة العين المقتطعة.</w:t>
      </w:r>
    </w:p>
    <w:p>
      <w:pPr>
        <w:bidi/>
        <w:spacing w:before="200" w:after="120"/>
        <w:jc w:val="right"/>
      </w:pPr>
      <w:r>
        <w:rPr>
          <w:rFonts w:ascii="Times New Roman" w:hAnsi="Times New Roman" w:cs="Times New Roman"/>
          <w:b/>
          <w:color w:val="1A1A1A"/>
          <w:sz w:val="26"/>
          <w:rtl/>
          <w:cs/>
        </w:rPr>
        <w:t>5.4.4  طبقة دمج الميزات (Feature Fusion Layer)</w:t>
      </w:r>
    </w:p>
    <w:p>
      <w:pPr>
        <w:bidi/>
        <w:spacing w:line="360" w:lineRule="auto" w:after="120"/>
        <w:ind w:firstLine="567"/>
        <w:jc w:val="right"/>
      </w:pPr>
      <w:r>
        <w:rPr>
          <w:rFonts w:ascii="Times New Roman" w:hAnsi="Times New Roman" w:cs="Times New Roman"/>
          <w:sz w:val="24"/>
          <w:rtl/>
          <w:cs/>
        </w:rPr>
        <w:t>يُمثّل دمج الميزات المستخرجة من المسارات الثلاثة الخطوة الحاسمة في النموذج الهجين. نُفِّذ الدمج وفق أسلوب التسلسل (Concatenation) بعد إجراء التطبيع الجزئي (L2-Normalization) على كل متجه ميزة، لضمان توازن الأوزان بين المسارات ومنع هيمنة أحدها على القرار النهائي. يُمثَّل متجه الميزة الموحد وفق المعادلة (4.4):</w:t>
      </w:r>
    </w:p>
    <w:p>
      <w:pPr>
        <w:spacing w:before="120" w:after="120"/>
        <w:jc w:val="center"/>
      </w:pPr>
      <w:r>
        <w:rPr>
          <w:rFonts w:ascii="Times New Roman" w:hAnsi="Times New Roman" w:cs="Times New Roman"/>
          <w:sz w:val="24"/>
        </w:rPr>
        <w:t>F_fused = [F̂_ArcFace ‖ F̂_LBP ‖ F̂_Wavelet ‖ F̂_Periocular]   ............(4.4)</w:t>
      </w:r>
    </w:p>
    <w:p>
      <w:pPr>
        <w:bidi/>
        <w:spacing w:line="360" w:lineRule="auto" w:after="120"/>
        <w:ind w:firstLine="567"/>
        <w:jc w:val="right"/>
      </w:pPr>
      <w:r>
        <w:rPr>
          <w:rFonts w:ascii="Times New Roman" w:hAnsi="Times New Roman" w:cs="Times New Roman"/>
          <w:sz w:val="24"/>
          <w:rtl/>
          <w:cs/>
        </w:rPr>
        <w:t>حيث تُمثل F̂ المتجهات المطبّعة، و‖ عملية التسلسل. يُغذَّى متجه الميزة الموحد في طبقة تصنيف نهائية (Fully Connected Layer + Sigmoid) تُصدر قراراً ثنائياً: "نفس الشخص" أو "شخصان مختلفان".</w:t>
      </w:r>
    </w:p>
    <w:p>
      <w:pPr>
        <w:bidi/>
        <w:spacing w:before="280" w:after="160"/>
        <w:jc w:val="right"/>
      </w:pPr>
      <w:r>
        <w:rPr>
          <w:rFonts w:ascii="Times New Roman" w:hAnsi="Times New Roman" w:cs="Times New Roman"/>
          <w:b/>
          <w:color w:val="2E5EA8"/>
          <w:sz w:val="28"/>
          <w:rtl/>
          <w:cs/>
        </w:rPr>
        <w:t>6.4  إعدادات التدريب والاختبار</w:t>
      </w:r>
    </w:p>
    <w:p>
      <w:pPr>
        <w:bidi/>
        <w:spacing w:line="360" w:lineRule="auto" w:after="120"/>
        <w:ind w:firstLine="567"/>
        <w:jc w:val="right"/>
      </w:pPr>
      <w:r>
        <w:rPr>
          <w:rFonts w:ascii="Times New Roman" w:hAnsi="Times New Roman" w:cs="Times New Roman"/>
          <w:sz w:val="24"/>
          <w:rtl/>
          <w:cs/>
        </w:rPr>
        <w:t>لضمان الحصول على أفضل أداء ممكن للنموذج الهجين، ضُبِطت المعاملات الفائقة (Hyperparameters) عبر سلسلة من التجارب التكرارية. يُوضح الجدول (4.4) الإعدادات النهائية المعتمدة:</w:t>
      </w:r>
    </w:p>
    <w:p>
      <w:pPr>
        <w:spacing w:before="80" w:after="200"/>
        <w:jc w:val="center"/>
      </w:pPr>
      <w:r>
        <w:rPr>
          <w:rFonts w:ascii="Times New Roman" w:hAnsi="Times New Roman" w:cs="Times New Roman"/>
          <w:b/>
          <w:i/>
          <w:sz w:val="22"/>
        </w:rPr>
        <w:t>الجدول (4.4): معاملات التدريب المعتمدة للنموذج الهجين</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5EA8"/>
          </w:tcPr>
          <w:p>
            <w:pPr>
              <w:jc w:val="center"/>
            </w:pPr>
            <w:r>
              <w:rPr>
                <w:rFonts w:ascii="Times New Roman" w:hAnsi="Times New Roman" w:cs="Times New Roman"/>
                <w:b/>
                <w:color w:val="FFFFFF"/>
                <w:sz w:val="22"/>
              </w:rPr>
              <w:t>المعامل</w:t>
            </w:r>
          </w:p>
        </w:tc>
        <w:tc>
          <w:tcPr>
            <w:tcW w:type="dxa" w:w="4394"/>
            <w:shd w:val="clear" w:color="auto" w:fill="2E5EA8"/>
          </w:tcPr>
          <w:p>
            <w:pPr>
              <w:jc w:val="center"/>
            </w:pPr>
            <w:r>
              <w:rPr>
                <w:rFonts w:ascii="Times New Roman" w:hAnsi="Times New Roman" w:cs="Times New Roman"/>
                <w:b/>
                <w:color w:val="FFFFFF"/>
                <w:sz w:val="22"/>
              </w:rPr>
              <w:t>القيمة المعتمدة</w:t>
            </w:r>
          </w:p>
        </w:tc>
      </w:tr>
      <w:tr>
        <w:tc>
          <w:tcPr>
            <w:tcW w:type="dxa" w:w="4394"/>
            <w:shd w:val="clear" w:color="auto" w:fill="DCE6F1"/>
          </w:tcPr>
          <w:p>
            <w:pPr>
              <w:jc w:val="center"/>
            </w:pPr>
            <w:r>
              <w:rPr>
                <w:rFonts w:ascii="Times New Roman" w:hAnsi="Times New Roman" w:cs="Times New Roman"/>
                <w:sz w:val="22"/>
              </w:rPr>
              <w:t>حجم الدُفعة (Batch Size)</w:t>
            </w:r>
          </w:p>
        </w:tc>
        <w:tc>
          <w:tcPr>
            <w:tcW w:type="dxa" w:w="4394"/>
            <w:shd w:val="clear" w:color="auto" w:fill="DCE6F1"/>
          </w:tcPr>
          <w:p>
            <w:pPr>
              <w:jc w:val="center"/>
            </w:pPr>
            <w:r>
              <w:rPr>
                <w:rFonts w:ascii="Times New Roman" w:hAnsi="Times New Roman" w:cs="Times New Roman"/>
                <w:sz w:val="22"/>
              </w:rPr>
              <w:t>32</w:t>
            </w:r>
          </w:p>
        </w:tc>
      </w:tr>
      <w:tr>
        <w:tc>
          <w:tcPr>
            <w:tcW w:type="dxa" w:w="4394"/>
          </w:tcPr>
          <w:p>
            <w:pPr>
              <w:jc w:val="center"/>
            </w:pPr>
            <w:r>
              <w:rPr>
                <w:rFonts w:ascii="Times New Roman" w:hAnsi="Times New Roman" w:cs="Times New Roman"/>
                <w:sz w:val="22"/>
              </w:rPr>
              <w:t>معدل التعلم الابتدائي (Learning Rate)</w:t>
            </w:r>
          </w:p>
        </w:tc>
        <w:tc>
          <w:tcPr>
            <w:tcW w:type="dxa" w:w="4394"/>
          </w:tcPr>
          <w:p>
            <w:pPr>
              <w:jc w:val="center"/>
            </w:pPr>
            <w:r>
              <w:rPr>
                <w:rFonts w:ascii="Times New Roman" w:hAnsi="Times New Roman" w:cs="Times New Roman"/>
                <w:sz w:val="22"/>
              </w:rPr>
              <w:t>0.001</w:t>
            </w:r>
          </w:p>
        </w:tc>
      </w:tr>
      <w:tr>
        <w:tc>
          <w:tcPr>
            <w:tcW w:type="dxa" w:w="4394"/>
            <w:shd w:val="clear" w:color="auto" w:fill="DCE6F1"/>
          </w:tcPr>
          <w:p>
            <w:pPr>
              <w:jc w:val="center"/>
            </w:pPr>
            <w:r>
              <w:rPr>
                <w:rFonts w:ascii="Times New Roman" w:hAnsi="Times New Roman" w:cs="Times New Roman"/>
                <w:sz w:val="22"/>
              </w:rPr>
              <w:t>المحسِّن (Optimizer)</w:t>
            </w:r>
          </w:p>
        </w:tc>
        <w:tc>
          <w:tcPr>
            <w:tcW w:type="dxa" w:w="4394"/>
            <w:shd w:val="clear" w:color="auto" w:fill="DCE6F1"/>
          </w:tcPr>
          <w:p>
            <w:pPr>
              <w:jc w:val="center"/>
            </w:pPr>
            <w:r>
              <w:rPr>
                <w:rFonts w:ascii="Times New Roman" w:hAnsi="Times New Roman" w:cs="Times New Roman"/>
                <w:sz w:val="22"/>
              </w:rPr>
              <w:t>Adam</w:t>
            </w:r>
          </w:p>
        </w:tc>
      </w:tr>
      <w:tr>
        <w:tc>
          <w:tcPr>
            <w:tcW w:type="dxa" w:w="4394"/>
          </w:tcPr>
          <w:p>
            <w:pPr>
              <w:jc w:val="center"/>
            </w:pPr>
            <w:r>
              <w:rPr>
                <w:rFonts w:ascii="Times New Roman" w:hAnsi="Times New Roman" w:cs="Times New Roman"/>
                <w:sz w:val="22"/>
              </w:rPr>
              <w:t>دالة الخسارة (Loss Function)</w:t>
            </w:r>
          </w:p>
        </w:tc>
        <w:tc>
          <w:tcPr>
            <w:tcW w:type="dxa" w:w="4394"/>
          </w:tcPr>
          <w:p>
            <w:pPr>
              <w:jc w:val="center"/>
            </w:pPr>
            <w:r>
              <w:rPr>
                <w:rFonts w:ascii="Times New Roman" w:hAnsi="Times New Roman" w:cs="Times New Roman"/>
                <w:sz w:val="22"/>
              </w:rPr>
              <w:t>Binary Cross-Entropy</w:t>
            </w:r>
          </w:p>
        </w:tc>
      </w:tr>
      <w:tr>
        <w:tc>
          <w:tcPr>
            <w:tcW w:type="dxa" w:w="4394"/>
            <w:shd w:val="clear" w:color="auto" w:fill="DCE6F1"/>
          </w:tcPr>
          <w:p>
            <w:pPr>
              <w:jc w:val="center"/>
            </w:pPr>
            <w:r>
              <w:rPr>
                <w:rFonts w:ascii="Times New Roman" w:hAnsi="Times New Roman" w:cs="Times New Roman"/>
                <w:sz w:val="22"/>
              </w:rPr>
              <w:t>عدد الحقبات التدريبية (Epochs)</w:t>
            </w:r>
          </w:p>
        </w:tc>
        <w:tc>
          <w:tcPr>
            <w:tcW w:type="dxa" w:w="4394"/>
            <w:shd w:val="clear" w:color="auto" w:fill="DCE6F1"/>
          </w:tcPr>
          <w:p>
            <w:pPr>
              <w:jc w:val="center"/>
            </w:pPr>
            <w:r>
              <w:rPr>
                <w:rFonts w:ascii="Times New Roman" w:hAnsi="Times New Roman" w:cs="Times New Roman"/>
                <w:sz w:val="22"/>
              </w:rPr>
              <w:t>50</w:t>
            </w:r>
          </w:p>
        </w:tc>
      </w:tr>
      <w:tr>
        <w:tc>
          <w:tcPr>
            <w:tcW w:type="dxa" w:w="4394"/>
          </w:tcPr>
          <w:p>
            <w:pPr>
              <w:jc w:val="center"/>
            </w:pPr>
            <w:r>
              <w:rPr>
                <w:rFonts w:ascii="Times New Roman" w:hAnsi="Times New Roman" w:cs="Times New Roman"/>
                <w:sz w:val="22"/>
              </w:rPr>
              <w:t>معامل تسوية L2 (Weight Decay)</w:t>
            </w:r>
          </w:p>
        </w:tc>
        <w:tc>
          <w:tcPr>
            <w:tcW w:type="dxa" w:w="4394"/>
          </w:tcPr>
          <w:p>
            <w:pPr>
              <w:jc w:val="center"/>
            </w:pPr>
            <w:r>
              <w:rPr>
                <w:rFonts w:ascii="Times New Roman" w:hAnsi="Times New Roman" w:cs="Times New Roman"/>
                <w:sz w:val="22"/>
              </w:rPr>
              <w:t>0.0005</w:t>
            </w:r>
          </w:p>
        </w:tc>
      </w:tr>
      <w:tr>
        <w:tc>
          <w:tcPr>
            <w:tcW w:type="dxa" w:w="4394"/>
            <w:shd w:val="clear" w:color="auto" w:fill="DCE6F1"/>
          </w:tcPr>
          <w:p>
            <w:pPr>
              <w:jc w:val="center"/>
            </w:pPr>
            <w:r>
              <w:rPr>
                <w:rFonts w:ascii="Times New Roman" w:hAnsi="Times New Roman" w:cs="Times New Roman"/>
                <w:sz w:val="22"/>
              </w:rPr>
              <w:t>نسبة الإسقاط (Dropout Rate)</w:t>
            </w:r>
          </w:p>
        </w:tc>
        <w:tc>
          <w:tcPr>
            <w:tcW w:type="dxa" w:w="4394"/>
            <w:shd w:val="clear" w:color="auto" w:fill="DCE6F1"/>
          </w:tcPr>
          <w:p>
            <w:pPr>
              <w:jc w:val="center"/>
            </w:pPr>
            <w:r>
              <w:rPr>
                <w:rFonts w:ascii="Times New Roman" w:hAnsi="Times New Roman" w:cs="Times New Roman"/>
                <w:sz w:val="22"/>
              </w:rPr>
              <w:t>0.3</w:t>
            </w:r>
          </w:p>
        </w:tc>
      </w:tr>
      <w:tr>
        <w:tc>
          <w:tcPr>
            <w:tcW w:type="dxa" w:w="4394"/>
          </w:tcPr>
          <w:p>
            <w:pPr>
              <w:jc w:val="center"/>
            </w:pPr>
            <w:r>
              <w:rPr>
                <w:rFonts w:ascii="Times New Roman" w:hAnsi="Times New Roman" w:cs="Times New Roman"/>
                <w:sz w:val="22"/>
              </w:rPr>
              <w:t>جدول معدل التعلم</w:t>
            </w:r>
          </w:p>
        </w:tc>
        <w:tc>
          <w:tcPr>
            <w:tcW w:type="dxa" w:w="4394"/>
          </w:tcPr>
          <w:p>
            <w:pPr>
              <w:jc w:val="center"/>
            </w:pPr>
            <w:r>
              <w:rPr>
                <w:rFonts w:ascii="Times New Roman" w:hAnsi="Times New Roman" w:cs="Times New Roman"/>
                <w:sz w:val="22"/>
              </w:rPr>
              <w:t>ReduceLROnPlateau (صبر = 5 حقبات)</w:t>
            </w:r>
          </w:p>
        </w:tc>
      </w:tr>
      <w:tr>
        <w:tc>
          <w:tcPr>
            <w:tcW w:type="dxa" w:w="4394"/>
            <w:shd w:val="clear" w:color="auto" w:fill="DCE6F1"/>
          </w:tcPr>
          <w:p>
            <w:pPr>
              <w:jc w:val="center"/>
            </w:pPr>
            <w:r>
              <w:rPr>
                <w:rFonts w:ascii="Times New Roman" w:hAnsi="Times New Roman" w:cs="Times New Roman"/>
                <w:sz w:val="22"/>
              </w:rPr>
              <w:t>التوقف المبكر (Early Stopping)</w:t>
            </w:r>
          </w:p>
        </w:tc>
        <w:tc>
          <w:tcPr>
            <w:tcW w:type="dxa" w:w="4394"/>
            <w:shd w:val="clear" w:color="auto" w:fill="DCE6F1"/>
          </w:tcPr>
          <w:p>
            <w:pPr>
              <w:jc w:val="center"/>
            </w:pPr>
            <w:r>
              <w:rPr>
                <w:rFonts w:ascii="Times New Roman" w:hAnsi="Times New Roman" w:cs="Times New Roman"/>
                <w:sz w:val="22"/>
              </w:rPr>
              <w:t>صبر = 10 حقبات</w:t>
            </w:r>
          </w:p>
        </w:tc>
      </w:tr>
    </w:tbl>
    <w:p/>
    <w:p>
      <w:pPr>
        <w:bidi/>
        <w:spacing w:before="280" w:after="160"/>
        <w:jc w:val="right"/>
      </w:pPr>
      <w:r>
        <w:rPr>
          <w:rFonts w:ascii="Times New Roman" w:hAnsi="Times New Roman" w:cs="Times New Roman"/>
          <w:b/>
          <w:color w:val="2E5EA8"/>
          <w:sz w:val="28"/>
          <w:rtl/>
          <w:cs/>
        </w:rPr>
        <w:t>7.4  عرض النتائج وتقييم الأداء</w:t>
      </w:r>
    </w:p>
    <w:p>
      <w:pPr>
        <w:bidi/>
        <w:spacing w:before="200" w:after="120"/>
        <w:jc w:val="right"/>
      </w:pPr>
      <w:r>
        <w:rPr>
          <w:rFonts w:ascii="Times New Roman" w:hAnsi="Times New Roman" w:cs="Times New Roman"/>
          <w:b/>
          <w:color w:val="1A1A1A"/>
          <w:sz w:val="26"/>
          <w:rtl/>
          <w:cs/>
        </w:rPr>
        <w:t>7.4.1  نتائج مقاييس الأداء الرئيسية</w:t>
      </w:r>
    </w:p>
    <w:p>
      <w:pPr>
        <w:bidi/>
        <w:spacing w:line="360" w:lineRule="auto" w:after="120"/>
        <w:ind w:firstLine="567"/>
        <w:jc w:val="right"/>
      </w:pPr>
      <w:r>
        <w:rPr>
          <w:rFonts w:ascii="Times New Roman" w:hAnsi="Times New Roman" w:cs="Times New Roman"/>
          <w:sz w:val="24"/>
          <w:rtl/>
          <w:cs/>
        </w:rPr>
        <w:t>قُيِّم أداء النموذج الهجين المقترح على مجموعة الاختبار باستخدام مجموعة شاملة من مقاييس الأداء، وذلك لتوفير صورة متكاملة عن دقة النظام. يُوضح الجدول (5.4) نتائج هذه المقاييس مقارنةً بالنماذج المرجعية:</w:t>
      </w:r>
    </w:p>
    <w:p>
      <w:pPr>
        <w:spacing w:before="80" w:after="200"/>
        <w:jc w:val="center"/>
      </w:pPr>
      <w:r>
        <w:rPr>
          <w:rFonts w:ascii="Times New Roman" w:hAnsi="Times New Roman" w:cs="Times New Roman"/>
          <w:b/>
          <w:i/>
          <w:sz w:val="22"/>
        </w:rPr>
        <w:t>الجدول (5.4): مقارنة أداء النموذج الهجين مع النماذج المرجعية على ND-TWINS</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val="clear" w:color="auto" w:fill="2E5EA8"/>
          </w:tcPr>
          <w:p>
            <w:pPr>
              <w:jc w:val="center"/>
            </w:pPr>
            <w:r>
              <w:rPr>
                <w:rFonts w:ascii="Times New Roman" w:hAnsi="Times New Roman" w:cs="Times New Roman"/>
                <w:b/>
                <w:color w:val="FFFFFF"/>
                <w:sz w:val="22"/>
              </w:rPr>
              <w:t>نموذج التعرف</w:t>
            </w:r>
          </w:p>
        </w:tc>
        <w:tc>
          <w:tcPr>
            <w:tcW w:type="dxa" w:w="1758"/>
            <w:shd w:val="clear" w:color="auto" w:fill="2E5EA8"/>
          </w:tcPr>
          <w:p>
            <w:pPr>
              <w:jc w:val="center"/>
            </w:pPr>
            <w:r>
              <w:rPr>
                <w:rFonts w:ascii="Times New Roman" w:hAnsi="Times New Roman" w:cs="Times New Roman"/>
                <w:b/>
                <w:color w:val="FFFFFF"/>
                <w:sz w:val="22"/>
              </w:rPr>
              <w:t>الدقة (Accuracy)</w:t>
            </w:r>
          </w:p>
        </w:tc>
        <w:tc>
          <w:tcPr>
            <w:tcW w:type="dxa" w:w="1758"/>
            <w:shd w:val="clear" w:color="auto" w:fill="2E5EA8"/>
          </w:tcPr>
          <w:p>
            <w:pPr>
              <w:jc w:val="center"/>
            </w:pPr>
            <w:r>
              <w:rPr>
                <w:rFonts w:ascii="Times New Roman" w:hAnsi="Times New Roman" w:cs="Times New Roman"/>
                <w:b/>
                <w:color w:val="FFFFFF"/>
                <w:sz w:val="22"/>
              </w:rPr>
              <w:t>Precision</w:t>
            </w:r>
          </w:p>
        </w:tc>
        <w:tc>
          <w:tcPr>
            <w:tcW w:type="dxa" w:w="1758"/>
            <w:shd w:val="clear" w:color="auto" w:fill="2E5EA8"/>
          </w:tcPr>
          <w:p>
            <w:pPr>
              <w:jc w:val="center"/>
            </w:pPr>
            <w:r>
              <w:rPr>
                <w:rFonts w:ascii="Times New Roman" w:hAnsi="Times New Roman" w:cs="Times New Roman"/>
                <w:b/>
                <w:color w:val="FFFFFF"/>
                <w:sz w:val="22"/>
              </w:rPr>
              <w:t>Recall</w:t>
            </w:r>
          </w:p>
        </w:tc>
        <w:tc>
          <w:tcPr>
            <w:tcW w:type="dxa" w:w="1758"/>
            <w:shd w:val="clear" w:color="auto" w:fill="2E5EA8"/>
          </w:tcPr>
          <w:p>
            <w:pPr>
              <w:jc w:val="center"/>
            </w:pPr>
            <w:r>
              <w:rPr>
                <w:rFonts w:ascii="Times New Roman" w:hAnsi="Times New Roman" w:cs="Times New Roman"/>
                <w:b/>
                <w:color w:val="FFFFFF"/>
                <w:sz w:val="22"/>
              </w:rPr>
              <w:t>F1-Score</w:t>
            </w:r>
          </w:p>
        </w:tc>
      </w:tr>
      <w:tr>
        <w:tc>
          <w:tcPr>
            <w:tcW w:type="dxa" w:w="1758"/>
            <w:shd w:val="clear" w:color="auto" w:fill="DCE6F1"/>
          </w:tcPr>
          <w:p>
            <w:pPr>
              <w:jc w:val="center"/>
            </w:pPr>
            <w:r>
              <w:rPr>
                <w:rFonts w:ascii="Times New Roman" w:hAnsi="Times New Roman" w:cs="Times New Roman"/>
                <w:sz w:val="22"/>
              </w:rPr>
              <w:t>Softmax التقليدي (Baseline)</w:t>
            </w:r>
          </w:p>
        </w:tc>
        <w:tc>
          <w:tcPr>
            <w:tcW w:type="dxa" w:w="1758"/>
            <w:shd w:val="clear" w:color="auto" w:fill="DCE6F1"/>
          </w:tcPr>
          <w:p>
            <w:pPr>
              <w:jc w:val="center"/>
            </w:pPr>
            <w:r>
              <w:rPr>
                <w:rFonts w:ascii="Times New Roman" w:hAnsi="Times New Roman" w:cs="Times New Roman"/>
                <w:sz w:val="22"/>
              </w:rPr>
              <w:t>74.3%</w:t>
            </w:r>
          </w:p>
        </w:tc>
        <w:tc>
          <w:tcPr>
            <w:tcW w:type="dxa" w:w="1758"/>
            <w:shd w:val="clear" w:color="auto" w:fill="DCE6F1"/>
          </w:tcPr>
          <w:p>
            <w:pPr>
              <w:jc w:val="center"/>
            </w:pPr>
            <w:r>
              <w:rPr>
                <w:rFonts w:ascii="Times New Roman" w:hAnsi="Times New Roman" w:cs="Times New Roman"/>
                <w:sz w:val="22"/>
              </w:rPr>
              <w:t>73.1%</w:t>
            </w:r>
          </w:p>
        </w:tc>
        <w:tc>
          <w:tcPr>
            <w:tcW w:type="dxa" w:w="1758"/>
            <w:shd w:val="clear" w:color="auto" w:fill="DCE6F1"/>
          </w:tcPr>
          <w:p>
            <w:pPr>
              <w:jc w:val="center"/>
            </w:pPr>
            <w:r>
              <w:rPr>
                <w:rFonts w:ascii="Times New Roman" w:hAnsi="Times New Roman" w:cs="Times New Roman"/>
                <w:sz w:val="22"/>
              </w:rPr>
              <w:t>75.0%</w:t>
            </w:r>
          </w:p>
        </w:tc>
        <w:tc>
          <w:tcPr>
            <w:tcW w:type="dxa" w:w="1758"/>
            <w:shd w:val="clear" w:color="auto" w:fill="DCE6F1"/>
          </w:tcPr>
          <w:p>
            <w:pPr>
              <w:jc w:val="center"/>
            </w:pPr>
            <w:r>
              <w:rPr>
                <w:rFonts w:ascii="Times New Roman" w:hAnsi="Times New Roman" w:cs="Times New Roman"/>
                <w:sz w:val="22"/>
              </w:rPr>
              <w:t>74.0%</w:t>
            </w:r>
          </w:p>
        </w:tc>
      </w:tr>
      <w:tr>
        <w:tc>
          <w:tcPr>
            <w:tcW w:type="dxa" w:w="1758"/>
          </w:tcPr>
          <w:p>
            <w:pPr>
              <w:jc w:val="center"/>
            </w:pPr>
            <w:r>
              <w:rPr>
                <w:rFonts w:ascii="Times New Roman" w:hAnsi="Times New Roman" w:cs="Times New Roman"/>
                <w:sz w:val="22"/>
              </w:rPr>
              <w:t>ArcFace فقط</w:t>
            </w:r>
          </w:p>
        </w:tc>
        <w:tc>
          <w:tcPr>
            <w:tcW w:type="dxa" w:w="1758"/>
          </w:tcPr>
          <w:p>
            <w:pPr>
              <w:jc w:val="center"/>
            </w:pPr>
            <w:r>
              <w:rPr>
                <w:rFonts w:ascii="Times New Roman" w:hAnsi="Times New Roman" w:cs="Times New Roman"/>
                <w:sz w:val="22"/>
              </w:rPr>
              <w:t>82.6%</w:t>
            </w:r>
          </w:p>
        </w:tc>
        <w:tc>
          <w:tcPr>
            <w:tcW w:type="dxa" w:w="1758"/>
          </w:tcPr>
          <w:p>
            <w:pPr>
              <w:jc w:val="center"/>
            </w:pPr>
            <w:r>
              <w:rPr>
                <w:rFonts w:ascii="Times New Roman" w:hAnsi="Times New Roman" w:cs="Times New Roman"/>
                <w:sz w:val="22"/>
              </w:rPr>
              <w:t>81.9%</w:t>
            </w:r>
          </w:p>
        </w:tc>
        <w:tc>
          <w:tcPr>
            <w:tcW w:type="dxa" w:w="1758"/>
          </w:tcPr>
          <w:p>
            <w:pPr>
              <w:jc w:val="center"/>
            </w:pPr>
            <w:r>
              <w:rPr>
                <w:rFonts w:ascii="Times New Roman" w:hAnsi="Times New Roman" w:cs="Times New Roman"/>
                <w:sz w:val="22"/>
              </w:rPr>
              <w:t>83.4%</w:t>
            </w:r>
          </w:p>
        </w:tc>
        <w:tc>
          <w:tcPr>
            <w:tcW w:type="dxa" w:w="1758"/>
          </w:tcPr>
          <w:p>
            <w:pPr>
              <w:jc w:val="center"/>
            </w:pPr>
            <w:r>
              <w:rPr>
                <w:rFonts w:ascii="Times New Roman" w:hAnsi="Times New Roman" w:cs="Times New Roman"/>
                <w:sz w:val="22"/>
              </w:rPr>
              <w:t>82.6%</w:t>
            </w:r>
          </w:p>
        </w:tc>
      </w:tr>
      <w:tr>
        <w:tc>
          <w:tcPr>
            <w:tcW w:type="dxa" w:w="1758"/>
            <w:shd w:val="clear" w:color="auto" w:fill="DCE6F1"/>
          </w:tcPr>
          <w:p>
            <w:pPr>
              <w:jc w:val="center"/>
            </w:pPr>
            <w:r>
              <w:rPr>
                <w:rFonts w:ascii="Times New Roman" w:hAnsi="Times New Roman" w:cs="Times New Roman"/>
                <w:sz w:val="22"/>
              </w:rPr>
              <w:t>ArcFace + LBP</w:t>
            </w:r>
          </w:p>
        </w:tc>
        <w:tc>
          <w:tcPr>
            <w:tcW w:type="dxa" w:w="1758"/>
            <w:shd w:val="clear" w:color="auto" w:fill="DCE6F1"/>
          </w:tcPr>
          <w:p>
            <w:pPr>
              <w:jc w:val="center"/>
            </w:pPr>
            <w:r>
              <w:rPr>
                <w:rFonts w:ascii="Times New Roman" w:hAnsi="Times New Roman" w:cs="Times New Roman"/>
                <w:sz w:val="22"/>
              </w:rPr>
              <w:t>87.1%</w:t>
            </w:r>
          </w:p>
        </w:tc>
        <w:tc>
          <w:tcPr>
            <w:tcW w:type="dxa" w:w="1758"/>
            <w:shd w:val="clear" w:color="auto" w:fill="DCE6F1"/>
          </w:tcPr>
          <w:p>
            <w:pPr>
              <w:jc w:val="center"/>
            </w:pPr>
            <w:r>
              <w:rPr>
                <w:rFonts w:ascii="Times New Roman" w:hAnsi="Times New Roman" w:cs="Times New Roman"/>
                <w:sz w:val="22"/>
              </w:rPr>
              <w:t>86.5%</w:t>
            </w:r>
          </w:p>
        </w:tc>
        <w:tc>
          <w:tcPr>
            <w:tcW w:type="dxa" w:w="1758"/>
            <w:shd w:val="clear" w:color="auto" w:fill="DCE6F1"/>
          </w:tcPr>
          <w:p>
            <w:pPr>
              <w:jc w:val="center"/>
            </w:pPr>
            <w:r>
              <w:rPr>
                <w:rFonts w:ascii="Times New Roman" w:hAnsi="Times New Roman" w:cs="Times New Roman"/>
                <w:sz w:val="22"/>
              </w:rPr>
              <w:t>87.8%</w:t>
            </w:r>
          </w:p>
        </w:tc>
        <w:tc>
          <w:tcPr>
            <w:tcW w:type="dxa" w:w="1758"/>
            <w:shd w:val="clear" w:color="auto" w:fill="DCE6F1"/>
          </w:tcPr>
          <w:p>
            <w:pPr>
              <w:jc w:val="center"/>
            </w:pPr>
            <w:r>
              <w:rPr>
                <w:rFonts w:ascii="Times New Roman" w:hAnsi="Times New Roman" w:cs="Times New Roman"/>
                <w:sz w:val="22"/>
              </w:rPr>
              <w:t>87.1%</w:t>
            </w:r>
          </w:p>
        </w:tc>
      </w:tr>
      <w:tr>
        <w:tc>
          <w:tcPr>
            <w:tcW w:type="dxa" w:w="1758"/>
          </w:tcPr>
          <w:p>
            <w:pPr>
              <w:jc w:val="center"/>
            </w:pPr>
            <w:r>
              <w:rPr>
                <w:rFonts w:ascii="Times New Roman" w:hAnsi="Times New Roman" w:cs="Times New Roman"/>
                <w:sz w:val="22"/>
              </w:rPr>
              <w:t>ArcFace + LBP + Wavelet</w:t>
            </w:r>
          </w:p>
        </w:tc>
        <w:tc>
          <w:tcPr>
            <w:tcW w:type="dxa" w:w="1758"/>
          </w:tcPr>
          <w:p>
            <w:pPr>
              <w:jc w:val="center"/>
            </w:pPr>
            <w:r>
              <w:rPr>
                <w:rFonts w:ascii="Times New Roman" w:hAnsi="Times New Roman" w:cs="Times New Roman"/>
                <w:sz w:val="22"/>
              </w:rPr>
              <w:t>89.4%</w:t>
            </w:r>
          </w:p>
        </w:tc>
        <w:tc>
          <w:tcPr>
            <w:tcW w:type="dxa" w:w="1758"/>
          </w:tcPr>
          <w:p>
            <w:pPr>
              <w:jc w:val="center"/>
            </w:pPr>
            <w:r>
              <w:rPr>
                <w:rFonts w:ascii="Times New Roman" w:hAnsi="Times New Roman" w:cs="Times New Roman"/>
                <w:sz w:val="22"/>
              </w:rPr>
              <w:t>88.7%</w:t>
            </w:r>
          </w:p>
        </w:tc>
        <w:tc>
          <w:tcPr>
            <w:tcW w:type="dxa" w:w="1758"/>
          </w:tcPr>
          <w:p>
            <w:pPr>
              <w:jc w:val="center"/>
            </w:pPr>
            <w:r>
              <w:rPr>
                <w:rFonts w:ascii="Times New Roman" w:hAnsi="Times New Roman" w:cs="Times New Roman"/>
                <w:sz w:val="22"/>
              </w:rPr>
              <w:t>90.1%</w:t>
            </w:r>
          </w:p>
        </w:tc>
        <w:tc>
          <w:tcPr>
            <w:tcW w:type="dxa" w:w="1758"/>
          </w:tcPr>
          <w:p>
            <w:pPr>
              <w:jc w:val="center"/>
            </w:pPr>
            <w:r>
              <w:rPr>
                <w:rFonts w:ascii="Times New Roman" w:hAnsi="Times New Roman" w:cs="Times New Roman"/>
                <w:sz w:val="22"/>
              </w:rPr>
              <w:t>89.4%</w:t>
            </w:r>
          </w:p>
        </w:tc>
      </w:tr>
      <w:tr>
        <w:tc>
          <w:tcPr>
            <w:tcW w:type="dxa" w:w="1758"/>
            <w:shd w:val="clear" w:color="auto" w:fill="DCE6F1"/>
          </w:tcPr>
          <w:p>
            <w:pPr>
              <w:jc w:val="center"/>
            </w:pPr>
            <w:r>
              <w:rPr>
                <w:rFonts w:ascii="Times New Roman" w:hAnsi="Times New Roman" w:cs="Times New Roman"/>
                <w:sz w:val="22"/>
              </w:rPr>
              <w:t>النموذج الهجين الكامل</w:t>
              <w:br/>
              <w:t>(ArcFace + LBP + Wavelet + Periocular)</w:t>
            </w:r>
          </w:p>
        </w:tc>
        <w:tc>
          <w:tcPr>
            <w:tcW w:type="dxa" w:w="1758"/>
            <w:shd w:val="clear" w:color="auto" w:fill="DCE6F1"/>
          </w:tcPr>
          <w:p>
            <w:pPr>
              <w:jc w:val="center"/>
            </w:pPr>
            <w:r>
              <w:rPr>
                <w:rFonts w:ascii="Times New Roman" w:hAnsi="Times New Roman" w:cs="Times New Roman"/>
                <w:sz w:val="22"/>
              </w:rPr>
              <w:t>91.8%</w:t>
            </w:r>
          </w:p>
        </w:tc>
        <w:tc>
          <w:tcPr>
            <w:tcW w:type="dxa" w:w="1758"/>
            <w:shd w:val="clear" w:color="auto" w:fill="DCE6F1"/>
          </w:tcPr>
          <w:p>
            <w:pPr>
              <w:jc w:val="center"/>
            </w:pPr>
            <w:r>
              <w:rPr>
                <w:rFonts w:ascii="Times New Roman" w:hAnsi="Times New Roman" w:cs="Times New Roman"/>
                <w:sz w:val="22"/>
              </w:rPr>
              <w:t>91.2%</w:t>
            </w:r>
          </w:p>
        </w:tc>
        <w:tc>
          <w:tcPr>
            <w:tcW w:type="dxa" w:w="1758"/>
            <w:shd w:val="clear" w:color="auto" w:fill="DCE6F1"/>
          </w:tcPr>
          <w:p>
            <w:pPr>
              <w:jc w:val="center"/>
            </w:pPr>
            <w:r>
              <w:rPr>
                <w:rFonts w:ascii="Times New Roman" w:hAnsi="Times New Roman" w:cs="Times New Roman"/>
                <w:sz w:val="22"/>
              </w:rPr>
              <w:t>92.4%</w:t>
            </w:r>
          </w:p>
        </w:tc>
        <w:tc>
          <w:tcPr>
            <w:tcW w:type="dxa" w:w="1758"/>
            <w:shd w:val="clear" w:color="auto" w:fill="DCE6F1"/>
          </w:tcPr>
          <w:p>
            <w:pPr>
              <w:jc w:val="center"/>
            </w:pPr>
            <w:r>
              <w:rPr>
                <w:rFonts w:ascii="Times New Roman" w:hAnsi="Times New Roman" w:cs="Times New Roman"/>
                <w:sz w:val="22"/>
              </w:rPr>
              <w:t>91.8%</w:t>
            </w:r>
          </w:p>
        </w:tc>
      </w:tr>
    </w:tbl>
    <w:p/>
    <w:p>
      <w:pPr>
        <w:bidi/>
        <w:spacing w:line="360" w:lineRule="auto" w:after="120"/>
        <w:ind w:firstLine="567"/>
        <w:jc w:val="right"/>
      </w:pPr>
      <w:r>
        <w:rPr>
          <w:rFonts w:ascii="Times New Roman" w:hAnsi="Times New Roman" w:cs="Times New Roman"/>
          <w:sz w:val="24"/>
          <w:rtl/>
          <w:cs/>
        </w:rPr>
        <w:t>تُثبت هذه النتائج أن الدمج التدريجي للمسارات التحليلية يحقق تحسناً مستمراً في الأداء، حيث ارتفعت الدقة الكلية من 74.3% للنموذج الأساسي إلى 91.8% للنموذج الهجين الكامل، محققاً تحسناً نسبياً بلغ 17.5 نقطة مئوية.</w:t>
      </w:r>
    </w:p>
    <w:p>
      <w:pPr>
        <w:bidi/>
        <w:spacing w:before="200" w:after="120"/>
        <w:jc w:val="right"/>
      </w:pPr>
      <w:r>
        <w:rPr>
          <w:rFonts w:ascii="Times New Roman" w:hAnsi="Times New Roman" w:cs="Times New Roman"/>
          <w:b/>
          <w:color w:val="1A1A1A"/>
          <w:sz w:val="26"/>
          <w:rtl/>
          <w:cs/>
        </w:rPr>
        <w:t>7.4.2  تحليل معدلات الخطأ في التحقق من الهوية</w:t>
      </w:r>
    </w:p>
    <w:p>
      <w:pPr>
        <w:bidi/>
        <w:spacing w:line="360" w:lineRule="auto" w:after="120"/>
        <w:ind w:firstLine="567"/>
        <w:jc w:val="right"/>
      </w:pPr>
      <w:r>
        <w:rPr>
          <w:rFonts w:ascii="Times New Roman" w:hAnsi="Times New Roman" w:cs="Times New Roman"/>
          <w:sz w:val="24"/>
          <w:rtl/>
          <w:cs/>
        </w:rPr>
        <w:t>يُعدّ تقييم معدلات الخطأ في سياق الأمن البيومتري أمراً بالغ الأهمية، إذ يُحدد مدى كفاءة النظام في الاستخدام الحقيقي. يُوضح الجدول (6.4) معدلات الخطأ الحرجة للنموذج الهجين مقارنةً بـ ArcFace المنفرد:</w:t>
      </w:r>
    </w:p>
    <w:p>
      <w:pPr>
        <w:spacing w:before="80" w:after="200"/>
        <w:jc w:val="center"/>
      </w:pPr>
      <w:r>
        <w:rPr>
          <w:rFonts w:ascii="Times New Roman" w:hAnsi="Times New Roman" w:cs="Times New Roman"/>
          <w:b/>
          <w:i/>
          <w:sz w:val="22"/>
        </w:rPr>
        <w:t>الجدول (6.4): معدلات الخطأ البيومترية للنموذج الهجين</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5EA8"/>
          </w:tcPr>
          <w:p>
            <w:pPr>
              <w:jc w:val="center"/>
            </w:pPr>
            <w:r>
              <w:rPr>
                <w:rFonts w:ascii="Times New Roman" w:hAnsi="Times New Roman" w:cs="Times New Roman"/>
                <w:b/>
                <w:color w:val="FFFFFF"/>
                <w:sz w:val="22"/>
              </w:rPr>
              <w:t>المقياس</w:t>
            </w:r>
          </w:p>
        </w:tc>
        <w:tc>
          <w:tcPr>
            <w:tcW w:type="dxa" w:w="2197"/>
            <w:shd w:val="clear" w:color="auto" w:fill="2E5EA8"/>
          </w:tcPr>
          <w:p>
            <w:pPr>
              <w:jc w:val="center"/>
            </w:pPr>
            <w:r>
              <w:rPr>
                <w:rFonts w:ascii="Times New Roman" w:hAnsi="Times New Roman" w:cs="Times New Roman"/>
                <w:b/>
                <w:color w:val="FFFFFF"/>
                <w:sz w:val="22"/>
              </w:rPr>
              <w:t>التعريف</w:t>
            </w:r>
          </w:p>
        </w:tc>
        <w:tc>
          <w:tcPr>
            <w:tcW w:type="dxa" w:w="2197"/>
            <w:shd w:val="clear" w:color="auto" w:fill="2E5EA8"/>
          </w:tcPr>
          <w:p>
            <w:pPr>
              <w:jc w:val="center"/>
            </w:pPr>
            <w:r>
              <w:rPr>
                <w:rFonts w:ascii="Times New Roman" w:hAnsi="Times New Roman" w:cs="Times New Roman"/>
                <w:b/>
                <w:color w:val="FFFFFF"/>
                <w:sz w:val="22"/>
              </w:rPr>
              <w:t>النموذج الهجين</w:t>
            </w:r>
          </w:p>
        </w:tc>
        <w:tc>
          <w:tcPr>
            <w:tcW w:type="dxa" w:w="2197"/>
            <w:shd w:val="clear" w:color="auto" w:fill="2E5EA8"/>
          </w:tcPr>
          <w:p>
            <w:pPr>
              <w:jc w:val="center"/>
            </w:pPr>
            <w:r>
              <w:rPr>
                <w:rFonts w:ascii="Times New Roman" w:hAnsi="Times New Roman" w:cs="Times New Roman"/>
                <w:b/>
                <w:color w:val="FFFFFF"/>
                <w:sz w:val="22"/>
              </w:rPr>
              <w:t>ArcFace منفرد</w:t>
            </w:r>
          </w:p>
        </w:tc>
      </w:tr>
      <w:tr>
        <w:tc>
          <w:tcPr>
            <w:tcW w:type="dxa" w:w="2197"/>
            <w:shd w:val="clear" w:color="auto" w:fill="DCE6F1"/>
          </w:tcPr>
          <w:p>
            <w:pPr>
              <w:jc w:val="center"/>
            </w:pPr>
            <w:r>
              <w:rPr>
                <w:rFonts w:ascii="Times New Roman" w:hAnsi="Times New Roman" w:cs="Times New Roman"/>
                <w:sz w:val="22"/>
              </w:rPr>
              <w:t>معدل القبول الزائف (FAR)</w:t>
            </w:r>
          </w:p>
        </w:tc>
        <w:tc>
          <w:tcPr>
            <w:tcW w:type="dxa" w:w="2197"/>
            <w:shd w:val="clear" w:color="auto" w:fill="DCE6F1"/>
          </w:tcPr>
          <w:p>
            <w:pPr>
              <w:jc w:val="center"/>
            </w:pPr>
            <w:r>
              <w:rPr>
                <w:rFonts w:ascii="Times New Roman" w:hAnsi="Times New Roman" w:cs="Times New Roman"/>
                <w:sz w:val="22"/>
              </w:rPr>
              <w:t>نسبة قبول شخص غير مصرح به</w:t>
            </w:r>
          </w:p>
        </w:tc>
        <w:tc>
          <w:tcPr>
            <w:tcW w:type="dxa" w:w="2197"/>
            <w:shd w:val="clear" w:color="auto" w:fill="DCE6F1"/>
          </w:tcPr>
          <w:p>
            <w:pPr>
              <w:jc w:val="center"/>
            </w:pPr>
            <w:r>
              <w:rPr>
                <w:rFonts w:ascii="Times New Roman" w:hAnsi="Times New Roman" w:cs="Times New Roman"/>
                <w:sz w:val="22"/>
              </w:rPr>
              <w:t>5.2%</w:t>
            </w:r>
          </w:p>
        </w:tc>
        <w:tc>
          <w:tcPr>
            <w:tcW w:type="dxa" w:w="2197"/>
            <w:shd w:val="clear" w:color="auto" w:fill="DCE6F1"/>
          </w:tcPr>
          <w:p>
            <w:pPr>
              <w:jc w:val="center"/>
            </w:pPr>
            <w:r>
              <w:rPr>
                <w:rFonts w:ascii="Times New Roman" w:hAnsi="Times New Roman" w:cs="Times New Roman"/>
                <w:sz w:val="22"/>
              </w:rPr>
              <w:t>9.8%</w:t>
            </w:r>
          </w:p>
        </w:tc>
      </w:tr>
      <w:tr>
        <w:tc>
          <w:tcPr>
            <w:tcW w:type="dxa" w:w="2197"/>
          </w:tcPr>
          <w:p>
            <w:pPr>
              <w:jc w:val="center"/>
            </w:pPr>
            <w:r>
              <w:rPr>
                <w:rFonts w:ascii="Times New Roman" w:hAnsi="Times New Roman" w:cs="Times New Roman"/>
                <w:sz w:val="22"/>
              </w:rPr>
              <w:t>معدل الرفض الزائف (FRR)</w:t>
            </w:r>
          </w:p>
        </w:tc>
        <w:tc>
          <w:tcPr>
            <w:tcW w:type="dxa" w:w="2197"/>
          </w:tcPr>
          <w:p>
            <w:pPr>
              <w:jc w:val="center"/>
            </w:pPr>
            <w:r>
              <w:rPr>
                <w:rFonts w:ascii="Times New Roman" w:hAnsi="Times New Roman" w:cs="Times New Roman"/>
                <w:sz w:val="22"/>
              </w:rPr>
              <w:t>نسبة رفض شخص مصرح له</w:t>
            </w:r>
          </w:p>
        </w:tc>
        <w:tc>
          <w:tcPr>
            <w:tcW w:type="dxa" w:w="2197"/>
          </w:tcPr>
          <w:p>
            <w:pPr>
              <w:jc w:val="center"/>
            </w:pPr>
            <w:r>
              <w:rPr>
                <w:rFonts w:ascii="Times New Roman" w:hAnsi="Times New Roman" w:cs="Times New Roman"/>
                <w:sz w:val="22"/>
              </w:rPr>
              <w:t>6.7%</w:t>
            </w:r>
          </w:p>
        </w:tc>
        <w:tc>
          <w:tcPr>
            <w:tcW w:type="dxa" w:w="2197"/>
          </w:tcPr>
          <w:p>
            <w:pPr>
              <w:jc w:val="center"/>
            </w:pPr>
            <w:r>
              <w:rPr>
                <w:rFonts w:ascii="Times New Roman" w:hAnsi="Times New Roman" w:cs="Times New Roman"/>
                <w:sz w:val="22"/>
              </w:rPr>
              <w:t>11.4%</w:t>
            </w:r>
          </w:p>
        </w:tc>
      </w:tr>
      <w:tr>
        <w:tc>
          <w:tcPr>
            <w:tcW w:type="dxa" w:w="2197"/>
            <w:shd w:val="clear" w:color="auto" w:fill="DCE6F1"/>
          </w:tcPr>
          <w:p>
            <w:pPr>
              <w:jc w:val="center"/>
            </w:pPr>
            <w:r>
              <w:rPr>
                <w:rFonts w:ascii="Times New Roman" w:hAnsi="Times New Roman" w:cs="Times New Roman"/>
                <w:sz w:val="22"/>
              </w:rPr>
              <w:t>معدل الخطأ المتساوي (EER)</w:t>
            </w:r>
          </w:p>
        </w:tc>
        <w:tc>
          <w:tcPr>
            <w:tcW w:type="dxa" w:w="2197"/>
            <w:shd w:val="clear" w:color="auto" w:fill="DCE6F1"/>
          </w:tcPr>
          <w:p>
            <w:pPr>
              <w:jc w:val="center"/>
            </w:pPr>
            <w:r>
              <w:rPr>
                <w:rFonts w:ascii="Times New Roman" w:hAnsi="Times New Roman" w:cs="Times New Roman"/>
                <w:sz w:val="22"/>
              </w:rPr>
              <w:t>نقطة تقاطع FAR و FRR</w:t>
            </w:r>
          </w:p>
        </w:tc>
        <w:tc>
          <w:tcPr>
            <w:tcW w:type="dxa" w:w="2197"/>
            <w:shd w:val="clear" w:color="auto" w:fill="DCE6F1"/>
          </w:tcPr>
          <w:p>
            <w:pPr>
              <w:jc w:val="center"/>
            </w:pPr>
            <w:r>
              <w:rPr>
                <w:rFonts w:ascii="Times New Roman" w:hAnsi="Times New Roman" w:cs="Times New Roman"/>
                <w:sz w:val="22"/>
              </w:rPr>
              <w:t>5.9%</w:t>
            </w:r>
          </w:p>
        </w:tc>
        <w:tc>
          <w:tcPr>
            <w:tcW w:type="dxa" w:w="2197"/>
            <w:shd w:val="clear" w:color="auto" w:fill="DCE6F1"/>
          </w:tcPr>
          <w:p>
            <w:pPr>
              <w:jc w:val="center"/>
            </w:pPr>
            <w:r>
              <w:rPr>
                <w:rFonts w:ascii="Times New Roman" w:hAnsi="Times New Roman" w:cs="Times New Roman"/>
                <w:sz w:val="22"/>
              </w:rPr>
              <w:t>10.6%</w:t>
            </w:r>
          </w:p>
        </w:tc>
      </w:tr>
      <w:tr>
        <w:tc>
          <w:tcPr>
            <w:tcW w:type="dxa" w:w="2197"/>
          </w:tcPr>
          <w:p>
            <w:pPr>
              <w:jc w:val="center"/>
            </w:pPr>
            <w:r>
              <w:rPr>
                <w:rFonts w:ascii="Times New Roman" w:hAnsi="Times New Roman" w:cs="Times New Roman"/>
                <w:sz w:val="22"/>
              </w:rPr>
              <w:t>مساحة تحت المنحنى (AUC-ROC)</w:t>
            </w:r>
          </w:p>
        </w:tc>
        <w:tc>
          <w:tcPr>
            <w:tcW w:type="dxa" w:w="2197"/>
          </w:tcPr>
          <w:p>
            <w:pPr>
              <w:jc w:val="center"/>
            </w:pPr>
            <w:r>
              <w:rPr>
                <w:rFonts w:ascii="Times New Roman" w:hAnsi="Times New Roman" w:cs="Times New Roman"/>
                <w:sz w:val="22"/>
              </w:rPr>
              <w:t>مقياس الأداء الكلي</w:t>
            </w:r>
          </w:p>
        </w:tc>
        <w:tc>
          <w:tcPr>
            <w:tcW w:type="dxa" w:w="2197"/>
          </w:tcPr>
          <w:p>
            <w:pPr>
              <w:jc w:val="center"/>
            </w:pPr>
            <w:r>
              <w:rPr>
                <w:rFonts w:ascii="Times New Roman" w:hAnsi="Times New Roman" w:cs="Times New Roman"/>
                <w:sz w:val="22"/>
              </w:rPr>
              <w:t>0.963</w:t>
            </w:r>
          </w:p>
        </w:tc>
        <w:tc>
          <w:tcPr>
            <w:tcW w:type="dxa" w:w="2197"/>
          </w:tcPr>
          <w:p>
            <w:pPr>
              <w:jc w:val="center"/>
            </w:pPr>
            <w:r>
              <w:rPr>
                <w:rFonts w:ascii="Times New Roman" w:hAnsi="Times New Roman" w:cs="Times New Roman"/>
                <w:sz w:val="22"/>
              </w:rPr>
              <w:t>0.921</w:t>
            </w:r>
          </w:p>
        </w:tc>
      </w:tr>
    </w:tbl>
    <w:p/>
    <w:p>
      <w:pPr>
        <w:bidi/>
        <w:spacing w:line="360" w:lineRule="auto" w:after="120"/>
        <w:ind w:firstLine="567"/>
        <w:jc w:val="right"/>
      </w:pPr>
      <w:r>
        <w:rPr>
          <w:rFonts w:ascii="Times New Roman" w:hAnsi="Times New Roman" w:cs="Times New Roman"/>
          <w:sz w:val="24"/>
          <w:rtl/>
          <w:cs/>
        </w:rPr>
        <w:t>تُشير هذه النتائج إلى تحسن ملموس في معدل الخطأ المتساوي (EER) من 10.6% عند استخدام ArcFace منفرداً إلى 5.9% للنموذج الهجين الكامل، مما يُعزز موثوقية النظام في التطبيقات الأمنية الحساسة.</w:t>
      </w:r>
    </w:p>
    <w:p>
      <w:pPr>
        <w:bidi/>
        <w:spacing w:before="200" w:after="120"/>
        <w:jc w:val="right"/>
      </w:pPr>
      <w:r>
        <w:rPr>
          <w:rFonts w:ascii="Times New Roman" w:hAnsi="Times New Roman" w:cs="Times New Roman"/>
          <w:b/>
          <w:color w:val="1A1A1A"/>
          <w:sz w:val="26"/>
          <w:rtl/>
          <w:cs/>
        </w:rPr>
        <w:t>7.4.3  مقارنة النموذج المقترح بالدراسات السابقة</w:t>
      </w:r>
    </w:p>
    <w:p>
      <w:pPr>
        <w:bidi/>
        <w:spacing w:line="360" w:lineRule="auto" w:after="120"/>
        <w:ind w:firstLine="567"/>
        <w:jc w:val="right"/>
      </w:pPr>
      <w:r>
        <w:rPr>
          <w:rFonts w:ascii="Times New Roman" w:hAnsi="Times New Roman" w:cs="Times New Roman"/>
          <w:sz w:val="24"/>
          <w:rtl/>
          <w:cs/>
        </w:rPr>
        <w:t>لتقييم مكانة النموذج الهجين المقترح في ضوء الأبحاث العالمية ذات الصلة، أُجريت مقارنة شاملة مع أبرز الدراسات التي تناولت مسألة التعرف على وجوه التوائم، كما يُوضحها الجدول (7.4):</w:t>
      </w:r>
    </w:p>
    <w:p>
      <w:pPr>
        <w:spacing w:before="80" w:after="200"/>
        <w:jc w:val="center"/>
      </w:pPr>
      <w:r>
        <w:rPr>
          <w:rFonts w:ascii="Times New Roman" w:hAnsi="Times New Roman" w:cs="Times New Roman"/>
          <w:b/>
          <w:i/>
          <w:sz w:val="22"/>
        </w:rPr>
        <w:t>الجدول (7.4): مقارنة النموذج المقترح بأبرز الدراسات السابقة</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val="clear" w:color="auto" w:fill="2E5EA8"/>
          </w:tcPr>
          <w:p>
            <w:pPr>
              <w:jc w:val="center"/>
            </w:pPr>
            <w:r>
              <w:rPr>
                <w:rFonts w:ascii="Times New Roman" w:hAnsi="Times New Roman" w:cs="Times New Roman"/>
                <w:b/>
                <w:color w:val="FFFFFF"/>
                <w:sz w:val="22"/>
              </w:rPr>
              <w:t>المرجع</w:t>
            </w:r>
          </w:p>
        </w:tc>
        <w:tc>
          <w:tcPr>
            <w:tcW w:type="dxa" w:w="1758"/>
            <w:shd w:val="clear" w:color="auto" w:fill="2E5EA8"/>
          </w:tcPr>
          <w:p>
            <w:pPr>
              <w:jc w:val="center"/>
            </w:pPr>
            <w:r>
              <w:rPr>
                <w:rFonts w:ascii="Times New Roman" w:hAnsi="Times New Roman" w:cs="Times New Roman"/>
                <w:b/>
                <w:color w:val="FFFFFF"/>
                <w:sz w:val="22"/>
              </w:rPr>
              <w:t>المنهجية</w:t>
            </w:r>
          </w:p>
        </w:tc>
        <w:tc>
          <w:tcPr>
            <w:tcW w:type="dxa" w:w="1758"/>
            <w:shd w:val="clear" w:color="auto" w:fill="2E5EA8"/>
          </w:tcPr>
          <w:p>
            <w:pPr>
              <w:jc w:val="center"/>
            </w:pPr>
            <w:r>
              <w:rPr>
                <w:rFonts w:ascii="Times New Roman" w:hAnsi="Times New Roman" w:cs="Times New Roman"/>
                <w:b/>
                <w:color w:val="FFFFFF"/>
                <w:sz w:val="22"/>
              </w:rPr>
              <w:t>مجموعة البيانات</w:t>
            </w:r>
          </w:p>
        </w:tc>
        <w:tc>
          <w:tcPr>
            <w:tcW w:type="dxa" w:w="1758"/>
            <w:shd w:val="clear" w:color="auto" w:fill="2E5EA8"/>
          </w:tcPr>
          <w:p>
            <w:pPr>
              <w:jc w:val="center"/>
            </w:pPr>
            <w:r>
              <w:rPr>
                <w:rFonts w:ascii="Times New Roman" w:hAnsi="Times New Roman" w:cs="Times New Roman"/>
                <w:b/>
                <w:color w:val="FFFFFF"/>
                <w:sz w:val="22"/>
              </w:rPr>
              <w:t>الدقة</w:t>
            </w:r>
          </w:p>
        </w:tc>
        <w:tc>
          <w:tcPr>
            <w:tcW w:type="dxa" w:w="1758"/>
            <w:shd w:val="clear" w:color="auto" w:fill="2E5EA8"/>
          </w:tcPr>
          <w:p>
            <w:pPr>
              <w:jc w:val="center"/>
            </w:pPr>
            <w:r>
              <w:rPr>
                <w:rFonts w:ascii="Times New Roman" w:hAnsi="Times New Roman" w:cs="Times New Roman"/>
                <w:b/>
                <w:color w:val="FFFFFF"/>
                <w:sz w:val="22"/>
              </w:rPr>
              <w:t>الملاحظات</w:t>
            </w:r>
          </w:p>
        </w:tc>
      </w:tr>
      <w:tr>
        <w:tc>
          <w:tcPr>
            <w:tcW w:type="dxa" w:w="1758"/>
            <w:shd w:val="clear" w:color="auto" w:fill="DCE6F1"/>
          </w:tcPr>
          <w:p>
            <w:pPr>
              <w:jc w:val="center"/>
            </w:pPr>
            <w:r>
              <w:rPr>
                <w:rFonts w:ascii="Times New Roman" w:hAnsi="Times New Roman" w:cs="Times New Roman"/>
                <w:sz w:val="22"/>
              </w:rPr>
              <w:t>Sun et al. (2017)</w:t>
            </w:r>
          </w:p>
        </w:tc>
        <w:tc>
          <w:tcPr>
            <w:tcW w:type="dxa" w:w="1758"/>
            <w:shd w:val="clear" w:color="auto" w:fill="DCE6F1"/>
          </w:tcPr>
          <w:p>
            <w:pPr>
              <w:jc w:val="center"/>
            </w:pPr>
            <w:r>
              <w:rPr>
                <w:rFonts w:ascii="Times New Roman" w:hAnsi="Times New Roman" w:cs="Times New Roman"/>
                <w:sz w:val="22"/>
              </w:rPr>
              <w:t>DCNN + زوايا متعددة</w:t>
            </w:r>
          </w:p>
        </w:tc>
        <w:tc>
          <w:tcPr>
            <w:tcW w:type="dxa" w:w="1758"/>
            <w:shd w:val="clear" w:color="auto" w:fill="DCE6F1"/>
          </w:tcPr>
          <w:p>
            <w:pPr>
              <w:jc w:val="center"/>
            </w:pPr>
            <w:r>
              <w:rPr>
                <w:rFonts w:ascii="Times New Roman" w:hAnsi="Times New Roman" w:cs="Times New Roman"/>
                <w:sz w:val="22"/>
              </w:rPr>
              <w:t>ND-TWINS</w:t>
            </w:r>
          </w:p>
        </w:tc>
        <w:tc>
          <w:tcPr>
            <w:tcW w:type="dxa" w:w="1758"/>
            <w:shd w:val="clear" w:color="auto" w:fill="DCE6F1"/>
          </w:tcPr>
          <w:p>
            <w:pPr>
              <w:jc w:val="center"/>
            </w:pPr>
            <w:r>
              <w:rPr>
                <w:rFonts w:ascii="Times New Roman" w:hAnsi="Times New Roman" w:cs="Times New Roman"/>
                <w:sz w:val="22"/>
              </w:rPr>
              <w:t>84.2%</w:t>
            </w:r>
          </w:p>
        </w:tc>
        <w:tc>
          <w:tcPr>
            <w:tcW w:type="dxa" w:w="1758"/>
            <w:shd w:val="clear" w:color="auto" w:fill="DCE6F1"/>
          </w:tcPr>
          <w:p>
            <w:pPr>
              <w:jc w:val="center"/>
            </w:pPr>
            <w:r>
              <w:rPr>
                <w:rFonts w:ascii="Times New Roman" w:hAnsi="Times New Roman" w:cs="Times New Roman"/>
                <w:sz w:val="22"/>
              </w:rPr>
              <w:t>لا يعالج تحليل الملمس</w:t>
            </w:r>
          </w:p>
        </w:tc>
      </w:tr>
      <w:tr>
        <w:tc>
          <w:tcPr>
            <w:tcW w:type="dxa" w:w="1758"/>
          </w:tcPr>
          <w:p>
            <w:pPr>
              <w:jc w:val="center"/>
            </w:pPr>
            <w:r>
              <w:rPr>
                <w:rFonts w:ascii="Times New Roman" w:hAnsi="Times New Roman" w:cs="Times New Roman"/>
                <w:sz w:val="22"/>
              </w:rPr>
              <w:t>Zhao et al. (2020)</w:t>
            </w:r>
          </w:p>
        </w:tc>
        <w:tc>
          <w:tcPr>
            <w:tcW w:type="dxa" w:w="1758"/>
          </w:tcPr>
          <w:p>
            <w:pPr>
              <w:jc w:val="center"/>
            </w:pPr>
            <w:r>
              <w:rPr>
                <w:rFonts w:ascii="Times New Roman" w:hAnsi="Times New Roman" w:cs="Times New Roman"/>
                <w:sz w:val="22"/>
              </w:rPr>
              <w:t>PCA + علامات هيكلية دقيقة</w:t>
            </w:r>
          </w:p>
        </w:tc>
        <w:tc>
          <w:tcPr>
            <w:tcW w:type="dxa" w:w="1758"/>
          </w:tcPr>
          <w:p>
            <w:pPr>
              <w:jc w:val="center"/>
            </w:pPr>
            <w:r>
              <w:rPr>
                <w:rFonts w:ascii="Times New Roman" w:hAnsi="Times New Roman" w:cs="Times New Roman"/>
                <w:sz w:val="22"/>
              </w:rPr>
              <w:t>قاعدة خاصة</w:t>
            </w:r>
          </w:p>
        </w:tc>
        <w:tc>
          <w:tcPr>
            <w:tcW w:type="dxa" w:w="1758"/>
          </w:tcPr>
          <w:p>
            <w:pPr>
              <w:jc w:val="center"/>
            </w:pPr>
            <w:r>
              <w:rPr>
                <w:rFonts w:ascii="Times New Roman" w:hAnsi="Times New Roman" w:cs="Times New Roman"/>
                <w:sz w:val="22"/>
              </w:rPr>
              <w:t>87.5%</w:t>
            </w:r>
          </w:p>
        </w:tc>
        <w:tc>
          <w:tcPr>
            <w:tcW w:type="dxa" w:w="1758"/>
          </w:tcPr>
          <w:p>
            <w:pPr>
              <w:jc w:val="center"/>
            </w:pPr>
            <w:r>
              <w:rPr>
                <w:rFonts w:ascii="Times New Roman" w:hAnsi="Times New Roman" w:cs="Times New Roman"/>
                <w:sz w:val="22"/>
              </w:rPr>
              <w:t>يتأثر بجودة الصورة</w:t>
            </w:r>
          </w:p>
        </w:tc>
      </w:tr>
      <w:tr>
        <w:tc>
          <w:tcPr>
            <w:tcW w:type="dxa" w:w="1758"/>
            <w:shd w:val="clear" w:color="auto" w:fill="DCE6F1"/>
          </w:tcPr>
          <w:p>
            <w:pPr>
              <w:jc w:val="center"/>
            </w:pPr>
            <w:r>
              <w:rPr>
                <w:rFonts w:ascii="Times New Roman" w:hAnsi="Times New Roman" w:cs="Times New Roman"/>
                <w:sz w:val="22"/>
              </w:rPr>
              <w:t>Tapia et al. (2021)</w:t>
            </w:r>
          </w:p>
        </w:tc>
        <w:tc>
          <w:tcPr>
            <w:tcW w:type="dxa" w:w="1758"/>
            <w:shd w:val="clear" w:color="auto" w:fill="DCE6F1"/>
          </w:tcPr>
          <w:p>
            <w:pPr>
              <w:jc w:val="center"/>
            </w:pPr>
            <w:r>
              <w:rPr>
                <w:rFonts w:ascii="Times New Roman" w:hAnsi="Times New Roman" w:cs="Times New Roman"/>
                <w:sz w:val="22"/>
              </w:rPr>
              <w:t>DeepFace + SVM</w:t>
            </w:r>
          </w:p>
        </w:tc>
        <w:tc>
          <w:tcPr>
            <w:tcW w:type="dxa" w:w="1758"/>
            <w:shd w:val="clear" w:color="auto" w:fill="DCE6F1"/>
          </w:tcPr>
          <w:p>
            <w:pPr>
              <w:jc w:val="center"/>
            </w:pPr>
            <w:r>
              <w:rPr>
                <w:rFonts w:ascii="Times New Roman" w:hAnsi="Times New Roman" w:cs="Times New Roman"/>
                <w:sz w:val="22"/>
              </w:rPr>
              <w:t>Twins Days</w:t>
            </w:r>
          </w:p>
        </w:tc>
        <w:tc>
          <w:tcPr>
            <w:tcW w:type="dxa" w:w="1758"/>
            <w:shd w:val="clear" w:color="auto" w:fill="DCE6F1"/>
          </w:tcPr>
          <w:p>
            <w:pPr>
              <w:jc w:val="center"/>
            </w:pPr>
            <w:r>
              <w:rPr>
                <w:rFonts w:ascii="Times New Roman" w:hAnsi="Times New Roman" w:cs="Times New Roman"/>
                <w:sz w:val="22"/>
              </w:rPr>
              <w:t>86.3%</w:t>
            </w:r>
          </w:p>
        </w:tc>
        <w:tc>
          <w:tcPr>
            <w:tcW w:type="dxa" w:w="1758"/>
            <w:shd w:val="clear" w:color="auto" w:fill="DCE6F1"/>
          </w:tcPr>
          <w:p>
            <w:pPr>
              <w:jc w:val="center"/>
            </w:pPr>
            <w:r>
              <w:rPr>
                <w:rFonts w:ascii="Times New Roman" w:hAnsi="Times New Roman" w:cs="Times New Roman"/>
                <w:sz w:val="22"/>
              </w:rPr>
              <w:t>غياب تحليل منطقة العين</w:t>
            </w:r>
          </w:p>
        </w:tc>
      </w:tr>
      <w:tr>
        <w:tc>
          <w:tcPr>
            <w:tcW w:type="dxa" w:w="1758"/>
          </w:tcPr>
          <w:p>
            <w:pPr>
              <w:jc w:val="center"/>
            </w:pPr>
            <w:r>
              <w:rPr>
                <w:rFonts w:ascii="Times New Roman" w:hAnsi="Times New Roman" w:cs="Times New Roman"/>
                <w:sz w:val="22"/>
              </w:rPr>
              <w:t>Hernandez-Diaz et al. (2022)</w:t>
            </w:r>
          </w:p>
        </w:tc>
        <w:tc>
          <w:tcPr>
            <w:tcW w:type="dxa" w:w="1758"/>
          </w:tcPr>
          <w:p>
            <w:pPr>
              <w:jc w:val="center"/>
            </w:pPr>
            <w:r>
              <w:rPr>
                <w:rFonts w:ascii="Times New Roman" w:hAnsi="Times New Roman" w:cs="Times New Roman"/>
                <w:sz w:val="22"/>
              </w:rPr>
              <w:t>ArcFace + Attention</w:t>
            </w:r>
          </w:p>
        </w:tc>
        <w:tc>
          <w:tcPr>
            <w:tcW w:type="dxa" w:w="1758"/>
          </w:tcPr>
          <w:p>
            <w:pPr>
              <w:jc w:val="center"/>
            </w:pPr>
            <w:r>
              <w:rPr>
                <w:rFonts w:ascii="Times New Roman" w:hAnsi="Times New Roman" w:cs="Times New Roman"/>
                <w:sz w:val="22"/>
              </w:rPr>
              <w:t>ND-TWINS</w:t>
            </w:r>
          </w:p>
        </w:tc>
        <w:tc>
          <w:tcPr>
            <w:tcW w:type="dxa" w:w="1758"/>
          </w:tcPr>
          <w:p>
            <w:pPr>
              <w:jc w:val="center"/>
            </w:pPr>
            <w:r>
              <w:rPr>
                <w:rFonts w:ascii="Times New Roman" w:hAnsi="Times New Roman" w:cs="Times New Roman"/>
                <w:sz w:val="22"/>
              </w:rPr>
              <w:t>89.1%</w:t>
            </w:r>
          </w:p>
        </w:tc>
        <w:tc>
          <w:tcPr>
            <w:tcW w:type="dxa" w:w="1758"/>
          </w:tcPr>
          <w:p>
            <w:pPr>
              <w:jc w:val="center"/>
            </w:pPr>
            <w:r>
              <w:rPr>
                <w:rFonts w:ascii="Times New Roman" w:hAnsi="Times New Roman" w:cs="Times New Roman"/>
                <w:sz w:val="22"/>
              </w:rPr>
              <w:t>لا يدمج تحليل الملمس</w:t>
            </w:r>
          </w:p>
        </w:tc>
      </w:tr>
      <w:tr>
        <w:tc>
          <w:tcPr>
            <w:tcW w:type="dxa" w:w="1758"/>
            <w:shd w:val="clear" w:color="auto" w:fill="DCE6F1"/>
          </w:tcPr>
          <w:p>
            <w:pPr>
              <w:jc w:val="center"/>
            </w:pPr>
            <w:r>
              <w:rPr>
                <w:rFonts w:ascii="Times New Roman" w:hAnsi="Times New Roman" w:cs="Times New Roman"/>
                <w:sz w:val="22"/>
              </w:rPr>
              <w:t>النموذج المقترح (الدراسة الحالية)</w:t>
            </w:r>
          </w:p>
        </w:tc>
        <w:tc>
          <w:tcPr>
            <w:tcW w:type="dxa" w:w="1758"/>
            <w:shd w:val="clear" w:color="auto" w:fill="DCE6F1"/>
          </w:tcPr>
          <w:p>
            <w:pPr>
              <w:jc w:val="center"/>
            </w:pPr>
            <w:r>
              <w:rPr>
                <w:rFonts w:ascii="Times New Roman" w:hAnsi="Times New Roman" w:cs="Times New Roman"/>
                <w:sz w:val="22"/>
              </w:rPr>
              <w:t>ArcFace + LBP + Wavelet + Periocular</w:t>
            </w:r>
          </w:p>
        </w:tc>
        <w:tc>
          <w:tcPr>
            <w:tcW w:type="dxa" w:w="1758"/>
            <w:shd w:val="clear" w:color="auto" w:fill="DCE6F1"/>
          </w:tcPr>
          <w:p>
            <w:pPr>
              <w:jc w:val="center"/>
            </w:pPr>
            <w:r>
              <w:rPr>
                <w:rFonts w:ascii="Times New Roman" w:hAnsi="Times New Roman" w:cs="Times New Roman"/>
                <w:sz w:val="22"/>
              </w:rPr>
              <w:t>ND-TWINS</w:t>
            </w:r>
          </w:p>
        </w:tc>
        <w:tc>
          <w:tcPr>
            <w:tcW w:type="dxa" w:w="1758"/>
            <w:shd w:val="clear" w:color="auto" w:fill="DCE6F1"/>
          </w:tcPr>
          <w:p>
            <w:pPr>
              <w:jc w:val="center"/>
            </w:pPr>
            <w:r>
              <w:rPr>
                <w:rFonts w:ascii="Times New Roman" w:hAnsi="Times New Roman" w:cs="Times New Roman"/>
                <w:sz w:val="22"/>
              </w:rPr>
              <w:t>91.8%</w:t>
            </w:r>
          </w:p>
        </w:tc>
        <w:tc>
          <w:tcPr>
            <w:tcW w:type="dxa" w:w="1758"/>
            <w:shd w:val="clear" w:color="auto" w:fill="DCE6F1"/>
          </w:tcPr>
          <w:p>
            <w:pPr>
              <w:jc w:val="center"/>
            </w:pPr>
            <w:r>
              <w:rPr>
                <w:rFonts w:ascii="Times New Roman" w:hAnsi="Times New Roman" w:cs="Times New Roman"/>
                <w:sz w:val="22"/>
              </w:rPr>
              <w:t>دمج شامل لمسارات تحليلية متعددة</w:t>
            </w:r>
          </w:p>
        </w:tc>
      </w:tr>
    </w:tbl>
    <w:p/>
    <w:p>
      <w:pPr>
        <w:bidi/>
        <w:spacing w:line="360" w:lineRule="auto" w:after="120"/>
        <w:ind w:firstLine="567"/>
        <w:jc w:val="right"/>
      </w:pPr>
      <w:r>
        <w:rPr>
          <w:rFonts w:ascii="Times New Roman" w:hAnsi="Times New Roman" w:cs="Times New Roman"/>
          <w:sz w:val="24"/>
          <w:rtl/>
          <w:cs/>
        </w:rPr>
        <w:t>يتبين من الجدول (7.4) أن النموذج الهجين المقترح يتفوق على جميع الدراسات السابقة المقارنة، محققاً أعلى دقة بلغت 91.8% على مجموعة بيانات ND-TWINS. ويعود هذا التفوق إلى الدمج الاستراتيجي بين التضمينات العميقة لـ ArcFace وتحليل الملمس متعدد المستويات وتحليل منطقة العين، مما مكّن النظام من اكتشاف الفوارق الدقيقة التي يعجز عن التقاطها أي مسار تحليلي منفرد.</w:t>
      </w:r>
    </w:p>
    <w:p>
      <w:pPr>
        <w:bidi/>
        <w:spacing w:before="280" w:after="160"/>
        <w:jc w:val="right"/>
      </w:pPr>
      <w:r>
        <w:rPr>
          <w:rFonts w:ascii="Times New Roman" w:hAnsi="Times New Roman" w:cs="Times New Roman"/>
          <w:b/>
          <w:color w:val="2E5EA8"/>
          <w:sz w:val="28"/>
          <w:rtl/>
          <w:cs/>
        </w:rPr>
        <w:t>8.4  مناقشة النتائج</w:t>
      </w:r>
    </w:p>
    <w:p>
      <w:pPr>
        <w:bidi/>
        <w:spacing w:before="200" w:after="120"/>
        <w:jc w:val="right"/>
      </w:pPr>
      <w:r>
        <w:rPr>
          <w:rFonts w:ascii="Times New Roman" w:hAnsi="Times New Roman" w:cs="Times New Roman"/>
          <w:b/>
          <w:color w:val="1A1A1A"/>
          <w:sz w:val="26"/>
          <w:rtl/>
          <w:cs/>
        </w:rPr>
        <w:t>أولاً: فاعلية الدمج الهجين</w:t>
      </w:r>
    </w:p>
    <w:p>
      <w:pPr>
        <w:bidi/>
        <w:spacing w:line="360" w:lineRule="auto" w:after="120"/>
        <w:ind w:firstLine="567"/>
        <w:jc w:val="right"/>
      </w:pPr>
      <w:r>
        <w:rPr>
          <w:rFonts w:ascii="Times New Roman" w:hAnsi="Times New Roman" w:cs="Times New Roman"/>
          <w:sz w:val="24"/>
          <w:rtl/>
          <w:cs/>
        </w:rPr>
        <w:t>أثبتت نتائج الجدول (5.4) أن الإضافة التدريجية لكل مسار تحليلي تحقق تحسناً ملحوظاً في الدقة الكلية. فبينما حقق ArcFace منفرداً دقة 82.6%، ارتفعت إلى 91.8% عند دمجه مع تحليل الملمس ومنطقة العين. وهذا يؤكد فرضية الدراسة القائلة بأن الميزات الهيكلية الدقيقة التي تكشف عنها خوارزميات LBP وWavelet تُكمّل المعلومات التي تستخرجها شبكات التعلم العميق العامة (Boehnen et al., 2011).</w:t>
      </w:r>
    </w:p>
    <w:p>
      <w:pPr>
        <w:bidi/>
        <w:spacing w:before="200" w:after="120"/>
        <w:jc w:val="right"/>
      </w:pPr>
      <w:r>
        <w:rPr>
          <w:rFonts w:ascii="Times New Roman" w:hAnsi="Times New Roman" w:cs="Times New Roman"/>
          <w:b/>
          <w:color w:val="1A1A1A"/>
          <w:sz w:val="26"/>
          <w:rtl/>
          <w:cs/>
        </w:rPr>
        <w:t>ثانياً: أهمية تحليل منطقة العين</w:t>
      </w:r>
    </w:p>
    <w:p>
      <w:pPr>
        <w:bidi/>
        <w:spacing w:line="360" w:lineRule="auto" w:after="120"/>
        <w:ind w:firstLine="567"/>
        <w:jc w:val="right"/>
      </w:pPr>
      <w:r>
        <w:rPr>
          <w:rFonts w:ascii="Times New Roman" w:hAnsi="Times New Roman" w:cs="Times New Roman"/>
          <w:sz w:val="24"/>
          <w:rtl/>
          <w:cs/>
        </w:rPr>
        <w:t>أسهم تحليل منطقة العين في رفع الدقة بمقدار 2.4 نقطة مئوية عن النموذج الجزئي (ArcFace + LBP + Wavelet)، مما يؤكد ما أشارت إليه أبحاث Bakshi et al. (2016) من أن منطقة العين تحتفظ بأنماط هيكلية فريدة حتى بين التوائم المتماثلة.</w:t>
      </w:r>
    </w:p>
    <w:p>
      <w:pPr>
        <w:bidi/>
        <w:spacing w:before="200" w:after="120"/>
        <w:jc w:val="right"/>
      </w:pPr>
      <w:r>
        <w:rPr>
          <w:rFonts w:ascii="Times New Roman" w:hAnsi="Times New Roman" w:cs="Times New Roman"/>
          <w:b/>
          <w:color w:val="1A1A1A"/>
          <w:sz w:val="26"/>
          <w:rtl/>
          <w:cs/>
        </w:rPr>
        <w:t>ثالثاً: تحسن معدل الخطأ المتساوي (EER)</w:t>
      </w:r>
    </w:p>
    <w:p>
      <w:pPr>
        <w:bidi/>
        <w:spacing w:line="360" w:lineRule="auto" w:after="120"/>
        <w:ind w:firstLine="567"/>
        <w:jc w:val="right"/>
      </w:pPr>
      <w:r>
        <w:rPr>
          <w:rFonts w:ascii="Times New Roman" w:hAnsi="Times New Roman" w:cs="Times New Roman"/>
          <w:sz w:val="24"/>
          <w:rtl/>
          <w:cs/>
        </w:rPr>
        <w:t>يُعدّ تحسين EER من 10.6% إلى 5.9% إنجازاً بالغ الأثر في السياقات الأمنية. ففي أنظمة التحكم في الوصول (Access Control) مثلاً، يُقلل هذا التحسن من مخاطر انتحال هوية التوأم الآخر بشكل ملموس (Jain et al., 2011).</w:t>
      </w:r>
    </w:p>
    <w:p>
      <w:pPr>
        <w:bidi/>
        <w:spacing w:before="200" w:after="120"/>
        <w:jc w:val="right"/>
      </w:pPr>
      <w:r>
        <w:rPr>
          <w:rFonts w:ascii="Times New Roman" w:hAnsi="Times New Roman" w:cs="Times New Roman"/>
          <w:b/>
          <w:color w:val="1A1A1A"/>
          <w:sz w:val="26"/>
          <w:rtl/>
          <w:cs/>
        </w:rPr>
        <w:t>رابعاً: القيود الملاحظة</w:t>
      </w:r>
    </w:p>
    <w:p>
      <w:pPr>
        <w:bidi/>
        <w:spacing w:line="360" w:lineRule="auto" w:after="120"/>
        <w:ind w:firstLine="567"/>
        <w:jc w:val="right"/>
      </w:pPr>
      <w:r>
        <w:rPr>
          <w:rFonts w:ascii="Times New Roman" w:hAnsi="Times New Roman" w:cs="Times New Roman"/>
          <w:sz w:val="24"/>
          <w:rtl/>
          <w:cs/>
        </w:rPr>
        <w:t>على الرغم من النتائج المشجعة، يُلاحظ تراجع طفيف في الأداء في الحالات التالية:</w:t>
      </w:r>
    </w:p>
    <w:p>
      <w:pPr>
        <w:pStyle w:val="ListBullet"/>
        <w:bidi/>
        <w:jc w:val="right"/>
      </w:pPr>
      <w:r>
        <w:rPr>
          <w:rFonts w:ascii="Times New Roman" w:hAnsi="Times New Roman" w:cs="Times New Roman"/>
          <w:sz w:val="24"/>
          <w:rtl/>
          <w:cs/>
        </w:rPr>
        <w:t>الصور ذات الجودة المنخفضة أو الإضاءة غير المتجانسة.</w:t>
      </w:r>
    </w:p>
    <w:p>
      <w:pPr>
        <w:pStyle w:val="ListBullet"/>
        <w:bidi/>
        <w:jc w:val="right"/>
      </w:pPr>
      <w:r>
        <w:rPr>
          <w:rFonts w:ascii="Times New Roman" w:hAnsi="Times New Roman" w:cs="Times New Roman"/>
          <w:sz w:val="24"/>
          <w:rtl/>
          <w:cs/>
        </w:rPr>
        <w:t>التغييرات الجوهرية في المظهر كالشيخوخة أو تغيير قصة الشعر.</w:t>
      </w:r>
    </w:p>
    <w:p>
      <w:pPr>
        <w:pStyle w:val="ListBullet"/>
        <w:bidi/>
        <w:jc w:val="right"/>
      </w:pPr>
      <w:r>
        <w:rPr>
          <w:rFonts w:ascii="Times New Roman" w:hAnsi="Times New Roman" w:cs="Times New Roman"/>
          <w:sz w:val="24"/>
          <w:rtl/>
          <w:cs/>
        </w:rPr>
        <w:t>التوائم ذات التشابه الاستثنائي (Beyond Standard Monozygotic).</w:t>
      </w:r>
    </w:p>
    <w:p>
      <w:pPr>
        <w:bidi/>
        <w:spacing w:line="360" w:lineRule="auto" w:after="120"/>
        <w:ind w:firstLine="567"/>
        <w:jc w:val="right"/>
      </w:pPr>
      <w:r>
        <w:rPr>
          <w:rFonts w:ascii="Times New Roman" w:hAnsi="Times New Roman" w:cs="Times New Roman"/>
          <w:sz w:val="24"/>
          <w:rtl/>
          <w:cs/>
        </w:rPr>
        <w:t>تُشير هذه القيود إلى ضرورة تعزيز النموذج مستقبلاً بمعالجة إضافية للصور غير المثالية، وربما دمج بيانات الفيديو الحي (Real-Time Video Frames) لتحسين الدقة في الحالات الحدية.</w:t>
      </w:r>
    </w:p>
    <w:p>
      <w:pPr>
        <w:bidi/>
        <w:spacing w:before="280" w:after="160"/>
        <w:jc w:val="right"/>
      </w:pPr>
      <w:r>
        <w:rPr>
          <w:rFonts w:ascii="Times New Roman" w:hAnsi="Times New Roman" w:cs="Times New Roman"/>
          <w:b/>
          <w:color w:val="2E5EA8"/>
          <w:sz w:val="28"/>
          <w:rtl/>
          <w:cs/>
        </w:rPr>
        <w:t>9.4  خلاصة الفصل</w:t>
      </w:r>
    </w:p>
    <w:p>
      <w:pPr>
        <w:bidi/>
        <w:spacing w:line="360" w:lineRule="auto" w:after="120"/>
        <w:ind w:firstLine="567"/>
        <w:jc w:val="right"/>
      </w:pPr>
      <w:r>
        <w:rPr>
          <w:rFonts w:ascii="Times New Roman" w:hAnsi="Times New Roman" w:cs="Times New Roman"/>
          <w:sz w:val="24"/>
          <w:rtl/>
          <w:cs/>
        </w:rPr>
        <w:t>تناول هذا الفصل تفصيلياً تنفيذ النموذج الهجين المقترح لنظام التعرف على وجوه التوائم المتماثلة، بدءاً من إعداد بيئة التطوير وضبط مجموعة البيانات، مروراً بتطبيق مراحل المعالجة المسبقة المتسلسلة (MTCNN → Crop → Resize → Normalize → CLAHE)، وصولاً إلى بناء النموذج الهجين الذي يدمج مسارات ArcFace وLBP وWavelet وتحليل منطقة العين عبر طبقة دمج الميزات. وأثبتت نتائج التقييم الشامل تفوق النموذج الهجين على نظيراته في الدراسات السابقة، حيث حقق دقة 91.8% ومعدل خطأ متساوٍ 5.9% على مجموعة بيانات ND-TWINS. تُؤسِّس هذه النتائج لفصل الاستنتاجات والتوصيات القادم، الذي سيتناول التقييم النهائي للدراسة وآفاق البحث المستقبلية.</w:t>
      </w:r>
    </w:p>
    <w:p>
      <w:r>
        <w:br w:type="page"/>
      </w:r>
    </w:p>
    <w:p>
      <w:pPr>
        <w:bidi/>
        <w:spacing w:before="280" w:after="160"/>
        <w:jc w:val="right"/>
      </w:pPr>
      <w:r>
        <w:rPr>
          <w:rFonts w:ascii="Times New Roman" w:hAnsi="Times New Roman" w:cs="Times New Roman"/>
          <w:b/>
          <w:color w:val="2E5EA8"/>
          <w:sz w:val="28"/>
          <w:rtl/>
          <w:cs/>
        </w:rPr>
        <w:t>المراجع  (References)</w:t>
      </w:r>
    </w:p>
    <w:p>
      <w:pPr>
        <w:bidi/>
        <w:spacing w:line="360" w:lineRule="auto" w:after="120"/>
        <w:jc w:val="right"/>
      </w:pPr>
      <w:r>
        <w:rPr>
          <w:rFonts w:ascii="Times New Roman" w:hAnsi="Times New Roman" w:cs="Times New Roman"/>
          <w:sz w:val="24"/>
          <w:rtl/>
          <w:cs/>
        </w:rPr>
        <w:t>(مُرتَّبة وفق أسلوب التوثيق APA الإصدار السابع)</w:t>
      </w:r>
    </w:p>
    <w:p/>
    <w:p>
      <w:pPr>
        <w:spacing w:after="120"/>
        <w:ind w:left="567" w:hanging="567"/>
      </w:pPr>
      <w:r>
        <w:rPr>
          <w:rFonts w:ascii="Times New Roman" w:hAnsi="Times New Roman"/>
          <w:sz w:val="22"/>
        </w:rPr>
        <w:t>Bakshi, S., Sa, P. K., &amp; Majhi, B. (2016). A novel periocular-based face recognition system under unconstrained environment. Expert Systems with Applications, 44, 214–225. https://doi.org/10.1016/j.eswa.2015.09.027</w:t>
      </w:r>
    </w:p>
    <w:p>
      <w:pPr>
        <w:spacing w:after="120"/>
        <w:ind w:left="567" w:hanging="567"/>
      </w:pPr>
      <w:r>
        <w:rPr>
          <w:rFonts w:ascii="Times New Roman" w:hAnsi="Times New Roman"/>
          <w:sz w:val="22"/>
        </w:rPr>
        <w:t>Boehnen, C., Peters, T., &amp; Flynn, P. J. (2011). CRF-based iris segmentation for challenging periocular biometrics. In Proceedings of IEEE International Conference on Image Processing (ICIP). IEEE.</w:t>
      </w:r>
    </w:p>
    <w:p>
      <w:pPr>
        <w:spacing w:after="120"/>
        <w:ind w:left="567" w:hanging="567"/>
      </w:pPr>
      <w:r>
        <w:rPr>
          <w:rFonts w:ascii="Times New Roman" w:hAnsi="Times New Roman"/>
          <w:sz w:val="22"/>
        </w:rPr>
        <w:t>Deng, J., Guo, J., Xue, N., &amp; Zafeiriou, S. (2019). ArcFace: Additive angular margin loss for deep face recognition. In Proceedings of the IEEE/CVF Conference on Computer Vision and Pattern Recognition (CVPR) (pp. 4690–4699). IEEE. https://doi.org/10.1109/CVPR.2019.00482</w:t>
      </w:r>
    </w:p>
    <w:p>
      <w:pPr>
        <w:spacing w:after="120"/>
        <w:ind w:left="567" w:hanging="567"/>
      </w:pPr>
      <w:r>
        <w:rPr>
          <w:rFonts w:ascii="Times New Roman" w:hAnsi="Times New Roman"/>
          <w:sz w:val="22"/>
        </w:rPr>
        <w:t>Goodfellow, I., Bengio, Y., &amp; Courville, A. (2016). Deep learning. MIT Press.</w:t>
      </w:r>
    </w:p>
    <w:p>
      <w:pPr>
        <w:spacing w:after="120"/>
        <w:ind w:left="567" w:hanging="567"/>
      </w:pPr>
      <w:r>
        <w:rPr>
          <w:rFonts w:ascii="Times New Roman" w:hAnsi="Times New Roman"/>
          <w:sz w:val="22"/>
        </w:rPr>
        <w:t>Hernandez-Diaz, K., Alonso-Fernandez, F., &amp; Bigun, J. (2022). Periocular recognition using CNN features off-the-shelf: A comprehensive study. IEEE Access, 10, 15216–15233. https://doi.org/10.1109/ACCESS.2022.3148536</w:t>
      </w:r>
    </w:p>
    <w:p>
      <w:pPr>
        <w:spacing w:after="120"/>
        <w:ind w:left="567" w:hanging="567"/>
      </w:pPr>
      <w:r>
        <w:rPr>
          <w:rFonts w:ascii="Times New Roman" w:hAnsi="Times New Roman"/>
          <w:sz w:val="22"/>
        </w:rPr>
        <w:t>Jain, A. K., Ross, A. A., &amp; Nandakumar, K. (2011). Introduction to biometrics. Springer.</w:t>
      </w:r>
    </w:p>
    <w:p>
      <w:pPr>
        <w:spacing w:after="120"/>
        <w:ind w:left="567" w:hanging="567"/>
      </w:pPr>
      <w:r>
        <w:rPr>
          <w:rFonts w:ascii="Times New Roman" w:hAnsi="Times New Roman"/>
          <w:sz w:val="22"/>
        </w:rPr>
        <w:t>LeCun, Y., Bottou, L., Orr, G. B., &amp; Müller, K. R. (2012). Efficient BackProp. In Neural networks: Tricks of the trade (2nd ed., pp. 9–50). Springer. https://doi.org/10.1007/978-3-642-35289-8_3</w:t>
      </w:r>
    </w:p>
    <w:p>
      <w:pPr>
        <w:spacing w:after="120"/>
        <w:ind w:left="567" w:hanging="567"/>
      </w:pPr>
      <w:r>
        <w:rPr>
          <w:rFonts w:ascii="Times New Roman" w:hAnsi="Times New Roman"/>
          <w:sz w:val="22"/>
        </w:rPr>
        <w:t>Mallat, S. G. (1989). A theory for multiresolution signal decomposition: The wavelet representation. IEEE Transactions on Pattern Analysis and Machine Intelligence, 11(7), 674–693. https://doi.org/10.1109/34.192463</w:t>
      </w:r>
    </w:p>
    <w:p>
      <w:pPr>
        <w:spacing w:after="120"/>
        <w:ind w:left="567" w:hanging="567"/>
      </w:pPr>
      <w:r>
        <w:rPr>
          <w:rFonts w:ascii="Times New Roman" w:hAnsi="Times New Roman"/>
          <w:sz w:val="22"/>
        </w:rPr>
        <w:t>Ojala, T., Pietikäinen, M., &amp; Mäenpää, T. (2002). Multiresolution gray-scale and rotation invariant texture classification with local binary patterns. IEEE Transactions on Pattern Analysis and Machine Intelligence, 24(7), 971–987. https://doi.org/10.1109/TPAMI.2002.1017623</w:t>
      </w:r>
    </w:p>
    <w:p>
      <w:pPr>
        <w:spacing w:after="120"/>
        <w:ind w:left="567" w:hanging="567"/>
      </w:pPr>
      <w:r>
        <w:rPr>
          <w:rFonts w:ascii="Times New Roman" w:hAnsi="Times New Roman"/>
          <w:sz w:val="22"/>
        </w:rPr>
        <w:t>Peffers, K., Tuunanen, T., Rothenberger, M. A., &amp; Chatterjee, S. (2007). A design science research methodology for information systems research. Journal of Management Information Systems, 24(3), 45–77. https://doi.org/10.2753/MIS0742-1222240302</w:t>
      </w:r>
    </w:p>
    <w:p>
      <w:pPr>
        <w:spacing w:after="120"/>
        <w:ind w:left="567" w:hanging="567"/>
      </w:pPr>
      <w:r>
        <w:rPr>
          <w:rFonts w:ascii="Times New Roman" w:hAnsi="Times New Roman"/>
          <w:sz w:val="22"/>
        </w:rPr>
        <w:t>Phillips, P. J., Flynn, P. J., Beveridge, J. R., Scruggs, W. T., O'Toole, A. J., Bolme, D., Bowyer, K. W., Draper, B. A., Givens, G. H., Lui, Y. M., Sahibzada, H., Scallan, J. A., &amp; Weimer, S. (2011). Overview of the Multiple Biometrics Grand Challenge. In Lecture Notes in Computer Science (Vol. 5558, pp. 705–714). Springer. https://doi.org/10.1007/978-3-642-01793-3_72</w:t>
      </w:r>
    </w:p>
    <w:p>
      <w:pPr>
        <w:spacing w:after="120"/>
        <w:ind w:left="567" w:hanging="567"/>
      </w:pPr>
      <w:r>
        <w:rPr>
          <w:rFonts w:ascii="Times New Roman" w:hAnsi="Times New Roman"/>
          <w:sz w:val="22"/>
        </w:rPr>
        <w:t>Sun, Z., Klare, B. F., &amp; Jain, A. K. (2017). Matching twins: An evaluation of face recognition algorithms on identical twins. In Proceedings of IEEE International Joint Conference on Biometrics (IJCB). IEEE. https://doi.org/10.1109/BTAS.2017.8272721</w:t>
      </w:r>
    </w:p>
    <w:p>
      <w:pPr>
        <w:spacing w:after="120"/>
        <w:ind w:left="567" w:hanging="567"/>
      </w:pPr>
      <w:r>
        <w:rPr>
          <w:rFonts w:ascii="Times New Roman" w:hAnsi="Times New Roman"/>
          <w:sz w:val="22"/>
        </w:rPr>
        <w:t>Tapia, J. E., Perez, C. A., &amp; Bowyer, K. W. (2021). Gender classification from the same iris code used for recognition. IEEE Transactions on Information Forensics and Security, 16, 2775–2784. https://doi.org/10.1109/TIFS.2021.3068851</w:t>
      </w:r>
    </w:p>
    <w:p>
      <w:pPr>
        <w:spacing w:after="120"/>
        <w:ind w:left="567" w:hanging="567"/>
      </w:pPr>
      <w:r>
        <w:rPr>
          <w:rFonts w:ascii="Times New Roman" w:hAnsi="Times New Roman"/>
          <w:sz w:val="22"/>
        </w:rPr>
        <w:t>Zhang, K., Zhang, Z., Li, Z., &amp; Qiao, Y. (2016). Joint face detection and alignment using multitask cascaded convolutional networks. IEEE Signal Processing Letters, 23(10), 1499–1503. https://doi.org/10.1109/LSP.2016.2603342</w:t>
      </w:r>
    </w:p>
    <w:p>
      <w:pPr>
        <w:spacing w:after="120"/>
        <w:ind w:left="567" w:hanging="567"/>
      </w:pPr>
      <w:r>
        <w:rPr>
          <w:rFonts w:ascii="Times New Roman" w:hAnsi="Times New Roman"/>
          <w:sz w:val="22"/>
        </w:rPr>
        <w:t>Zhao, H., Li, D., Zhao, X., &amp; Lv, Q. (2020). Exploiting fine-grained face features for twin recognition. In Proceedings of IEEE International Conference on Acoustics, Speech and Signal Processing (ICASSP) (pp. 1395–1399). IEEE. https://doi.org/10.1109/ICASSP40776.2020.9053505</w:t>
      </w:r>
    </w:p>
    <w:p>
      <w:pPr>
        <w:spacing w:after="120"/>
        <w:ind w:left="567" w:hanging="567"/>
      </w:pPr>
      <w:r>
        <w:rPr>
          <w:rFonts w:ascii="Times New Roman" w:hAnsi="Times New Roman"/>
          <w:sz w:val="22"/>
        </w:rPr>
        <w:t>Zuiderveld, K. (1994). Contrast limited adaptive histogram equalization. In P. Heckbert (Ed.), Graphics gems IV (pp. 474–485). Academic Press.</w:t>
      </w:r>
    </w:p>
    <w:p/>
    <w:p>
      <w:pPr>
        <w:jc w:val="center"/>
      </w:pPr>
      <w:r>
        <w:rPr>
          <w:rFonts w:ascii="Times New Roman" w:hAnsi="Times New Roman"/>
          <w:i/>
          <w:color w:val="800000"/>
          <w:sz w:val="20"/>
        </w:rPr>
        <w:t>ملاحظة: القيم الرقمية في الجداول (5.4)، (6.4)، (7.4) تقديرية مبنية على أبحاث مماثلة. يُرجى استبدالها بالنتائج الفعلية لنظامكم بعد اكتمال تشغيله.</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