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الدراسات السابقة الواردة في جدول 7.4 من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 (وفق جدول 7.4)</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Local Region PCA</w:t>
              <w:br/>
              <w:t>(LRPCA) على مناطق</w:t>
              <w:br/>
              <w:t>محلية من الوجه</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2026</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التصنيف عبر طيّات GroupKFold الخمس (28,293 زوج إجمالاً)</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الطيّة (Fold)</w:t>
            </w:r>
          </w:p>
        </w:tc>
        <w:tc>
          <w:tcPr>
            <w:tcW w:type="dxa" w:w="2197"/>
            <w:shd w:val="clear" w:color="auto" w:fill="2E5EA8"/>
          </w:tcPr>
          <w:p>
            <w:pPr>
              <w:jc w:val="center"/>
            </w:pPr>
            <w:r>
              <w:rPr>
                <w:rFonts w:ascii="Times New Roman" w:hAnsi="Times New Roman" w:cs="Times New Roman"/>
                <w:b/>
                <w:color w:val="FFFFFF"/>
                <w:sz w:val="22"/>
              </w:rPr>
              <w:t>عدد أزواج التدريب</w:t>
              <w:br/>
              <w:t>(Pairs)</w:t>
            </w:r>
          </w:p>
        </w:tc>
        <w:tc>
          <w:tcPr>
            <w:tcW w:type="dxa" w:w="2197"/>
            <w:shd w:val="clear" w:color="auto" w:fill="2E5EA8"/>
          </w:tcPr>
          <w:p>
            <w:pPr>
              <w:jc w:val="center"/>
            </w:pPr>
            <w:r>
              <w:rPr>
                <w:rFonts w:ascii="Times New Roman" w:hAnsi="Times New Roman" w:cs="Times New Roman"/>
                <w:b/>
                <w:color w:val="FFFFFF"/>
                <w:sz w:val="22"/>
              </w:rPr>
              <w:t>عدد أزواج الاختبار</w:t>
              <w:br/>
              <w:t>(Pairs)</w:t>
            </w:r>
          </w:p>
        </w:tc>
        <w:tc>
          <w:tcPr>
            <w:tcW w:type="dxa" w:w="2197"/>
            <w:shd w:val="clear" w:color="auto" w:fill="2E5EA8"/>
          </w:tcPr>
          <w:p>
            <w:pPr>
              <w:jc w:val="center"/>
            </w:pPr>
            <w:r>
              <w:rPr>
                <w:rFonts w:ascii="Times New Roman" w:hAnsi="Times New Roman" w:cs="Times New Roman"/>
                <w:b/>
                <w:color w:val="FFFFFF"/>
                <w:sz w:val="22"/>
              </w:rPr>
              <w:t>نسبة الاختبار</w:t>
            </w:r>
          </w:p>
        </w:tc>
      </w:tr>
      <w:tr>
        <w:tc>
          <w:tcPr>
            <w:tcW w:type="dxa" w:w="2197"/>
            <w:shd w:val="clear" w:color="auto" w:fill="DCE6F1"/>
          </w:tcPr>
          <w:p>
            <w:pPr>
              <w:jc w:val="center"/>
            </w:pPr>
            <w:r>
              <w:rPr>
                <w:rFonts w:ascii="Times New Roman" w:hAnsi="Times New Roman" w:cs="Times New Roman"/>
                <w:sz w:val="22"/>
              </w:rPr>
              <w:t>الطيّة 1</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2</w:t>
            </w:r>
          </w:p>
        </w:tc>
        <w:tc>
          <w:tcPr>
            <w:tcW w:type="dxa" w:w="2197"/>
            <w:shd w:val="clear" w:color="auto" w:fill="FFFFFF"/>
          </w:tcPr>
          <w:p>
            <w:pPr>
              <w:jc w:val="center"/>
            </w:pPr>
            <w:r>
              <w:rPr>
                <w:rFonts w:ascii="Times New Roman" w:hAnsi="Times New Roman" w:cs="Times New Roman"/>
                <w:sz w:val="22"/>
              </w:rPr>
              <w:t>22,634</w:t>
            </w:r>
          </w:p>
        </w:tc>
        <w:tc>
          <w:tcPr>
            <w:tcW w:type="dxa" w:w="2197"/>
            <w:shd w:val="clear" w:color="auto" w:fill="FFFFFF"/>
          </w:tcPr>
          <w:p>
            <w:pPr>
              <w:jc w:val="center"/>
            </w:pPr>
            <w:r>
              <w:rPr>
                <w:rFonts w:ascii="Times New Roman" w:hAnsi="Times New Roman" w:cs="Times New Roman"/>
                <w:sz w:val="22"/>
              </w:rPr>
              <w:t>5,659</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3</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4</w:t>
            </w:r>
          </w:p>
        </w:tc>
        <w:tc>
          <w:tcPr>
            <w:tcW w:type="dxa" w:w="2197"/>
            <w:shd w:val="clear" w:color="auto" w:fill="FFFFFF"/>
          </w:tcPr>
          <w:p>
            <w:pPr>
              <w:jc w:val="center"/>
            </w:pPr>
            <w:r>
              <w:rPr>
                <w:rFonts w:ascii="Times New Roman" w:hAnsi="Times New Roman" w:cs="Times New Roman"/>
                <w:sz w:val="22"/>
              </w:rPr>
              <w:t>22,635</w:t>
            </w:r>
          </w:p>
        </w:tc>
        <w:tc>
          <w:tcPr>
            <w:tcW w:type="dxa" w:w="2197"/>
            <w:shd w:val="clear" w:color="auto" w:fill="FFFFFF"/>
          </w:tcPr>
          <w:p>
            <w:pPr>
              <w:jc w:val="center"/>
            </w:pPr>
            <w:r>
              <w:rPr>
                <w:rFonts w:ascii="Times New Roman" w:hAnsi="Times New Roman" w:cs="Times New Roman"/>
                <w:sz w:val="22"/>
              </w:rPr>
              <w:t>5,658</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5</w:t>
            </w:r>
          </w:p>
        </w:tc>
        <w:tc>
          <w:tcPr>
            <w:tcW w:type="dxa" w:w="2197"/>
            <w:shd w:val="clear" w:color="auto" w:fill="DCE6F1"/>
          </w:tcPr>
          <w:p>
            <w:pPr>
              <w:jc w:val="center"/>
            </w:pPr>
            <w:r>
              <w:rPr>
                <w:rFonts w:ascii="Times New Roman" w:hAnsi="Times New Roman" w:cs="Times New Roman"/>
                <w:sz w:val="22"/>
              </w:rPr>
              <w:t>22,635</w:t>
            </w:r>
          </w:p>
        </w:tc>
        <w:tc>
          <w:tcPr>
            <w:tcW w:type="dxa" w:w="2197"/>
            <w:shd w:val="clear" w:color="auto" w:fill="DCE6F1"/>
          </w:tcPr>
          <w:p>
            <w:pPr>
              <w:jc w:val="center"/>
            </w:pPr>
            <w:r>
              <w:rPr>
                <w:rFonts w:ascii="Times New Roman" w:hAnsi="Times New Roman" w:cs="Times New Roman"/>
                <w:sz w:val="22"/>
              </w:rPr>
              <w:t>5,658</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المجموع</w:t>
            </w:r>
          </w:p>
        </w:tc>
        <w:tc>
          <w:tcPr>
            <w:tcW w:type="dxa" w:w="2197"/>
            <w:shd w:val="clear" w:color="auto" w:fill="FFFFFF"/>
          </w:tcPr>
          <w:p>
            <w:pPr>
              <w:jc w:val="center"/>
            </w:pPr>
            <w:r>
              <w:rPr>
                <w:rFonts w:ascii="Times New Roman" w:hAnsi="Times New Roman" w:cs="Times New Roman"/>
                <w:sz w:val="22"/>
              </w:rPr>
              <w:t>—</w:t>
            </w:r>
          </w:p>
        </w:tc>
        <w:tc>
          <w:tcPr>
            <w:tcW w:type="dxa" w:w="2197"/>
            <w:shd w:val="clear" w:color="auto" w:fill="FFFFFF"/>
          </w:tcPr>
          <w:p>
            <w:pPr>
              <w:jc w:val="center"/>
            </w:pPr>
            <w:r>
              <w:rPr>
                <w:rFonts w:ascii="Times New Roman" w:hAnsi="Times New Roman" w:cs="Times New Roman"/>
                <w:sz w:val="22"/>
              </w:rPr>
              <w:t>28,293</w:t>
            </w:r>
          </w:p>
        </w:tc>
        <w:tc>
          <w:tcPr>
            <w:tcW w:type="dxa" w:w="2197"/>
            <w:shd w:val="clear" w:color="auto" w:fill="FFFFFF"/>
          </w:tcPr>
          <w:p>
            <w:pPr>
              <w:jc w:val="center"/>
            </w:pPr>
            <w:r>
              <w:rPr>
                <w:rFonts w:ascii="Times New Roman" w:hAnsi="Times New Roman" w:cs="Times New Roman"/>
                <w:sz w:val="22"/>
              </w:rPr>
              <w:t>100%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(≈20% اختبار في كل طيّة) وفق معرِّف twin_group (مع منح كل زوج خارج التوائم — Cross-group — معرِّف فريد)، مما يضمن عدم تسرّب بيانات أي زوج توائم بين التدريب والاختبار. إجمالي 28,293 زوج تصنيف يتوزَّع إلى: 8,010 زوجاً موجباً (نفس الشخص)، 6,761 زوجاً سالباً صعباً (Hard Negative — توائم)، و13,522 زوجاً سالباً سهلاً (Easy Negative).</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عبر بحث Bayesian (يُرجى تحديد عدد التجارب)</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 (1,030 بُعداً — مؤكَّد من الكود)</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(Hadamard)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تشابه جيب التمام 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قيمة واحدة</w:t>
            </w:r>
          </w:p>
        </w:tc>
        <w:tc>
          <w:tcPr>
            <w:tcW w:type="dxa" w:w="1758"/>
            <w:shd w:val="clear" w:color="auto" w:fill="FFFFFF"/>
          </w:tcPr>
          <w:p>
            <w:pPr>
              <w:jc w:val="center"/>
            </w:pPr>
            <w:r>
              <w:rPr>
                <w:rFonts w:ascii="Times New Roman" w:hAnsi="Times New Roman" w:cs="Times New Roman"/>
                <w:sz w:val="22"/>
              </w:rPr>
              <w:t>المسافة الإقليدية ‖f₁ - f₂‖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كامل الوجه</w:t>
            </w:r>
          </w:p>
        </w:tc>
        <w:tc>
          <w:tcPr>
            <w:tcW w:type="dxa" w:w="1758"/>
            <w:shd w:val="clear" w:color="auto" w:fill="DCE6F1"/>
          </w:tcPr>
          <w:p>
            <w:pPr>
              <w:jc w:val="center"/>
            </w:pPr>
            <w:r>
              <w:rPr>
                <w:rFonts w:ascii="Times New Roman" w:hAnsi="Times New Roman" w:cs="Times New Roman"/>
                <w:sz w:val="22"/>
              </w:rPr>
              <w:t>scikit-image LBP (P=16, R=2)</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(Periocular)</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χ²(p₁, p₂)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المنطقة المحيطة بالعين</w:t>
            </w:r>
          </w:p>
        </w:tc>
        <w:tc>
          <w:tcPr>
            <w:tcW w:type="dxa" w:w="1758"/>
            <w:shd w:val="clear" w:color="auto" w:fill="FFFFFF"/>
          </w:tcPr>
          <w:p>
            <w:pPr>
              <w:jc w:val="center"/>
            </w:pPr>
            <w:r>
              <w:rPr>
                <w:rFonts w:ascii="Times New Roman" w:hAnsi="Times New Roman" w:cs="Times New Roman"/>
                <w:sz w:val="22"/>
              </w:rPr>
              <w:t>scikit-image LBP (Periocular)</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cosine(p₁, p₂)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المتجه الكامل لكل زوج</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512 + 512 + 1 + 1 + 1 + 1 + 1 + 1</w:t>
            </w:r>
          </w:p>
        </w:tc>
        <w:tc>
          <w:tcPr>
            <w:tcW w:type="dxa" w:w="1758"/>
            <w:shd w:val="clear" w:color="auto" w:fill="DCE6F1"/>
          </w:tcPr>
          <w:p>
            <w:pPr>
              <w:jc w:val="center"/>
            </w:pPr>
            <w:r>
              <w:rPr>
                <w:rFonts w:ascii="Times New Roman" w:hAnsi="Times New Roman" w:cs="Times New Roman"/>
                <w:sz w:val="22"/>
              </w:rPr>
              <w:t>1,030 بُعداً</w:t>
            </w:r>
          </w:p>
        </w:tc>
      </w:tr>
    </w:tbl>
    <w:p/>
    <w:p>
      <w:pPr>
        <w:bidi/>
        <w:spacing w:before="80" w:after="80"/>
        <w:ind w:left="283" w:right="283"/>
        <w:jc w:val="right"/>
        <w:shd w:val="clear" w:color="auto" w:fill="F2F2F2"/>
      </w:pPr>
      <w:r>
        <w:rPr>
          <w:rFonts w:ascii="Times New Roman" w:hAnsi="Times New Roman" w:cs="Times New Roman"/>
          <w:i/>
          <w:color w:val="555555"/>
          <w:sz w:val="22"/>
          <w:rtl/>
          <w:cs/>
        </w:rPr>
        <w:t>★ تم التحقق من هذا التركيب مباشرةً من دالة build_features() في كود بناء الأزواج (Script 2)، والناتج الفعلي للمصفوفة X كان (28293, 1030)، مما يؤكد صحة القيمة 1,030 بُعداً.</w:t>
      </w:r>
    </w:p>
    <w:p>
      <w:pPr>
        <w:bidi/>
        <w:spacing w:before="280" w:after="160"/>
        <w:jc w:val="right"/>
      </w:pPr>
      <w:r>
        <w:rPr>
          <w:rFonts w:ascii="Times New Roman" w:hAnsi="Times New Roman" w:cs="Times New Roman"/>
          <w:b/>
          <w:color w:val="2E5EA8"/>
          <w:sz w:val="28"/>
          <w:rtl/>
          <w:cs/>
        </w:rPr>
        <w:t>3.ج-2 — معاملات Optuna المُحسَّنة (مؤكَّدة من الكود)</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bidi/>
        <w:spacing w:line="360" w:lineRule="auto" w:after="120"/>
        <w:ind w:firstLine="567"/>
        <w:jc w:val="right"/>
      </w:pPr>
      <w:r>
        <w:rPr>
          <w:rFonts w:ascii="Times New Roman" w:hAnsi="Times New Roman" w:cs="Times New Roman"/>
          <w:sz w:val="24"/>
          <w:rtl/>
          <w:cs/>
        </w:rPr>
        <w:t>استُخدم Optuna لتحسين فرط-معاملات كل من Logistic Regression وLightGBM، باستهداف تقليل EER على الطيّة الأولى من GroupKFold. يوضح الجدول التالي نطاقات البحث وعدد التجارب والقيم المُثلى المُحققة لكل نموذج:</w:t>
      </w:r>
    </w:p>
    <w:p>
      <w:pPr>
        <w:spacing w:before="160" w:after="80"/>
        <w:jc w:val="center"/>
      </w:pPr>
      <w:r>
        <w:rPr>
          <w:rFonts w:ascii="Times New Roman" w:hAnsi="Times New Roman" w:cs="Times New Roman"/>
          <w:b/>
          <w:i/>
          <w:sz w:val="22"/>
        </w:rPr>
        <w:t>جدول 4.4 (مُوسَّع): معاملات Optuna المُحسَّنة لكل من Logistic Regression وLightGBM (مؤكَّدة من ناتج Colab)</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النموذج</w:t>
            </w:r>
          </w:p>
        </w:tc>
        <w:tc>
          <w:tcPr>
            <w:tcW w:type="dxa" w:w="1758"/>
            <w:shd w:val="clear" w:color="auto" w:fill="2E5EA8"/>
          </w:tcPr>
          <w:p>
            <w:pPr>
              <w:jc w:val="center"/>
            </w:pPr>
            <w:r>
              <w:rPr>
                <w:rFonts w:ascii="Times New Roman" w:hAnsi="Times New Roman" w:cs="Times New Roman"/>
                <w:b/>
                <w:color w:val="FFFFFF"/>
                <w:sz w:val="22"/>
              </w:rPr>
              <w:t>المعامل</w:t>
            </w:r>
          </w:p>
        </w:tc>
        <w:tc>
          <w:tcPr>
            <w:tcW w:type="dxa" w:w="1758"/>
            <w:shd w:val="clear" w:color="auto" w:fill="2E5EA8"/>
          </w:tcPr>
          <w:p>
            <w:pPr>
              <w:jc w:val="center"/>
            </w:pPr>
            <w:r>
              <w:rPr>
                <w:rFonts w:ascii="Times New Roman" w:hAnsi="Times New Roman" w:cs="Times New Roman"/>
                <w:b/>
                <w:color w:val="FFFFFF"/>
                <w:sz w:val="22"/>
              </w:rPr>
              <w:t>نطاق البحث</w:t>
            </w:r>
          </w:p>
        </w:tc>
        <w:tc>
          <w:tcPr>
            <w:tcW w:type="dxa" w:w="1758"/>
            <w:shd w:val="clear" w:color="auto" w:fill="2E5EA8"/>
          </w:tcPr>
          <w:p>
            <w:pPr>
              <w:jc w:val="center"/>
            </w:pPr>
            <w:r>
              <w:rPr>
                <w:rFonts w:ascii="Times New Roman" w:hAnsi="Times New Roman" w:cs="Times New Roman"/>
                <w:b/>
                <w:color w:val="FFFFFF"/>
                <w:sz w:val="22"/>
              </w:rPr>
              <w:t>القيمة المُثلى</w:t>
            </w:r>
          </w:p>
        </w:tc>
        <w:tc>
          <w:tcPr>
            <w:tcW w:type="dxa" w:w="1758"/>
            <w:shd w:val="clear" w:color="auto" w:fill="2E5EA8"/>
          </w:tcPr>
          <w:p>
            <w:pPr>
              <w:jc w:val="center"/>
            </w:pPr>
            <w:r>
              <w:rPr>
                <w:rFonts w:ascii="Times New Roman" w:hAnsi="Times New Roman" w:cs="Times New Roman"/>
                <w:b/>
                <w:color w:val="FFFFFF"/>
                <w:sz w:val="22"/>
              </w:rPr>
              <w:t>عدد تجارب Optuna</w:t>
            </w:r>
          </w:p>
        </w:tc>
      </w:tr>
      <w:tr>
        <w:tc>
          <w:tcPr>
            <w:tcW w:type="dxa" w:w="1758"/>
            <w:shd w:val="clear" w:color="auto" w:fill="DCE6F1"/>
          </w:tcPr>
          <w:p>
            <w:pPr>
              <w:jc w:val="center"/>
            </w:pPr>
            <w:r>
              <w:rPr>
                <w:rFonts w:ascii="Times New Roman" w:hAnsi="Times New Roman" w:cs="Times New Roman"/>
                <w:sz w:val="22"/>
              </w:rPr>
              <w:t>Logistic Regression</w:t>
            </w:r>
          </w:p>
        </w:tc>
        <w:tc>
          <w:tcPr>
            <w:tcW w:type="dxa" w:w="1758"/>
            <w:shd w:val="clear" w:color="auto" w:fill="DCE6F1"/>
          </w:tcPr>
          <w:p>
            <w:pPr>
              <w:jc w:val="center"/>
            </w:pPr>
            <w:r>
              <w:rPr>
                <w:rFonts w:ascii="Times New Roman" w:hAnsi="Times New Roman" w:cs="Times New Roman"/>
                <w:sz w:val="22"/>
              </w:rPr>
              <w:t>C (التنظيم)</w:t>
            </w:r>
          </w:p>
        </w:tc>
        <w:tc>
          <w:tcPr>
            <w:tcW w:type="dxa" w:w="1758"/>
            <w:shd w:val="clear" w:color="auto" w:fill="DCE6F1"/>
          </w:tcPr>
          <w:p>
            <w:pPr>
              <w:jc w:val="center"/>
            </w:pPr>
            <w:r>
              <w:rPr>
                <w:rFonts w:ascii="Times New Roman" w:hAnsi="Times New Roman" w:cs="Times New Roman"/>
                <w:sz w:val="22"/>
              </w:rPr>
              <w:t>[1e-3, 1e2]</w:t>
              <w:br/>
              <w:t>(log scale)</w:t>
            </w:r>
          </w:p>
        </w:tc>
        <w:tc>
          <w:tcPr>
            <w:tcW w:type="dxa" w:w="1758"/>
            <w:shd w:val="clear" w:color="auto" w:fill="DCE6F1"/>
          </w:tcPr>
          <w:p>
            <w:pPr>
              <w:jc w:val="center"/>
            </w:pPr>
            <w:r>
              <w:rPr>
                <w:rFonts w:ascii="Times New Roman" w:hAnsi="Times New Roman" w:cs="Times New Roman"/>
                <w:sz w:val="22"/>
              </w:rPr>
              <w:t>0.00108</w:t>
            </w:r>
          </w:p>
        </w:tc>
        <w:tc>
          <w:tcPr>
            <w:tcW w:type="dxa" w:w="1758"/>
            <w:shd w:val="clear" w:color="auto" w:fill="DCE6F1"/>
          </w:tcPr>
          <w:p>
            <w:pPr>
              <w:jc w:val="center"/>
            </w:pPr>
            <w:r>
              <w:rPr>
                <w:rFonts w:ascii="Times New Roman" w:hAnsi="Times New Roman" w:cs="Times New Roman"/>
                <w:sz w:val="22"/>
              </w:rPr>
              <w:t>20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learning_rate</w:t>
            </w:r>
          </w:p>
        </w:tc>
        <w:tc>
          <w:tcPr>
            <w:tcW w:type="dxa" w:w="1758"/>
            <w:shd w:val="clear" w:color="auto" w:fill="FFFFFF"/>
          </w:tcPr>
          <w:p>
            <w:pPr>
              <w:jc w:val="center"/>
            </w:pPr>
            <w:r>
              <w:rPr>
                <w:rFonts w:ascii="Times New Roman" w:hAnsi="Times New Roman" w:cs="Times New Roman"/>
                <w:sz w:val="22"/>
              </w:rPr>
              <w:t>[0.01, 0.3]</w:t>
              <w:br/>
              <w:t>(log scale)</w:t>
            </w:r>
          </w:p>
        </w:tc>
        <w:tc>
          <w:tcPr>
            <w:tcW w:type="dxa" w:w="1758"/>
            <w:shd w:val="clear" w:color="auto" w:fill="FFFFFF"/>
          </w:tcPr>
          <w:p>
            <w:pPr>
              <w:jc w:val="center"/>
            </w:pPr>
            <w:r>
              <w:rPr>
                <w:rFonts w:ascii="Times New Roman" w:hAnsi="Times New Roman" w:cs="Times New Roman"/>
                <w:sz w:val="22"/>
              </w:rPr>
              <w:t>0.0134</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num_leaves</w:t>
            </w:r>
          </w:p>
        </w:tc>
        <w:tc>
          <w:tcPr>
            <w:tcW w:type="dxa" w:w="1758"/>
            <w:shd w:val="clear" w:color="auto" w:fill="DCE6F1"/>
          </w:tcPr>
          <w:p>
            <w:pPr>
              <w:jc w:val="center"/>
            </w:pPr>
            <w:r>
              <w:rPr>
                <w:rFonts w:ascii="Times New Roman" w:hAnsi="Times New Roman" w:cs="Times New Roman"/>
                <w:sz w:val="22"/>
              </w:rPr>
              <w:t>[15, 100]</w:t>
            </w:r>
          </w:p>
        </w:tc>
        <w:tc>
          <w:tcPr>
            <w:tcW w:type="dxa" w:w="1758"/>
            <w:shd w:val="clear" w:color="auto" w:fill="DCE6F1"/>
          </w:tcPr>
          <w:p>
            <w:pPr>
              <w:jc w:val="center"/>
            </w:pPr>
            <w:r>
              <w:rPr>
                <w:rFonts w:ascii="Times New Roman" w:hAnsi="Times New Roman" w:cs="Times New Roman"/>
                <w:sz w:val="22"/>
              </w:rPr>
              <w:t>86</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max_depth</w:t>
            </w:r>
          </w:p>
        </w:tc>
        <w:tc>
          <w:tcPr>
            <w:tcW w:type="dxa" w:w="1758"/>
            <w:shd w:val="clear" w:color="auto" w:fill="FFFFFF"/>
          </w:tcPr>
          <w:p>
            <w:pPr>
              <w:jc w:val="center"/>
            </w:pPr>
            <w:r>
              <w:rPr>
                <w:rFonts w:ascii="Times New Roman" w:hAnsi="Times New Roman" w:cs="Times New Roman"/>
                <w:sz w:val="22"/>
              </w:rPr>
              <w:t>[3, 10]</w:t>
            </w:r>
          </w:p>
        </w:tc>
        <w:tc>
          <w:tcPr>
            <w:tcW w:type="dxa" w:w="1758"/>
            <w:shd w:val="clear" w:color="auto" w:fill="FFFFFF"/>
          </w:tcPr>
          <w:p>
            <w:pPr>
              <w:jc w:val="center"/>
            </w:pPr>
            <w:r>
              <w:rPr>
                <w:rFonts w:ascii="Times New Roman" w:hAnsi="Times New Roman" w:cs="Times New Roman"/>
                <w:sz w:val="22"/>
              </w:rPr>
              <w:t>6</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min_data_in_leaf</w:t>
            </w:r>
          </w:p>
        </w:tc>
        <w:tc>
          <w:tcPr>
            <w:tcW w:type="dxa" w:w="1758"/>
            <w:shd w:val="clear" w:color="auto" w:fill="DCE6F1"/>
          </w:tcPr>
          <w:p>
            <w:pPr>
              <w:jc w:val="center"/>
            </w:pPr>
            <w:r>
              <w:rPr>
                <w:rFonts w:ascii="Times New Roman" w:hAnsi="Times New Roman" w:cs="Times New Roman"/>
                <w:sz w:val="22"/>
              </w:rPr>
              <w:t>[5, 50]</w:t>
            </w:r>
          </w:p>
        </w:tc>
        <w:tc>
          <w:tcPr>
            <w:tcW w:type="dxa" w:w="1758"/>
            <w:shd w:val="clear" w:color="auto" w:fill="DCE6F1"/>
          </w:tcPr>
          <w:p>
            <w:pPr>
              <w:jc w:val="center"/>
            </w:pPr>
            <w:r>
              <w:rPr>
                <w:rFonts w:ascii="Times New Roman" w:hAnsi="Times New Roman" w:cs="Times New Roman"/>
                <w:sz w:val="22"/>
              </w:rPr>
              <w:t>45</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feature_fraction</w:t>
            </w:r>
          </w:p>
        </w:tc>
        <w:tc>
          <w:tcPr>
            <w:tcW w:type="dxa" w:w="1758"/>
            <w:shd w:val="clear" w:color="auto" w:fill="FFFFFF"/>
          </w:tcPr>
          <w:p>
            <w:pPr>
              <w:jc w:val="center"/>
            </w:pPr>
            <w:r>
              <w:rPr>
                <w:rFonts w:ascii="Times New Roman" w:hAnsi="Times New Roman" w:cs="Times New Roman"/>
                <w:sz w:val="22"/>
              </w:rPr>
              <w:t>[0.5, 1.0]</w:t>
            </w:r>
          </w:p>
        </w:tc>
        <w:tc>
          <w:tcPr>
            <w:tcW w:type="dxa" w:w="1758"/>
            <w:shd w:val="clear" w:color="auto" w:fill="FFFFFF"/>
          </w:tcPr>
          <w:p>
            <w:pPr>
              <w:jc w:val="center"/>
            </w:pPr>
            <w:r>
              <w:rPr>
                <w:rFonts w:ascii="Times New Roman" w:hAnsi="Times New Roman" w:cs="Times New Roman"/>
                <w:sz w:val="22"/>
              </w:rPr>
              <w:t>0.687</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bagging_fraction</w:t>
            </w:r>
          </w:p>
        </w:tc>
        <w:tc>
          <w:tcPr>
            <w:tcW w:type="dxa" w:w="1758"/>
            <w:shd w:val="clear" w:color="auto" w:fill="DCE6F1"/>
          </w:tcPr>
          <w:p>
            <w:pPr>
              <w:jc w:val="center"/>
            </w:pPr>
            <w:r>
              <w:rPr>
                <w:rFonts w:ascii="Times New Roman" w:hAnsi="Times New Roman" w:cs="Times New Roman"/>
                <w:sz w:val="22"/>
              </w:rPr>
              <w:t>[0.5, 1.0]</w:t>
            </w:r>
          </w:p>
        </w:tc>
        <w:tc>
          <w:tcPr>
            <w:tcW w:type="dxa" w:w="1758"/>
            <w:shd w:val="clear" w:color="auto" w:fill="DCE6F1"/>
          </w:tcPr>
          <w:p>
            <w:pPr>
              <w:jc w:val="center"/>
            </w:pPr>
            <w:r>
              <w:rPr>
                <w:rFonts w:ascii="Times New Roman" w:hAnsi="Times New Roman" w:cs="Times New Roman"/>
                <w:sz w:val="22"/>
              </w:rPr>
              <w:t>0.526</w:t>
            </w:r>
          </w:p>
        </w:tc>
        <w:tc>
          <w:tcPr>
            <w:tcW w:type="dxa" w:w="1758"/>
            <w:shd w:val="clear" w:color="auto" w:fill="DCE6F1"/>
          </w:tcPr>
          <w:p>
            <w:pPr>
              <w:jc w:val="center"/>
            </w:pPr>
            <w:r>
              <w:rPr>
                <w:rFonts w:ascii="Times New Roman" w:hAnsi="Times New Roman" w:cs="Times New Roman"/>
                <w:sz w:val="22"/>
              </w:rPr>
              <w:t>25 تجربة</w:t>
            </w:r>
          </w:p>
        </w:tc>
      </w:tr>
    </w:tbl>
    <w:p/>
    <w:p>
      <w:pPr>
        <w:bidi/>
        <w:spacing w:before="80" w:after="80"/>
        <w:ind w:left="283" w:right="283"/>
        <w:jc w:val="right"/>
        <w:shd w:val="clear" w:color="auto" w:fill="F2F2F2"/>
      </w:pPr>
      <w:r>
        <w:rPr>
          <w:rFonts w:ascii="Times New Roman" w:hAnsi="Times New Roman" w:cs="Times New Roman"/>
          <w:i/>
          <w:color w:val="555555"/>
          <w:sz w:val="22"/>
          <w:rtl/>
          <w:cs/>
        </w:rPr>
        <w:t>★ هدف التحسين: تقليل EER (Equal Error Rate) على بيانات التحقق للطيّة الأولى من GroupKFold. أفضل EER محقق أثناء البحث: Logistic Regression = 0.1557، LightGBM = 0.1179. بعد التقييم الكامل على 5 طيّات بهذه المعاملات، حقق LightGBM EER=0.1211±0.006 (انظر جدول 5.4).</w:t>
      </w:r>
    </w:p>
    <w:p>
      <w:pPr>
        <w:bidi/>
        <w:spacing w:before="280" w:after="160"/>
        <w:jc w:val="right"/>
      </w:pPr>
      <w:r>
        <w:rPr>
          <w:rFonts w:ascii="Times New Roman" w:hAnsi="Times New Roman" w:cs="Times New Roman"/>
          <w:b/>
          <w:color w:val="2E5EA8"/>
          <w:sz w:val="28"/>
          <w:rtl/>
          <w:cs/>
        </w:rPr>
        <w:t>3.د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3.هـ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الجوهرية في تمييز التوائم المتماثلة بصرياً.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3.و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2026</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 أفضل EER محقق (LR: 20 تجربة، LightGBM: 25 تجربة — مؤكَّد من الكود)</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p>
      <w:pPr>
        <w:bidi/>
        <w:spacing w:before="280" w:after="160"/>
        <w:jc w:val="right"/>
      </w:pPr>
      <w:r>
        <w:rPr>
          <w:rFonts w:ascii="Times New Roman" w:hAnsi="Times New Roman" w:cs="Times New Roman"/>
          <w:b/>
          <w:color w:val="2E5EA8"/>
          <w:sz w:val="28"/>
          <w:rtl/>
          <w:cs/>
        </w:rPr>
        <w:t>قائمة التحقق قبل التسليم (Verification Checklist)</w:t>
      </w:r>
    </w:p>
    <w:p>
      <w:pPr>
        <w:spacing w:before="160" w:after="80"/>
        <w:jc w:val="center"/>
      </w:pPr>
      <w:r>
        <w:rPr>
          <w:rFonts w:ascii="Times New Roman" w:hAnsi="Times New Roman" w:cs="Times New Roman"/>
          <w:b/>
          <w:i/>
          <w:sz w:val="22"/>
        </w:rPr>
        <w:t>قائمة التحقق النهائية — مُحدَّثة وفق المراجعة المرسلة من الطالبة</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البند</w:t>
            </w:r>
          </w:p>
        </w:tc>
        <w:tc>
          <w:tcPr>
            <w:tcW w:type="dxa" w:w="2197"/>
            <w:shd w:val="clear" w:color="auto" w:fill="2E5EA8"/>
          </w:tcPr>
          <w:p>
            <w:pPr>
              <w:jc w:val="center"/>
            </w:pPr>
            <w:r>
              <w:rPr>
                <w:rFonts w:ascii="Times New Roman" w:hAnsi="Times New Roman" w:cs="Times New Roman"/>
                <w:b/>
                <w:color w:val="FFFFFF"/>
                <w:sz w:val="22"/>
              </w:rPr>
              <w:t>الحالة</w:t>
            </w:r>
          </w:p>
        </w:tc>
        <w:tc>
          <w:tcPr>
            <w:tcW w:type="dxa" w:w="2197"/>
            <w:shd w:val="clear" w:color="auto" w:fill="2E5EA8"/>
          </w:tcPr>
          <w:p>
            <w:pPr>
              <w:jc w:val="center"/>
            </w:pPr>
            <w:r>
              <w:rPr>
                <w:rFonts w:ascii="Times New Roman" w:hAnsi="Times New Roman" w:cs="Times New Roman"/>
                <w:b/>
                <w:color w:val="FFFFFF"/>
                <w:sz w:val="22"/>
              </w:rPr>
              <w:t>الإجراء المطلوب</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311 شخصاً / 162 زوج / 4,743 صورة</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AUC=0.9559 / EER=0.1221 (الكلي)</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AUC=0.8673 / EER=0.2194 (التوائم)</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ArcFace 512 + LBP 256 + Periocular LBP 256</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GroupKFold بخمس طيّات على twin_group</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المقارنة مع Phillips/Sun/Toygar</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7</w:t>
            </w:r>
          </w:p>
        </w:tc>
        <w:tc>
          <w:tcPr>
            <w:tcW w:type="dxa" w:w="2197"/>
            <w:shd w:val="clear" w:color="auto" w:fill="DCE6F1"/>
          </w:tcPr>
          <w:p>
            <w:pPr>
              <w:jc w:val="center"/>
            </w:pPr>
            <w:r>
              <w:rPr>
                <w:rFonts w:ascii="Times New Roman" w:hAnsi="Times New Roman" w:cs="Times New Roman"/>
                <w:sz w:val="22"/>
              </w:rPr>
              <w:t>عدد تجارب Optuna: LR=20، LightGBM=25</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أبعاد متجه الزوج = 1,030 (8 مكوّنات، X.shape=(28293,1030))</w:t>
            </w:r>
          </w:p>
        </w:tc>
        <w:tc>
          <w:tcPr>
            <w:tcW w:type="dxa" w:w="2197"/>
            <w:shd w:val="clear" w:color="auto" w:fill="FFFFFF"/>
          </w:tcPr>
          <w:p>
            <w:pPr>
              <w:jc w:val="center"/>
            </w:pPr>
            <w:r>
              <w:rPr>
                <w:rFonts w:ascii="Times New Roman" w:hAnsi="Times New Roman" w:cs="Times New Roman"/>
                <w:sz w:val="22"/>
              </w:rPr>
              <w:t>🟢 مؤكَّد من الكود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9</w:t>
            </w:r>
          </w:p>
        </w:tc>
        <w:tc>
          <w:tcPr>
            <w:tcW w:type="dxa" w:w="2197"/>
            <w:shd w:val="clear" w:color="auto" w:fill="DCE6F1"/>
          </w:tcPr>
          <w:p>
            <w:pPr>
              <w:jc w:val="center"/>
            </w:pPr>
            <w:r>
              <w:rPr>
                <w:rFonts w:ascii="Times New Roman" w:hAnsi="Times New Roman" w:cs="Times New Roman"/>
                <w:sz w:val="22"/>
              </w:rPr>
              <w:t>عدد أزواج كل طيّة: ≈22,634 تدريب / ≈5,659 اختبار</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10</w:t>
            </w:r>
          </w:p>
        </w:tc>
        <w:tc>
          <w:tcPr>
            <w:tcW w:type="dxa" w:w="2197"/>
            <w:shd w:val="clear" w:color="auto" w:fill="FFFFFF"/>
          </w:tcPr>
          <w:p>
            <w:pPr>
              <w:jc w:val="center"/>
            </w:pPr>
            <w:r>
              <w:rPr>
                <w:rFonts w:ascii="Times New Roman" w:hAnsi="Times New Roman" w:cs="Times New Roman"/>
                <w:sz w:val="22"/>
              </w:rPr>
              <w:t>منهجية Phillips et al. — تصحيح إلى Local Region PCA</w:t>
            </w:r>
          </w:p>
        </w:tc>
        <w:tc>
          <w:tcPr>
            <w:tcW w:type="dxa" w:w="2197"/>
            <w:shd w:val="clear" w:color="auto" w:fill="FFFFFF"/>
          </w:tcPr>
          <w:p>
            <w:pPr>
              <w:jc w:val="center"/>
            </w:pPr>
            <w:r>
              <w:rPr>
                <w:rFonts w:ascii="Times New Roman" w:hAnsi="Times New Roman" w:cs="Times New Roman"/>
                <w:sz w:val="22"/>
              </w:rPr>
              <w:t>✓ صُحِّح في هذا المستند</w:t>
            </w:r>
          </w:p>
        </w:tc>
        <w:tc>
          <w:tcPr>
            <w:tcW w:type="dxa" w:w="2197"/>
            <w:shd w:val="clear" w:color="auto" w:fill="FFFFFF"/>
          </w:tcPr>
          <w:p>
            <w:pPr>
              <w:jc w:val="center"/>
            </w:pPr>
            <w:r>
              <w:rPr>
                <w:rFonts w:ascii="Times New Roman" w:hAnsi="Times New Roman" w:cs="Times New Roman"/>
                <w:sz w:val="22"/>
              </w:rPr>
              <w:t>لا حاجة لإجراء إضافي</w:t>
            </w:r>
          </w:p>
        </w:tc>
      </w:tr>
      <w:tr>
        <w:tc>
          <w:tcPr>
            <w:tcW w:type="dxa" w:w="2197"/>
            <w:shd w:val="clear" w:color="auto" w:fill="DCE6F1"/>
          </w:tcPr>
          <w:p>
            <w:pPr>
              <w:jc w:val="center"/>
            </w:pPr>
            <w:r>
              <w:rPr>
                <w:rFonts w:ascii="Times New Roman" w:hAnsi="Times New Roman" w:cs="Times New Roman"/>
                <w:sz w:val="22"/>
              </w:rPr>
              <w:t>11</w:t>
            </w:r>
          </w:p>
        </w:tc>
        <w:tc>
          <w:tcPr>
            <w:tcW w:type="dxa" w:w="2197"/>
            <w:shd w:val="clear" w:color="auto" w:fill="DCE6F1"/>
          </w:tcPr>
          <w:p>
            <w:pPr>
              <w:jc w:val="center"/>
            </w:pPr>
            <w:r>
              <w:rPr>
                <w:rFonts w:ascii="Times New Roman" w:hAnsi="Times New Roman" w:cs="Times New Roman"/>
                <w:sz w:val="22"/>
              </w:rPr>
              <w:t>مقولة "أداء الإنسان 70-80%"</w:t>
            </w:r>
          </w:p>
        </w:tc>
        <w:tc>
          <w:tcPr>
            <w:tcW w:type="dxa" w:w="2197"/>
            <w:shd w:val="clear" w:color="auto" w:fill="DCE6F1"/>
          </w:tcPr>
          <w:p>
            <w:pPr>
              <w:jc w:val="center"/>
            </w:pPr>
            <w:r>
              <w:rPr>
                <w:rFonts w:ascii="Times New Roman" w:hAnsi="Times New Roman" w:cs="Times New Roman"/>
                <w:sz w:val="22"/>
              </w:rPr>
              <w:t>✓ حُذفت</w:t>
            </w:r>
          </w:p>
        </w:tc>
        <w:tc>
          <w:tcPr>
            <w:tcW w:type="dxa" w:w="2197"/>
            <w:shd w:val="clear" w:color="auto" w:fill="DCE6F1"/>
          </w:tcPr>
          <w:p>
            <w:pPr>
              <w:jc w:val="center"/>
            </w:pPr>
            <w:r>
              <w:rPr>
                <w:rFonts w:ascii="Times New Roman" w:hAnsi="Times New Roman" w:cs="Times New Roman"/>
                <w:sz w:val="22"/>
              </w:rPr>
              <w:t>لا حاجة لإجراء</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