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Accenture FY2027 Executive Pricing Strategy Briefing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Prepared &amp; Presented by: Rafał Szymanowicz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October 13, 2026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Slide 1: Executive Context &amp; Objectives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Context:</w:t>
      </w:r>
      <w:r w:rsidDel="00000000" w:rsidR="00000000" w:rsidRPr="00000000">
        <w:rPr>
          <w:rtl w:val="0"/>
        </w:rPr>
        <w:t xml:space="preserve"> Synthesize FY2026 financial foundation ($74.2B revenue, $84.5B record bookings, 15.8% adjusted operating margin).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Core Problem Statement:</w:t>
      </w:r>
      <w:r w:rsidDel="00000000" w:rsidR="00000000" w:rsidRPr="00000000">
        <w:rPr>
          <w:rtl w:val="0"/>
        </w:rPr>
        <w:t xml:space="preserve"> Billable hour compression caused by AI efficiency gains vs. client resistance to legacy rate cards.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Primary Objective:</w:t>
      </w:r>
      <w:r w:rsidDel="00000000" w:rsidR="00000000" w:rsidRPr="00000000">
        <w:rPr>
          <w:rtl w:val="0"/>
        </w:rPr>
        <w:t xml:space="preserve"> Expand operating margin by +60 to +80 bps in FY2027 via commercial pricing optimization.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Slide 2: Commercial Diagnostic &amp; Market Drivers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AI Productivity Paradox:</w:t>
      </w:r>
      <w:r w:rsidDel="00000000" w:rsidR="00000000" w:rsidRPr="00000000">
        <w:rPr>
          <w:rtl w:val="0"/>
        </w:rPr>
        <w:t xml:space="preserve"> Faster project execution under T&amp;M contracts reduces overall billable revenue despite delivering higher client value.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Managed Services Dominance:</w:t>
      </w:r>
      <w:r w:rsidDel="00000000" w:rsidR="00000000" w:rsidRPr="00000000">
        <w:rPr>
          <w:rtl w:val="0"/>
        </w:rPr>
        <w:t xml:space="preserve"> Shifts in booking mix toward long-term Managed Services ($12.77B in Q4) necessitate consumption and indexed pricing models.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Strategic Alliance Catalyst:</w:t>
      </w:r>
      <w:r w:rsidDel="00000000" w:rsidR="00000000" w:rsidRPr="00000000">
        <w:rPr>
          <w:rtl w:val="0"/>
        </w:rPr>
        <w:t xml:space="preserve"> Capitalizing on the newly formed Accenture Dell Business Group for enterprise private AI infrastructure.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Slide 3: Strategic Pricing Pillars (The FY2027 Framework)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Pillar 1: GenAI Value &amp; Outcome-Based Monetization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Shift from Input-Based (T&amp;M) to Outcome &amp; Gain-Share Models (10-15% efficiency dividend).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Standardize Tiered GenAI Commercial Offerings (Readiness, Custom Deployment, Managed Autonomous Ops).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Pillar 2: Private AI Infrastructure &amp; Joint Alliance Packaging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Package Dell hardware + Accenture advisory into All-in-One Enterprise Subscriptions.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Target 28%-32% combined gross margins.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Pillar 3: Core Managed Services Yield Management &amp; Governance</w:t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Enforce mandatory CPI / Tech-Wage Inflation Indexing across multi-year renewals.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Establish strict Deal-Desk Discount Floors (capping unauthorized sales discounts at &lt;8%).</w:t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Slide 4: Financial &amp; Margin Impact Analysis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Revenue Expansion Target:</w:t>
      </w:r>
      <w:r w:rsidDel="00000000" w:rsidR="00000000" w:rsidRPr="00000000">
        <w:rPr>
          <w:rtl w:val="0"/>
        </w:rPr>
        <w:t xml:space="preserve"> +$1.0B to +$1.5B incremental revenue from pricing capture.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Margin Impact Matrix:</w:t>
      </w:r>
    </w:p>
    <w:p w:rsidR="00000000" w:rsidDel="00000000" w:rsidP="00000000" w:rsidRDefault="00000000" w:rsidRPr="00000000" w14:paraId="00000019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GenAI Value Pricing: +25 to +35 bps</w:t>
      </w:r>
    </w:p>
    <w:p w:rsidR="00000000" w:rsidDel="00000000" w:rsidP="00000000" w:rsidRDefault="00000000" w:rsidRPr="00000000" w14:paraId="0000001A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Dell Private AI Bundling: +15 to +20 bps</w:t>
      </w:r>
    </w:p>
    <w:p w:rsidR="00000000" w:rsidDel="00000000" w:rsidP="00000000" w:rsidRDefault="00000000" w:rsidRPr="00000000" w14:paraId="0000001B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Managed Services Indexing: +10 to +15 bps</w:t>
      </w:r>
    </w:p>
    <w:p w:rsidR="00000000" w:rsidDel="00000000" w:rsidP="00000000" w:rsidRDefault="00000000" w:rsidRPr="00000000" w14:paraId="0000001C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Deal-Desk Discount Governance: +10 bps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Slide 5: Risk Management &amp; Sales Execution Governance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Risk 1: Client Rate Resistance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i w:val="1"/>
          <w:iCs w:val="1"/>
          <w:rtl w:val="0"/>
        </w:rPr>
        <w:t xml:space="preserve">Mitigation: Offer dual-option proposals (T&amp;M vs. Risk-Shared Gain-Share).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Risk 2: Sales Incentive Misalignment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i w:val="1"/>
          <w:iCs w:val="1"/>
          <w:rtl w:val="0"/>
        </w:rPr>
        <w:t xml:space="preserve">Mitigation: Shift Account Leader bonuses from Top-Line Bookings to Gross Margin Dollars.</w:t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Slide 6: Implementation Roadmap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Q1 FY2027:</w:t>
      </w:r>
      <w:r w:rsidDel="00000000" w:rsidR="00000000" w:rsidRPr="00000000">
        <w:rPr>
          <w:rtl w:val="0"/>
        </w:rPr>
        <w:t xml:space="preserve"> Enforce mandatory Deal-Desk discount floors &amp; rate controls.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Q2 FY2027:</w:t>
      </w:r>
      <w:r w:rsidDel="00000000" w:rsidR="00000000" w:rsidRPr="00000000">
        <w:rPr>
          <w:rtl w:val="0"/>
        </w:rPr>
        <w:t xml:space="preserve"> Roll out GenAI Value-Based Pricing Playbook to top 50 Diamond Clients.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Q3 FY2027:</w:t>
      </w:r>
      <w:r w:rsidDel="00000000" w:rsidR="00000000" w:rsidRPr="00000000">
        <w:rPr>
          <w:rtl w:val="0"/>
        </w:rPr>
        <w:t xml:space="preserve"> Launch global unified subscription pricing for the Accenture Dell Business Group.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