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6AB3" w14:textId="62A4A4A2" w:rsidR="00F47CD0" w:rsidRDefault="00F47CD0" w:rsidP="00F47CD0">
      <w:pPr>
        <w:jc w:val="center"/>
        <w:rPr>
          <w:b/>
          <w:bCs/>
        </w:rPr>
      </w:pPr>
      <w:r>
        <w:rPr>
          <w:b/>
          <w:bCs/>
        </w:rPr>
        <w:t>Mapping Georgia’s Nurse Practitioner Workforce</w:t>
      </w:r>
    </w:p>
    <w:p w14:paraId="5B7B354B" w14:textId="6E58AB3D" w:rsidR="00F47CD0" w:rsidRDefault="00F47CD0" w:rsidP="00F47CD0">
      <w:pPr>
        <w:jc w:val="center"/>
      </w:pPr>
      <w:r>
        <w:rPr>
          <w:b/>
          <w:bCs/>
        </w:rPr>
        <w:t>AI.Data Lab – Fall 2025</w:t>
      </w:r>
    </w:p>
    <w:p w14:paraId="67A377D4" w14:textId="77777777" w:rsidR="00F47CD0" w:rsidRDefault="00F47CD0" w:rsidP="00F47CD0"/>
    <w:p w14:paraId="25496B30" w14:textId="6D7F9B4C" w:rsidR="00061FF9" w:rsidRDefault="00F47CD0" w:rsidP="00F47CD0">
      <w:r>
        <w:rPr>
          <w:b/>
          <w:bCs/>
        </w:rPr>
        <w:t>Overall Project Description:</w:t>
      </w:r>
      <w:r>
        <w:t xml:space="preserve"> The Georgia Nursing Workforce Center, housed at Emory University’s Nell Hodgson Woodruff School of Nursing, is charged with projecting the supply and demand of Georgia’s nursing workforce. This also includes Georgia’s nurse practitioners (NPs), who work in a variety of specialties including primary care, acute care, and critical care for both adults and children, as well as psych/mental health, women &amp; infants (e.g., women’s health NPs, neonatal NPs), and community-based settings.</w:t>
      </w:r>
      <w:r w:rsidR="00EA6D87">
        <w:t xml:space="preserve"> Your </w:t>
      </w:r>
      <w:r w:rsidR="00061FF9">
        <w:t xml:space="preserve">main </w:t>
      </w:r>
      <w:r w:rsidR="00EA6D87">
        <w:t xml:space="preserve">task is to create an </w:t>
      </w:r>
      <w:r w:rsidR="00EA6D87" w:rsidRPr="00D414BB">
        <w:rPr>
          <w:u w:val="single"/>
        </w:rPr>
        <w:t>interactive, county-level map</w:t>
      </w:r>
      <w:r w:rsidR="00D414BB">
        <w:t xml:space="preserve"> of the state</w:t>
      </w:r>
      <w:r w:rsidR="00EA6D87">
        <w:t xml:space="preserve"> demonstrating the density of NPs across specialties throughout Georgia. </w:t>
      </w:r>
    </w:p>
    <w:p w14:paraId="04B18BB3" w14:textId="6DCD3FD7" w:rsidR="00632202" w:rsidRDefault="00632202" w:rsidP="00632202">
      <w:r>
        <w:rPr>
          <w:b/>
          <w:bCs/>
        </w:rPr>
        <w:t>General guidelines.</w:t>
      </w:r>
      <w:r>
        <w:t xml:space="preserve"> </w:t>
      </w:r>
      <w:r>
        <w:t xml:space="preserve">Ideally, this map will include </w:t>
      </w:r>
      <w:r>
        <w:t>the following features:</w:t>
      </w:r>
    </w:p>
    <w:p w14:paraId="5D8B621A" w14:textId="77777777" w:rsidR="00632202" w:rsidRDefault="00632202" w:rsidP="00632202">
      <w:pPr>
        <w:pStyle w:val="ListParagraph"/>
        <w:numPr>
          <w:ilvl w:val="0"/>
          <w:numId w:val="3"/>
        </w:numPr>
      </w:pPr>
      <w:r>
        <w:t xml:space="preserve">The ability </w:t>
      </w:r>
      <w:r>
        <w:t xml:space="preserve">to view distribution </w:t>
      </w:r>
      <w:r>
        <w:t xml:space="preserve">of a single specialty </w:t>
      </w:r>
      <w:r>
        <w:t>across the state</w:t>
      </w:r>
      <w:r>
        <w:t>, including density shading to provide strong data visualization</w:t>
      </w:r>
    </w:p>
    <w:p w14:paraId="1B5570FD" w14:textId="025E2656" w:rsidR="00632202" w:rsidRDefault="00632202" w:rsidP="00632202">
      <w:pPr>
        <w:pStyle w:val="ListParagraph"/>
        <w:numPr>
          <w:ilvl w:val="0"/>
          <w:numId w:val="3"/>
        </w:numPr>
      </w:pPr>
      <w:r>
        <w:t xml:space="preserve"> </w:t>
      </w:r>
      <w:r>
        <w:t>T</w:t>
      </w:r>
      <w:r>
        <w:t xml:space="preserve">he ability to “zoom in” and look at the </w:t>
      </w:r>
      <w:r>
        <w:t xml:space="preserve">breakdown of NPs across specialties </w:t>
      </w:r>
      <w:r>
        <w:rPr>
          <w:i/>
          <w:iCs/>
        </w:rPr>
        <w:t>within a given county</w:t>
      </w:r>
      <w:r>
        <w:t>.</w:t>
      </w:r>
    </w:p>
    <w:p w14:paraId="6BB9A2E6" w14:textId="5CD484C9" w:rsidR="009D72B6" w:rsidRDefault="009D72B6" w:rsidP="00632202">
      <w:pPr>
        <w:pStyle w:val="ListParagraph"/>
        <w:numPr>
          <w:ilvl w:val="0"/>
          <w:numId w:val="3"/>
        </w:numPr>
      </w:pPr>
      <w:r>
        <w:t>User-friendly, de-identified from NPs’ names, and publicly available</w:t>
      </w:r>
    </w:p>
    <w:p w14:paraId="619F523E" w14:textId="37DC5268" w:rsidR="00632202" w:rsidRPr="00632202" w:rsidRDefault="00632202" w:rsidP="00F47CD0"/>
    <w:p w14:paraId="6AE35EE3" w14:textId="3F22565F" w:rsidR="00EA6D87" w:rsidRDefault="00061FF9" w:rsidP="00F47CD0">
      <w:r>
        <w:t>To do this, you will use a previously-created dataset where each row represents one NP. Key variables include the following:</w:t>
      </w:r>
    </w:p>
    <w:p w14:paraId="0BCEB338" w14:textId="2687F759" w:rsidR="00061FF9" w:rsidRDefault="00061FF9" w:rsidP="00061FF9">
      <w:pPr>
        <w:pStyle w:val="ListParagraph"/>
        <w:numPr>
          <w:ilvl w:val="0"/>
          <w:numId w:val="1"/>
        </w:numPr>
      </w:pPr>
      <w:r>
        <w:rPr>
          <w:b/>
          <w:bCs/>
        </w:rPr>
        <w:t>NPI</w:t>
      </w:r>
      <w:r>
        <w:t xml:space="preserve"> – National Provider Identification number. A uniquely-assigned number that every prescriber (physician, NP, etc.) must have in order to practice in their state(s).</w:t>
      </w:r>
    </w:p>
    <w:p w14:paraId="5765F154" w14:textId="77777777" w:rsidR="00061FF9" w:rsidRDefault="00061FF9" w:rsidP="00061FF9">
      <w:pPr>
        <w:pStyle w:val="ListParagraph"/>
        <w:numPr>
          <w:ilvl w:val="0"/>
          <w:numId w:val="1"/>
        </w:numPr>
      </w:pPr>
      <w:r>
        <w:rPr>
          <w:b/>
          <w:bCs/>
        </w:rPr>
        <w:t xml:space="preserve">Address </w:t>
      </w:r>
      <w:r>
        <w:t xml:space="preserve">– separate fields for Address1, Address2, City, State, ZIP. Part of your task will be to map ZIP codes to the county level. The Housing-Urban Development (HUD) file included in this start-up package does contain a ZIP-to-county crosswalk, but as you’ll see, one ZIP code can span multiple counties. </w:t>
      </w:r>
    </w:p>
    <w:p w14:paraId="3DB997DC" w14:textId="0DD736E2" w:rsidR="00061FF9" w:rsidRDefault="00061FF9" w:rsidP="00061FF9">
      <w:pPr>
        <w:pStyle w:val="ListParagraph"/>
        <w:numPr>
          <w:ilvl w:val="1"/>
          <w:numId w:val="1"/>
        </w:numPr>
      </w:pPr>
      <w:r>
        <w:t>The HUD file does provide estimates of the percentage of residential, business, and total addresses from that ZIP code that are situated in that county, but in cases where a ZIP is relatively evenly split, this may not be sufficient.</w:t>
      </w:r>
    </w:p>
    <w:p w14:paraId="73E514C6" w14:textId="5EBDE812" w:rsidR="00D025B4" w:rsidRDefault="00061FF9" w:rsidP="00D025B4">
      <w:pPr>
        <w:pStyle w:val="ListParagraph"/>
        <w:numPr>
          <w:ilvl w:val="0"/>
          <w:numId w:val="1"/>
        </w:numPr>
      </w:pPr>
      <w:r>
        <w:rPr>
          <w:b/>
          <w:bCs/>
        </w:rPr>
        <w:t xml:space="preserve">NP Type </w:t>
      </w:r>
      <w:r>
        <w:t xml:space="preserve">– string variable based on the numerical variable NP_Taxonomy_Code. Each taxonomy code translates to a specific NP specialty that NPs’ select when </w:t>
      </w:r>
      <w:r w:rsidR="004B59AC">
        <w:t xml:space="preserve">they apply for their NPI number. </w:t>
      </w:r>
      <w:r w:rsidR="00D025B4">
        <w:t>NP specialization types include:</w:t>
      </w:r>
    </w:p>
    <w:p w14:paraId="7DBB3ABA" w14:textId="77777777" w:rsidR="001C2A6F" w:rsidRDefault="001C2A6F" w:rsidP="00D025B4">
      <w:pPr>
        <w:pStyle w:val="ListParagraph"/>
        <w:numPr>
          <w:ilvl w:val="1"/>
          <w:numId w:val="1"/>
        </w:numPr>
      </w:pPr>
      <w:r>
        <w:t>Acute Care NP</w:t>
      </w:r>
    </w:p>
    <w:p w14:paraId="5995A229" w14:textId="4BDE97EA" w:rsidR="001C2A6F" w:rsidRDefault="00D15AA8" w:rsidP="00D025B4">
      <w:pPr>
        <w:pStyle w:val="ListParagraph"/>
        <w:numPr>
          <w:ilvl w:val="1"/>
          <w:numId w:val="1"/>
        </w:numPr>
      </w:pPr>
      <w:r>
        <w:lastRenderedPageBreak/>
        <w:t>Adult/Gero NP</w:t>
      </w:r>
    </w:p>
    <w:p w14:paraId="22CBFE1D" w14:textId="53CE8FAA" w:rsidR="00190E60" w:rsidRDefault="00190E60" w:rsidP="00D025B4">
      <w:pPr>
        <w:pStyle w:val="ListParagraph"/>
        <w:numPr>
          <w:ilvl w:val="1"/>
          <w:numId w:val="1"/>
        </w:numPr>
      </w:pPr>
      <w:r>
        <w:t>Community Health NP</w:t>
      </w:r>
    </w:p>
    <w:p w14:paraId="6FC7F293" w14:textId="7B796B33" w:rsidR="00190E60" w:rsidRDefault="00190E60" w:rsidP="00D025B4">
      <w:pPr>
        <w:pStyle w:val="ListParagraph"/>
        <w:numPr>
          <w:ilvl w:val="1"/>
          <w:numId w:val="1"/>
        </w:numPr>
      </w:pPr>
      <w:r>
        <w:t>Critical Care NP</w:t>
      </w:r>
    </w:p>
    <w:p w14:paraId="588787DC" w14:textId="6EB493E5" w:rsidR="00D025B4" w:rsidRDefault="00D025B4" w:rsidP="00D025B4">
      <w:pPr>
        <w:pStyle w:val="ListParagraph"/>
        <w:numPr>
          <w:ilvl w:val="1"/>
          <w:numId w:val="1"/>
        </w:numPr>
      </w:pPr>
      <w:r>
        <w:t>Family NP</w:t>
      </w:r>
      <w:r w:rsidR="00794C28">
        <w:t xml:space="preserve"> </w:t>
      </w:r>
    </w:p>
    <w:p w14:paraId="6CABA6DD" w14:textId="4395FE05" w:rsidR="009444FB" w:rsidRDefault="009444FB" w:rsidP="00D025B4">
      <w:pPr>
        <w:pStyle w:val="ListParagraph"/>
        <w:numPr>
          <w:ilvl w:val="1"/>
          <w:numId w:val="1"/>
        </w:numPr>
      </w:pPr>
      <w:r>
        <w:t>Neonatal Critical Care NP</w:t>
      </w:r>
    </w:p>
    <w:p w14:paraId="42F76320" w14:textId="6D755563" w:rsidR="009444FB" w:rsidRDefault="009444FB" w:rsidP="00D025B4">
      <w:pPr>
        <w:pStyle w:val="ListParagraph"/>
        <w:numPr>
          <w:ilvl w:val="1"/>
          <w:numId w:val="1"/>
        </w:numPr>
      </w:pPr>
      <w:r>
        <w:t>Neonatal NP</w:t>
      </w:r>
    </w:p>
    <w:p w14:paraId="6E09869B" w14:textId="2F589A94" w:rsidR="00190E60" w:rsidRDefault="00190E60" w:rsidP="00D025B4">
      <w:pPr>
        <w:pStyle w:val="ListParagraph"/>
        <w:numPr>
          <w:ilvl w:val="1"/>
          <w:numId w:val="1"/>
        </w:numPr>
      </w:pPr>
      <w:r>
        <w:t>OBGYN NP</w:t>
      </w:r>
    </w:p>
    <w:p w14:paraId="1A7B0C0C" w14:textId="5D4A8D33" w:rsidR="00BE2A03" w:rsidRDefault="00BE2A03" w:rsidP="00D025B4">
      <w:pPr>
        <w:pStyle w:val="ListParagraph"/>
        <w:numPr>
          <w:ilvl w:val="1"/>
          <w:numId w:val="1"/>
        </w:numPr>
      </w:pPr>
      <w:r>
        <w:t>Occupational Health NP</w:t>
      </w:r>
    </w:p>
    <w:p w14:paraId="784A09AC" w14:textId="100B4E9C" w:rsidR="00BE2A03" w:rsidRDefault="00BE2A03" w:rsidP="00D025B4">
      <w:pPr>
        <w:pStyle w:val="ListParagraph"/>
        <w:numPr>
          <w:ilvl w:val="1"/>
          <w:numId w:val="1"/>
        </w:numPr>
      </w:pPr>
      <w:r>
        <w:t>Pediatrics Critical Care NP</w:t>
      </w:r>
    </w:p>
    <w:p w14:paraId="440ABAFD" w14:textId="1F4A9C0C" w:rsidR="00190E60" w:rsidRDefault="00190E60" w:rsidP="00D025B4">
      <w:pPr>
        <w:pStyle w:val="ListParagraph"/>
        <w:numPr>
          <w:ilvl w:val="1"/>
          <w:numId w:val="1"/>
        </w:numPr>
      </w:pPr>
      <w:r>
        <w:t>Pediatrics NP</w:t>
      </w:r>
    </w:p>
    <w:p w14:paraId="57CFA176" w14:textId="3F915EAD" w:rsidR="00C2219E" w:rsidRDefault="00C2219E" w:rsidP="00D025B4">
      <w:pPr>
        <w:pStyle w:val="ListParagraph"/>
        <w:numPr>
          <w:ilvl w:val="1"/>
          <w:numId w:val="1"/>
        </w:numPr>
      </w:pPr>
      <w:r>
        <w:t>Primary Care NP</w:t>
      </w:r>
    </w:p>
    <w:p w14:paraId="379390C5" w14:textId="0029E03C" w:rsidR="00C2219E" w:rsidRDefault="00C2219E" w:rsidP="00D025B4">
      <w:pPr>
        <w:pStyle w:val="ListParagraph"/>
        <w:numPr>
          <w:ilvl w:val="1"/>
          <w:numId w:val="1"/>
        </w:numPr>
      </w:pPr>
      <w:r>
        <w:t>Psych/Mental Health NP</w:t>
      </w:r>
    </w:p>
    <w:p w14:paraId="75809DB9" w14:textId="7CAA895B" w:rsidR="00A4268E" w:rsidRDefault="00A4268E" w:rsidP="00D025B4">
      <w:pPr>
        <w:pStyle w:val="ListParagraph"/>
        <w:numPr>
          <w:ilvl w:val="1"/>
          <w:numId w:val="1"/>
        </w:numPr>
      </w:pPr>
      <w:r>
        <w:t>School NP</w:t>
      </w:r>
    </w:p>
    <w:p w14:paraId="2378667B" w14:textId="4E7C2CEA" w:rsidR="00190E60" w:rsidRPr="00D025B4" w:rsidRDefault="00C2219E" w:rsidP="00D025B4">
      <w:pPr>
        <w:pStyle w:val="ListParagraph"/>
        <w:numPr>
          <w:ilvl w:val="1"/>
          <w:numId w:val="1"/>
        </w:numPr>
      </w:pPr>
      <w:r>
        <w:t>Women’s Health NP</w:t>
      </w:r>
    </w:p>
    <w:p w14:paraId="420BEE19" w14:textId="7CACF456" w:rsidR="00E833F8" w:rsidRPr="00E833F8" w:rsidRDefault="00C2219E" w:rsidP="00E833F8">
      <w:pPr>
        <w:pStyle w:val="ListParagraph"/>
        <w:numPr>
          <w:ilvl w:val="1"/>
          <w:numId w:val="1"/>
        </w:numPr>
      </w:pPr>
      <w:r>
        <w:rPr>
          <w:b/>
          <w:bCs/>
        </w:rPr>
        <w:t>NP, no subspecialty noted</w:t>
      </w:r>
      <w:r w:rsidR="00D15AA8">
        <w:rPr>
          <w:b/>
          <w:bCs/>
        </w:rPr>
        <w:t xml:space="preserve"> (see Challenges to Consider)</w:t>
      </w:r>
    </w:p>
    <w:p w14:paraId="6C6603E1" w14:textId="55EB3080" w:rsidR="00E833F8" w:rsidRPr="00E833F8" w:rsidRDefault="00E833F8" w:rsidP="00BB004A">
      <w:pPr>
        <w:pStyle w:val="ListParagraph"/>
      </w:pPr>
    </w:p>
    <w:p w14:paraId="7663A669" w14:textId="756C204A" w:rsidR="00E833F8" w:rsidRDefault="00BB004A" w:rsidP="00BB004A">
      <w:pPr>
        <w:ind w:left="360"/>
      </w:pPr>
      <w:r>
        <w:rPr>
          <w:b/>
          <w:bCs/>
        </w:rPr>
        <w:t>Challenges to Consider:</w:t>
      </w:r>
    </w:p>
    <w:p w14:paraId="7A2C9C01" w14:textId="2FFC522D" w:rsidR="009629D2" w:rsidRDefault="009629D2" w:rsidP="009629D2">
      <w:pPr>
        <w:pStyle w:val="ListParagraph"/>
        <w:numPr>
          <w:ilvl w:val="0"/>
          <w:numId w:val="2"/>
        </w:numPr>
      </w:pPr>
      <w:r>
        <w:rPr>
          <w:u w:val="single"/>
        </w:rPr>
        <w:t>Missing NP specialties:</w:t>
      </w:r>
      <w:r>
        <w:t xml:space="preserve"> </w:t>
      </w:r>
      <w:r w:rsidR="00A002A7">
        <w:t xml:space="preserve">About 2,500 of the ~15,000 or so NPs in the data do not have a subspecialty noted. </w:t>
      </w:r>
      <w:r w:rsidR="007400EB">
        <w:t>For many of these NPs, it will be possible to categorize them into specialties based on their credentials</w:t>
      </w:r>
      <w:r w:rsidR="00791036">
        <w:t xml:space="preserve"> (variable: </w:t>
      </w:r>
      <w:r w:rsidR="00791036" w:rsidRPr="00791036">
        <w:t>Provider_Credentials</w:t>
      </w:r>
      <w:r w:rsidR="00791036">
        <w:t xml:space="preserve">). See the </w:t>
      </w:r>
      <w:r w:rsidR="00791036">
        <w:rPr>
          <w:b/>
          <w:bCs/>
        </w:rPr>
        <w:t xml:space="preserve">NP </w:t>
      </w:r>
      <w:r>
        <w:rPr>
          <w:b/>
          <w:bCs/>
        </w:rPr>
        <w:t xml:space="preserve">Specialty Credentials document </w:t>
      </w:r>
      <w:r>
        <w:t>for a list of what an NP’s credentials may contain so they may be assigned appropriately (e.g., an Adult/Gero Primary Care NP should go under Adult/Gero)</w:t>
      </w:r>
    </w:p>
    <w:p w14:paraId="08ED65BB" w14:textId="5279235D" w:rsidR="009629D2" w:rsidRDefault="009629D2" w:rsidP="00AE4CC8">
      <w:pPr>
        <w:pStyle w:val="ListParagraph"/>
        <w:numPr>
          <w:ilvl w:val="0"/>
          <w:numId w:val="2"/>
        </w:numPr>
      </w:pPr>
      <w:r>
        <w:rPr>
          <w:u w:val="single"/>
        </w:rPr>
        <w:t>Small group sizes:</w:t>
      </w:r>
      <w:r>
        <w:t xml:space="preserve"> </w:t>
      </w:r>
      <w:r w:rsidR="009D3897">
        <w:t xml:space="preserve">Consider grouping smaller subspecialties </w:t>
      </w:r>
      <w:r w:rsidR="00F30222">
        <w:t xml:space="preserve">where relevant. For example, over half the NPs in this dataset are Family NPs, most of whom likely provide primary care. It may make sense to combine Primary Care NPs (of which there are only about 300) with Family NPs for a larger “Family/Primary Care NP” grouping. </w:t>
      </w:r>
    </w:p>
    <w:p w14:paraId="4CEA39E6" w14:textId="79BAA8DF" w:rsidR="00AE4CC8" w:rsidRDefault="00AE4CC8" w:rsidP="009629D2">
      <w:pPr>
        <w:pStyle w:val="ListParagraph"/>
        <w:numPr>
          <w:ilvl w:val="1"/>
          <w:numId w:val="2"/>
        </w:numPr>
      </w:pPr>
      <w:r>
        <w:t>Highly specialized groups (i.e., Neonatal Critical Care NPs) should not be lumped in with other groups unless absolutely necessary.</w:t>
      </w:r>
    </w:p>
    <w:p w14:paraId="100DF61D" w14:textId="01B1059B" w:rsidR="00AE4CC8" w:rsidRDefault="008C78E1" w:rsidP="00AE4CC8">
      <w:pPr>
        <w:pStyle w:val="ListParagraph"/>
        <w:numPr>
          <w:ilvl w:val="0"/>
          <w:numId w:val="2"/>
        </w:numPr>
      </w:pPr>
      <w:r w:rsidRPr="00F01723">
        <w:rPr>
          <w:u w:val="single"/>
        </w:rPr>
        <w:t xml:space="preserve">Address </w:t>
      </w:r>
      <w:r w:rsidR="00464EFB" w:rsidRPr="00F01723">
        <w:rPr>
          <w:u w:val="single"/>
        </w:rPr>
        <w:t>challenges</w:t>
      </w:r>
      <w:r w:rsidR="00464EFB">
        <w:t xml:space="preserve">: In addition to the imperfect ZIP-to-county matching in the HUD file, there are also </w:t>
      </w:r>
      <w:r w:rsidR="00464EFB" w:rsidRPr="004618E8">
        <w:rPr>
          <w:i/>
          <w:iCs/>
        </w:rPr>
        <w:t>many</w:t>
      </w:r>
      <w:r w:rsidR="00464EFB">
        <w:t xml:space="preserve"> ways to write a</w:t>
      </w:r>
      <w:r w:rsidR="004618E8">
        <w:t xml:space="preserve"> single</w:t>
      </w:r>
      <w:r w:rsidR="00464EFB">
        <w:t xml:space="preserve"> address</w:t>
      </w:r>
      <w:r w:rsidR="004618E8">
        <w:t xml:space="preserve">. For example, one NP may list their address as “123 Main Street, Suite 100”, while another NP may write “123 Main </w:t>
      </w:r>
      <w:r w:rsidR="004618E8">
        <w:rPr>
          <w:b/>
          <w:bCs/>
        </w:rPr>
        <w:t>St.</w:t>
      </w:r>
      <w:r w:rsidR="004618E8">
        <w:t xml:space="preserve">” as their main address with “Suite 100” or “Ste. 100” as their second-line address. </w:t>
      </w:r>
      <w:r w:rsidR="00F01723">
        <w:t>This may be important for those ZIP codes that are located across multiple counties.</w:t>
      </w:r>
    </w:p>
    <w:p w14:paraId="1E626BAD" w14:textId="1C4C8EC8" w:rsidR="009D72B6" w:rsidRDefault="009D72B6" w:rsidP="009D72B6">
      <w:r>
        <w:rPr>
          <w:b/>
          <w:bCs/>
        </w:rPr>
        <w:lastRenderedPageBreak/>
        <w:t>Secondary Projects:</w:t>
      </w:r>
    </w:p>
    <w:p w14:paraId="7EF4B98B" w14:textId="6218F467" w:rsidR="009D72B6" w:rsidRDefault="009D72B6" w:rsidP="009D72B6">
      <w:r>
        <w:t>Should you complete a working map with time left over in the semester, feel free t</w:t>
      </w:r>
      <w:r w:rsidR="00A44A88">
        <w:t>o build on your work with one of the following:</w:t>
      </w:r>
    </w:p>
    <w:p w14:paraId="2602C23C" w14:textId="62CCFE99" w:rsidR="00A44A88" w:rsidRDefault="001078D2" w:rsidP="00D9652E">
      <w:pPr>
        <w:pStyle w:val="ListParagraph"/>
        <w:numPr>
          <w:ilvl w:val="0"/>
          <w:numId w:val="5"/>
        </w:numPr>
      </w:pPr>
      <w:r>
        <w:t xml:space="preserve">Create an NP-to-physician ratio variable for core specialties: family practice, emergency medicine, psych/mental health, OBGYN/women’s health, </w:t>
      </w:r>
      <w:r w:rsidR="007974E6">
        <w:t xml:space="preserve">and pediatrics). See </w:t>
      </w:r>
      <w:r w:rsidR="007974E6">
        <w:rPr>
          <w:b/>
          <w:bCs/>
        </w:rPr>
        <w:t xml:space="preserve">Georgia PCPs by County </w:t>
      </w:r>
      <w:r w:rsidR="007974E6">
        <w:t>PDF file in startup package.</w:t>
      </w:r>
    </w:p>
    <w:p w14:paraId="37C5C45E" w14:textId="1DE3B48D" w:rsidR="007974E6" w:rsidRDefault="007974E6" w:rsidP="00D9652E">
      <w:pPr>
        <w:pStyle w:val="ListParagraph"/>
        <w:numPr>
          <w:ilvl w:val="0"/>
          <w:numId w:val="5"/>
        </w:numPr>
      </w:pPr>
      <w:r>
        <w:t xml:space="preserve">Identify the </w:t>
      </w:r>
      <w:r w:rsidR="00785CF3">
        <w:t xml:space="preserve">degree of specialty concordance between Georgia NPs and their supervising physician. Every NP in Georgia must have a protocol agreement with a physician in order to be able to practice. See </w:t>
      </w:r>
      <w:r w:rsidR="00785CF3">
        <w:rPr>
          <w:b/>
          <w:bCs/>
        </w:rPr>
        <w:t>Protocol Agreements</w:t>
      </w:r>
      <w:r w:rsidR="00785CF3">
        <w:t xml:space="preserve"> file. </w:t>
      </w:r>
    </w:p>
    <w:p w14:paraId="5BD819B9" w14:textId="0E1F0DE8" w:rsidR="00785CF3" w:rsidRDefault="00785CF3" w:rsidP="00785CF3">
      <w:pPr>
        <w:pStyle w:val="ListParagraph"/>
        <w:numPr>
          <w:ilvl w:val="1"/>
          <w:numId w:val="5"/>
        </w:numPr>
      </w:pPr>
      <w:r>
        <w:t>This will likely involve some web scraping to identify physician specialties</w:t>
      </w:r>
    </w:p>
    <w:p w14:paraId="3BECE115" w14:textId="69A971CA" w:rsidR="00785CF3" w:rsidRDefault="00785CF3" w:rsidP="00785CF3">
      <w:pPr>
        <w:pStyle w:val="ListParagraph"/>
        <w:numPr>
          <w:ilvl w:val="0"/>
          <w:numId w:val="5"/>
        </w:numPr>
      </w:pPr>
      <w:r>
        <w:t xml:space="preserve">Examine any relationships between provider density (or NP-to-physician ratio) and relevant county-level outcomes – for example, is there a relationship between the number of psych/mental health NPs in a given county and outcomes such as suicide, drug overdose, or firearm injury? </w:t>
      </w:r>
    </w:p>
    <w:p w14:paraId="0B88E387" w14:textId="77777777" w:rsidR="00785CF3" w:rsidRDefault="00785CF3" w:rsidP="00785CF3">
      <w:pPr>
        <w:pStyle w:val="ListParagraph"/>
        <w:numPr>
          <w:ilvl w:val="1"/>
          <w:numId w:val="5"/>
        </w:numPr>
      </w:pPr>
      <w:r>
        <w:t>This is just an example, feel free to explore any relationships between NP availability (or NP-to-physician ratio) and health outcomes.</w:t>
      </w:r>
    </w:p>
    <w:p w14:paraId="40C4565E" w14:textId="1D8D696B" w:rsidR="00785CF3" w:rsidRPr="007E4BC9" w:rsidRDefault="00785CF3" w:rsidP="00785CF3">
      <w:pPr>
        <w:pStyle w:val="ListParagraph"/>
        <w:numPr>
          <w:ilvl w:val="1"/>
          <w:numId w:val="5"/>
        </w:numPr>
      </w:pPr>
      <w:r>
        <w:t xml:space="preserve">The </w:t>
      </w:r>
      <w:r>
        <w:rPr>
          <w:b/>
          <w:bCs/>
        </w:rPr>
        <w:t>County Health Rankings</w:t>
      </w:r>
      <w:r>
        <w:rPr>
          <w:bCs/>
        </w:rPr>
        <w:t>, a publicly available data source, may be a great start for this.</w:t>
      </w:r>
    </w:p>
    <w:p w14:paraId="29CAA808" w14:textId="2E4ACFAE" w:rsidR="007E4BC9" w:rsidRDefault="007E4BC9" w:rsidP="007E4BC9">
      <w:r>
        <w:t>Teams who put together exceptional project</w:t>
      </w:r>
      <w:r w:rsidR="007E4080">
        <w:t>s</w:t>
      </w:r>
      <w:r>
        <w:t xml:space="preserve"> may be </w:t>
      </w:r>
      <w:r w:rsidR="007E4080">
        <w:t>invited to serve as co-authors on relevant papers and/or join the workforce center for future nursing &amp; public health research opportunities.</w:t>
      </w:r>
    </w:p>
    <w:p w14:paraId="41A03F09" w14:textId="77777777" w:rsidR="007E4080" w:rsidRDefault="007E4080" w:rsidP="007E4BC9"/>
    <w:p w14:paraId="6110E854" w14:textId="7891BCDA" w:rsidR="007E4BC9" w:rsidRPr="007E4BC9" w:rsidRDefault="007E4BC9" w:rsidP="007E4BC9">
      <w:r>
        <w:t xml:space="preserve">Please feel free to email me (Dr. Jacqueline Nikpour) at </w:t>
      </w:r>
      <w:hyperlink r:id="rId5" w:history="1">
        <w:r w:rsidR="007E4080" w:rsidRPr="006337FC">
          <w:rPr>
            <w:rStyle w:val="Hyperlink"/>
          </w:rPr>
          <w:t>janikpour@emory.edu</w:t>
        </w:r>
      </w:hyperlink>
      <w:r>
        <w:t xml:space="preserve"> with any questions.</w:t>
      </w:r>
      <w:r w:rsidR="00AB4DC6">
        <w:t xml:space="preserve"> Thank you for your time and dedication to this important public health work!</w:t>
      </w:r>
    </w:p>
    <w:sectPr w:rsidR="007E4BC9" w:rsidRPr="007E4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7A4"/>
    <w:multiLevelType w:val="hybridMultilevel"/>
    <w:tmpl w:val="65C6B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272162"/>
    <w:multiLevelType w:val="hybridMultilevel"/>
    <w:tmpl w:val="B8345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816D6C"/>
    <w:multiLevelType w:val="hybridMultilevel"/>
    <w:tmpl w:val="47469A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DDF7505"/>
    <w:multiLevelType w:val="hybridMultilevel"/>
    <w:tmpl w:val="381E44D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4" w15:restartNumberingAfterBreak="0">
    <w:nsid w:val="7B345DF3"/>
    <w:multiLevelType w:val="hybridMultilevel"/>
    <w:tmpl w:val="140A1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948425">
    <w:abstractNumId w:val="1"/>
  </w:num>
  <w:num w:numId="2" w16cid:durableId="2044211845">
    <w:abstractNumId w:val="2"/>
  </w:num>
  <w:num w:numId="3" w16cid:durableId="731805896">
    <w:abstractNumId w:val="3"/>
  </w:num>
  <w:num w:numId="4" w16cid:durableId="1618875679">
    <w:abstractNumId w:val="4"/>
  </w:num>
  <w:num w:numId="5" w16cid:durableId="109998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D0"/>
    <w:rsid w:val="00061FF9"/>
    <w:rsid w:val="001078D2"/>
    <w:rsid w:val="00190E60"/>
    <w:rsid w:val="001C2A6F"/>
    <w:rsid w:val="00346E90"/>
    <w:rsid w:val="004618E8"/>
    <w:rsid w:val="00464EFB"/>
    <w:rsid w:val="004B59AC"/>
    <w:rsid w:val="004B7CFD"/>
    <w:rsid w:val="00520425"/>
    <w:rsid w:val="00632202"/>
    <w:rsid w:val="007400EB"/>
    <w:rsid w:val="00785CF3"/>
    <w:rsid w:val="00791036"/>
    <w:rsid w:val="00794C28"/>
    <w:rsid w:val="007974E6"/>
    <w:rsid w:val="007E4080"/>
    <w:rsid w:val="007E4BC9"/>
    <w:rsid w:val="008C78E1"/>
    <w:rsid w:val="009444FB"/>
    <w:rsid w:val="009629D2"/>
    <w:rsid w:val="009D3897"/>
    <w:rsid w:val="009D72B6"/>
    <w:rsid w:val="00A002A7"/>
    <w:rsid w:val="00A4268E"/>
    <w:rsid w:val="00A44A88"/>
    <w:rsid w:val="00AB4DC6"/>
    <w:rsid w:val="00AE4CC8"/>
    <w:rsid w:val="00B74BA0"/>
    <w:rsid w:val="00BB004A"/>
    <w:rsid w:val="00BE2A03"/>
    <w:rsid w:val="00C2219E"/>
    <w:rsid w:val="00D025B4"/>
    <w:rsid w:val="00D15AA8"/>
    <w:rsid w:val="00D414BB"/>
    <w:rsid w:val="00D9652E"/>
    <w:rsid w:val="00E833F8"/>
    <w:rsid w:val="00EA6D87"/>
    <w:rsid w:val="00F01723"/>
    <w:rsid w:val="00F30222"/>
    <w:rsid w:val="00F47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979D"/>
  <w15:chartTrackingRefBased/>
  <w15:docId w15:val="{A24823B6-C9DC-4688-A4D8-4A95B022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D0"/>
    <w:rPr>
      <w:rFonts w:eastAsiaTheme="majorEastAsia" w:cstheme="majorBidi"/>
      <w:color w:val="272727" w:themeColor="text1" w:themeTint="D8"/>
    </w:rPr>
  </w:style>
  <w:style w:type="paragraph" w:styleId="Title">
    <w:name w:val="Title"/>
    <w:basedOn w:val="Normal"/>
    <w:next w:val="Normal"/>
    <w:link w:val="TitleChar"/>
    <w:uiPriority w:val="10"/>
    <w:qFormat/>
    <w:rsid w:val="00F47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D0"/>
    <w:pPr>
      <w:spacing w:before="160"/>
      <w:jc w:val="center"/>
    </w:pPr>
    <w:rPr>
      <w:i/>
      <w:iCs/>
      <w:color w:val="404040" w:themeColor="text1" w:themeTint="BF"/>
    </w:rPr>
  </w:style>
  <w:style w:type="character" w:customStyle="1" w:styleId="QuoteChar">
    <w:name w:val="Quote Char"/>
    <w:basedOn w:val="DefaultParagraphFont"/>
    <w:link w:val="Quote"/>
    <w:uiPriority w:val="29"/>
    <w:rsid w:val="00F47CD0"/>
    <w:rPr>
      <w:i/>
      <w:iCs/>
      <w:color w:val="404040" w:themeColor="text1" w:themeTint="BF"/>
    </w:rPr>
  </w:style>
  <w:style w:type="paragraph" w:styleId="ListParagraph">
    <w:name w:val="List Paragraph"/>
    <w:basedOn w:val="Normal"/>
    <w:uiPriority w:val="34"/>
    <w:qFormat/>
    <w:rsid w:val="00F47CD0"/>
    <w:pPr>
      <w:ind w:left="720"/>
      <w:contextualSpacing/>
    </w:pPr>
  </w:style>
  <w:style w:type="character" w:styleId="IntenseEmphasis">
    <w:name w:val="Intense Emphasis"/>
    <w:basedOn w:val="DefaultParagraphFont"/>
    <w:uiPriority w:val="21"/>
    <w:qFormat/>
    <w:rsid w:val="00F47CD0"/>
    <w:rPr>
      <w:i/>
      <w:iCs/>
      <w:color w:val="0F4761" w:themeColor="accent1" w:themeShade="BF"/>
    </w:rPr>
  </w:style>
  <w:style w:type="paragraph" w:styleId="IntenseQuote">
    <w:name w:val="Intense Quote"/>
    <w:basedOn w:val="Normal"/>
    <w:next w:val="Normal"/>
    <w:link w:val="IntenseQuoteChar"/>
    <w:uiPriority w:val="30"/>
    <w:qFormat/>
    <w:rsid w:val="00F47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D0"/>
    <w:rPr>
      <w:i/>
      <w:iCs/>
      <w:color w:val="0F4761" w:themeColor="accent1" w:themeShade="BF"/>
    </w:rPr>
  </w:style>
  <w:style w:type="character" w:styleId="IntenseReference">
    <w:name w:val="Intense Reference"/>
    <w:basedOn w:val="DefaultParagraphFont"/>
    <w:uiPriority w:val="32"/>
    <w:qFormat/>
    <w:rsid w:val="00F47CD0"/>
    <w:rPr>
      <w:b/>
      <w:bCs/>
      <w:smallCaps/>
      <w:color w:val="0F4761" w:themeColor="accent1" w:themeShade="BF"/>
      <w:spacing w:val="5"/>
    </w:rPr>
  </w:style>
  <w:style w:type="character" w:styleId="Hyperlink">
    <w:name w:val="Hyperlink"/>
    <w:basedOn w:val="DefaultParagraphFont"/>
    <w:uiPriority w:val="99"/>
    <w:unhideWhenUsed/>
    <w:rsid w:val="007E4BC9"/>
    <w:rPr>
      <w:color w:val="467886" w:themeColor="hyperlink"/>
      <w:u w:val="single"/>
    </w:rPr>
  </w:style>
  <w:style w:type="character" w:styleId="UnresolvedMention">
    <w:name w:val="Unresolved Mention"/>
    <w:basedOn w:val="DefaultParagraphFont"/>
    <w:uiPriority w:val="99"/>
    <w:semiHidden/>
    <w:unhideWhenUsed/>
    <w:rsid w:val="007E4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nikpour@emor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1323</TotalTime>
  <Pages>3</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Nikpour, Jacqueline A.</dc:creator>
  <cp:keywords/>
  <dc:description/>
  <cp:lastModifiedBy>Nikpour, Jacqueline A.</cp:lastModifiedBy>
  <cp:revision>37</cp:revision>
  <dcterms:created xsi:type="dcterms:W3CDTF">2025-10-06T19:37:00Z</dcterms:created>
  <dcterms:modified xsi:type="dcterms:W3CDTF">2025-10-07T19:07:00Z</dcterms:modified>
</cp:coreProperties>
</file>