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D65" w:rsidRDefault="003D7A48" w:rsidP="00EC6F5F">
      <w:pPr>
        <w:pStyle w:val="Titel"/>
        <w:rPr>
          <w:lang w:val="es-ES"/>
        </w:rPr>
      </w:pPr>
      <w:r>
        <w:rPr>
          <w:lang w:val="es-ES"/>
        </w:rPr>
        <w:t>Estado de situación de encuestas</w:t>
      </w:r>
    </w:p>
    <w:p w:rsidR="003D7A48" w:rsidRDefault="003D7A48" w:rsidP="003D7A48">
      <w:pPr>
        <w:rPr>
          <w:lang w:val="es-ES"/>
        </w:rPr>
      </w:pPr>
      <w:r>
        <w:rPr>
          <w:lang w:val="es-ES"/>
        </w:rPr>
        <w:t>En todo el período revisado, se tienen 24 encuestas publicadas y fichas técnicas de 23 de ellas. Se revisaron las mismas y se vaciaron a una matriz inicial de análisis que se adjunta al documento. Las conclusiones iniciales del estado de situación son las siguientes:</w:t>
      </w:r>
    </w:p>
    <w:p w:rsidR="003D7A48" w:rsidRDefault="003D7A48" w:rsidP="003D7A48">
      <w:pPr>
        <w:pStyle w:val="Listenabsatz"/>
        <w:numPr>
          <w:ilvl w:val="0"/>
          <w:numId w:val="1"/>
        </w:numPr>
        <w:rPr>
          <w:lang w:val="es-ES"/>
        </w:rPr>
      </w:pPr>
      <w:r>
        <w:rPr>
          <w:lang w:val="es-ES"/>
        </w:rPr>
        <w:t xml:space="preserve">Aunque se tiene alguna información sobre las encuestas publicadas, </w:t>
      </w:r>
      <w:r w:rsidR="00BC09E0">
        <w:rPr>
          <w:lang w:val="es-ES"/>
        </w:rPr>
        <w:t>solo en un</w:t>
      </w:r>
      <w:r>
        <w:rPr>
          <w:lang w:val="es-ES"/>
        </w:rPr>
        <w:t xml:space="preserve"> caso</w:t>
      </w:r>
      <w:r w:rsidR="00BC09E0">
        <w:rPr>
          <w:lang w:val="es-ES"/>
        </w:rPr>
        <w:t xml:space="preserve"> (CELAG)</w:t>
      </w:r>
      <w:r>
        <w:rPr>
          <w:lang w:val="es-ES"/>
        </w:rPr>
        <w:t xml:space="preserve"> hay datos ampliados sobre la metodología. Si se toman en cuenta los datos sin ello, es importante considerar que se está asumiendo que no hay errores metodológicos muestrales y que por tanto los datos son enteramente confiables. Por ejemplo, hay una encuesta que introduce criterios socioeconómicos, pero no es posible ver cómo operativizaron eso en el muestreo concretamente.</w:t>
      </w:r>
    </w:p>
    <w:p w:rsidR="003D7A48" w:rsidRDefault="003D7A48" w:rsidP="003D7A48">
      <w:pPr>
        <w:pStyle w:val="Listenabsatz"/>
        <w:numPr>
          <w:ilvl w:val="0"/>
          <w:numId w:val="1"/>
        </w:numPr>
        <w:rPr>
          <w:lang w:val="es-ES"/>
        </w:rPr>
      </w:pPr>
      <w:r>
        <w:rPr>
          <w:lang w:val="es-ES"/>
        </w:rPr>
        <w:t xml:space="preserve">Todas las encuestas tienen, teóricamente, el mismo nivel de confiabilidad de 95%, asumiendo que está bien aplicada la metodología, pero los márgenes de error varían. </w:t>
      </w:r>
    </w:p>
    <w:p w:rsidR="003D7A48" w:rsidRDefault="003D7A48" w:rsidP="003D7A48">
      <w:pPr>
        <w:pStyle w:val="Listenabsatz"/>
        <w:numPr>
          <w:ilvl w:val="0"/>
          <w:numId w:val="1"/>
        </w:numPr>
        <w:rPr>
          <w:lang w:val="es-ES"/>
        </w:rPr>
      </w:pPr>
      <w:r>
        <w:rPr>
          <w:lang w:val="es-ES"/>
        </w:rPr>
        <w:t>Es importante también, si se tuiviese acceso, contrastar que las preguntas sean compatibles y que no hayan preguntas que puedan interferir en la respuesta de los encuestados.</w:t>
      </w:r>
    </w:p>
    <w:p w:rsidR="003D7A48" w:rsidRDefault="003D7A48" w:rsidP="003D7A48">
      <w:pPr>
        <w:pStyle w:val="Listenabsatz"/>
        <w:numPr>
          <w:ilvl w:val="0"/>
          <w:numId w:val="1"/>
        </w:numPr>
        <w:rPr>
          <w:lang w:val="es-ES"/>
        </w:rPr>
      </w:pPr>
      <w:r>
        <w:rPr>
          <w:lang w:val="es-ES"/>
        </w:rPr>
        <w:t>El factor más importante para compatibilizar las diferentes encuestas en el tiempo es el alcance de la muestra. Hay 4 criterios centrales: ciudades del eje más El Alto, ciudades capitales más El Alto, ciudades intermedias y áreas rurales.</w:t>
      </w:r>
    </w:p>
    <w:p w:rsidR="00BC09E0" w:rsidRDefault="00BC09E0" w:rsidP="003D7A48">
      <w:pPr>
        <w:pStyle w:val="Listenabsatz"/>
        <w:numPr>
          <w:ilvl w:val="0"/>
          <w:numId w:val="1"/>
        </w:numPr>
        <w:rPr>
          <w:lang w:val="es-ES"/>
        </w:rPr>
      </w:pPr>
      <w:r>
        <w:rPr>
          <w:lang w:val="es-ES"/>
        </w:rPr>
        <w:t xml:space="preserve">Sin esta información en detalle, no es posible hacer esa valoración y en este momento solamente UNA de las encuestas cuenta con información específica sobre las localidades en las que se aplicó el formulario. </w:t>
      </w:r>
    </w:p>
    <w:p w:rsidR="00BC09E0" w:rsidRDefault="00BC09E0" w:rsidP="00BC09E0">
      <w:pPr>
        <w:pStyle w:val="Listenabsatz"/>
        <w:numPr>
          <w:ilvl w:val="0"/>
          <w:numId w:val="2"/>
        </w:numPr>
        <w:jc w:val="both"/>
        <w:rPr>
          <w:lang w:val="es-ES"/>
        </w:rPr>
      </w:pPr>
      <w:r>
        <w:rPr>
          <w:lang w:val="es-ES"/>
        </w:rPr>
        <w:t>La variable más importante para poder establecer una metodología de comparación es el alcance de la muestra. Mientras que el 100% de las encuestadoras consideran el llamado "eje" (La Paz, Cochabamba, Santa Cruz y El Alto), todo el resto del alcance puede ser muy variable y es necesario conocer los parámetros y las ciudades o comunidades que se incluyeron en la muestra. Se propone un instrumento como el siguiente ejemplo:</w:t>
      </w:r>
    </w:p>
    <w:p w:rsidR="00BC09E0" w:rsidRDefault="00BC09E0" w:rsidP="00BC09E0">
      <w:pPr>
        <w:rPr>
          <w:lang w:val="es-ES"/>
        </w:rPr>
      </w:pPr>
      <w:r w:rsidRPr="004350D0">
        <w:rPr>
          <w:noProof/>
          <w:lang w:eastAsia="de-DE"/>
        </w:rPr>
        <w:drawing>
          <wp:inline distT="0" distB="0" distL="0" distR="0">
            <wp:extent cx="5760720" cy="1768982"/>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0720" cy="1768982"/>
                    </a:xfrm>
                    <a:prstGeom prst="rect">
                      <a:avLst/>
                    </a:prstGeom>
                    <a:noFill/>
                    <a:ln w="9525">
                      <a:noFill/>
                      <a:miter lim="800000"/>
                      <a:headEnd/>
                      <a:tailEnd/>
                    </a:ln>
                  </pic:spPr>
                </pic:pic>
              </a:graphicData>
            </a:graphic>
          </wp:inline>
        </w:drawing>
      </w:r>
    </w:p>
    <w:p w:rsidR="00BC09E0" w:rsidRDefault="00BC09E0" w:rsidP="00BC09E0">
      <w:pPr>
        <w:jc w:val="both"/>
        <w:rPr>
          <w:lang w:val="es-ES"/>
        </w:rPr>
      </w:pPr>
      <w:r>
        <w:rPr>
          <w:lang w:val="es-ES"/>
        </w:rPr>
        <w:t>El instrumento nos permitirá tener una mirada general del alcance de las muestras utilizadas. Con ello, se puede hacer una valoración de las "piezas faltantes" en cada momento en el que tenemos una encuesta publicada:</w:t>
      </w:r>
    </w:p>
    <w:p w:rsidR="00BC09E0" w:rsidRDefault="00BC09E0" w:rsidP="00BC09E0">
      <w:pPr>
        <w:rPr>
          <w:lang w:val="es-ES"/>
        </w:rPr>
      </w:pPr>
      <w:r w:rsidRPr="004350D0">
        <w:rPr>
          <w:noProof/>
          <w:lang w:eastAsia="de-DE"/>
        </w:rPr>
        <w:lastRenderedPageBreak/>
        <w:drawing>
          <wp:inline distT="0" distB="0" distL="0" distR="0">
            <wp:extent cx="5760720" cy="1866373"/>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0720" cy="1866373"/>
                    </a:xfrm>
                    <a:prstGeom prst="rect">
                      <a:avLst/>
                    </a:prstGeom>
                    <a:noFill/>
                    <a:ln w="9525">
                      <a:noFill/>
                      <a:miter lim="800000"/>
                      <a:headEnd/>
                      <a:tailEnd/>
                    </a:ln>
                  </pic:spPr>
                </pic:pic>
              </a:graphicData>
            </a:graphic>
          </wp:inline>
        </w:drawing>
      </w:r>
    </w:p>
    <w:p w:rsidR="00BC09E0" w:rsidRDefault="00BC09E0" w:rsidP="00BC09E0">
      <w:pPr>
        <w:jc w:val="both"/>
        <w:rPr>
          <w:lang w:val="es-ES"/>
        </w:rPr>
      </w:pPr>
      <w:r>
        <w:rPr>
          <w:lang w:val="es-ES"/>
        </w:rPr>
        <w:t>Este instrumento nos permite identificar los meses en los que se cuenta con información más completa y nos dará pautas para la inferencia y la maetodología de "relleno" de los meses en los que no se tenga la información.</w:t>
      </w:r>
    </w:p>
    <w:p w:rsidR="00BC09E0" w:rsidRDefault="00BC09E0" w:rsidP="00BC09E0">
      <w:pPr>
        <w:jc w:val="both"/>
        <w:rPr>
          <w:lang w:val="es-ES"/>
        </w:rPr>
      </w:pPr>
      <w:r>
        <w:rPr>
          <w:lang w:val="es-ES"/>
        </w:rPr>
        <w:t>En ese caso, se considerará:</w:t>
      </w:r>
    </w:p>
    <w:p w:rsidR="00BC09E0" w:rsidRDefault="00BC09E0" w:rsidP="00BC09E0">
      <w:pPr>
        <w:pStyle w:val="Listenabsatz"/>
        <w:numPr>
          <w:ilvl w:val="0"/>
          <w:numId w:val="3"/>
        </w:numPr>
        <w:jc w:val="both"/>
        <w:rPr>
          <w:lang w:val="es-ES"/>
        </w:rPr>
      </w:pPr>
      <w:r>
        <w:rPr>
          <w:lang w:val="es-ES"/>
        </w:rPr>
        <w:t>El peso específico de las ciudades y comunidades faltantes ese mes respecto del padrón para determinar cuán grande sería el efecto de las mismas en el resultado.</w:t>
      </w:r>
    </w:p>
    <w:p w:rsidR="00BC09E0" w:rsidRDefault="00BC09E0" w:rsidP="00BC09E0">
      <w:pPr>
        <w:pStyle w:val="Listenabsatz"/>
        <w:numPr>
          <w:ilvl w:val="0"/>
          <w:numId w:val="3"/>
        </w:numPr>
        <w:jc w:val="both"/>
        <w:rPr>
          <w:lang w:val="es-ES"/>
        </w:rPr>
      </w:pPr>
      <w:r>
        <w:rPr>
          <w:lang w:val="es-ES"/>
        </w:rPr>
        <w:t xml:space="preserve">Cambios y variaciones en cada ciudad y localidad, para poder inferir resultados faltantes, por ejemplo en los casos en los que no haya datos pero la variación entre los datos que sí existan sea mínima. </w:t>
      </w:r>
    </w:p>
    <w:p w:rsidR="00BC09E0" w:rsidRPr="00BC09E0" w:rsidRDefault="00BC09E0" w:rsidP="00BC09E0">
      <w:pPr>
        <w:jc w:val="both"/>
        <w:rPr>
          <w:lang w:val="es-ES"/>
        </w:rPr>
      </w:pPr>
      <w:r w:rsidRPr="00BC09E0">
        <w:rPr>
          <w:b/>
          <w:bCs/>
          <w:i/>
          <w:iCs/>
          <w:u w:val="single"/>
          <w:lang w:val="es-ES"/>
        </w:rPr>
        <w:t xml:space="preserve">Idea para rellenar vacíos de tos nacionales </w:t>
      </w:r>
    </w:p>
    <w:p w:rsidR="00BC09E0" w:rsidRPr="00BC09E0" w:rsidRDefault="00BC09E0" w:rsidP="00BC09E0">
      <w:pPr>
        <w:jc w:val="both"/>
        <w:rPr>
          <w:lang w:val="es-ES"/>
        </w:rPr>
      </w:pPr>
      <w:r w:rsidRPr="00BC09E0">
        <w:rPr>
          <w:lang w:val="es-ES"/>
        </w:rPr>
        <w:t xml:space="preserve">Generar inferencias en base a datos estadísticos de los cuales disponemos en lugar de tratar de extrapolar votación desagregada por partidos.  </w:t>
      </w:r>
    </w:p>
    <w:p w:rsidR="00BC09E0" w:rsidRPr="00BC09E0" w:rsidRDefault="00BC09E0" w:rsidP="00BC09E0">
      <w:pPr>
        <w:jc w:val="both"/>
        <w:rPr>
          <w:lang w:val="es-ES"/>
        </w:rPr>
      </w:pPr>
      <w:r w:rsidRPr="00BC09E0">
        <w:rPr>
          <w:lang w:val="es-ES"/>
        </w:rPr>
        <w:t xml:space="preserve">Es decir. Si asumimos que las encuestas históricamente han estado dentro de un margen de error aceptable, podemos usar datos de elecciones pasadas de los cuales se dispone, siguiendo uproceso similar al siguiente ejemplo: </w:t>
      </w:r>
    </w:p>
    <w:p w:rsidR="00BC09E0" w:rsidRPr="00BC09E0" w:rsidRDefault="00BC09E0" w:rsidP="00BC09E0">
      <w:pPr>
        <w:numPr>
          <w:ilvl w:val="0"/>
          <w:numId w:val="4"/>
        </w:numPr>
        <w:jc w:val="both"/>
        <w:rPr>
          <w:lang w:val="es-ES"/>
        </w:rPr>
      </w:pPr>
      <w:r w:rsidRPr="00BC09E0">
        <w:rPr>
          <w:lang w:val="es-ES"/>
        </w:rPr>
        <w:t xml:space="preserve">En la mayor parte de las encuestas analizadas, solo se dispone de datos en el Eje Troncal + El Alto. Entonces se toman resultados de elecciones pasadas en EJE + El Alto (EAL), con el </w:t>
      </w:r>
      <w:r w:rsidRPr="00BC09E0">
        <w:t>ﬁ</w:t>
      </w:r>
      <w:r w:rsidRPr="00BC09E0">
        <w:rPr>
          <w:lang w:val="es-ES"/>
        </w:rPr>
        <w:t xml:space="preserve">n de igualar la base de datos. </w:t>
      </w:r>
    </w:p>
    <w:p w:rsidR="00BC09E0" w:rsidRPr="00BC09E0" w:rsidRDefault="00BC09E0" w:rsidP="00BC09E0">
      <w:pPr>
        <w:numPr>
          <w:ilvl w:val="0"/>
          <w:numId w:val="4"/>
        </w:numPr>
        <w:jc w:val="both"/>
        <w:rPr>
          <w:lang w:val="es-ES"/>
        </w:rPr>
      </w:pPr>
      <w:r w:rsidRPr="00BC09E0">
        <w:rPr>
          <w:lang w:val="es-ES"/>
        </w:rPr>
        <w:t xml:space="preserve">Una por una, en cada una de las elecciones pasadas, a estos datos de EJE+EAL se comparacon los datos a nivel NACIONAL, y se determina su variación, la cuál puede estardeterminada en puntos porcentuales de los, digamos, 5 partidos mas votados. Por ejemplo, supongamos que en la elección 2002, la votación de los primeros 5 fue así: </w:t>
      </w:r>
    </w:p>
    <w:p w:rsidR="00BC09E0" w:rsidRPr="00BC09E0" w:rsidRDefault="00BC09E0" w:rsidP="00BC09E0">
      <w:pPr>
        <w:numPr>
          <w:ilvl w:val="0"/>
          <w:numId w:val="4"/>
        </w:numPr>
        <w:jc w:val="both"/>
        <w:rPr>
          <w:lang w:val="es-ES"/>
        </w:rPr>
      </w:pPr>
      <w:r w:rsidRPr="00BC09E0">
        <w:rPr>
          <w:lang w:val="es-ES"/>
        </w:rPr>
        <w:t xml:space="preserve">Se tabula una tabla análoga para cada elección nacional desde que se tienen datos, y se sacaun promedio de la diferencia absoluta.  </w:t>
      </w:r>
    </w:p>
    <w:p w:rsidR="00BC09E0" w:rsidRPr="00BC09E0" w:rsidRDefault="00BC09E0" w:rsidP="00BC09E0">
      <w:pPr>
        <w:numPr>
          <w:ilvl w:val="0"/>
          <w:numId w:val="4"/>
        </w:numPr>
        <w:jc w:val="both"/>
        <w:rPr>
          <w:lang w:val="es-ES"/>
        </w:rPr>
      </w:pPr>
      <w:r w:rsidRPr="00BC09E0">
        <w:rPr>
          <w:lang w:val="es-ES"/>
        </w:rPr>
        <w:t xml:space="preserve">Se puede estimar que el promedio de variación en esta ocasión estará dentro del promedio histórico. Se deduce entonces que si a los datos EJE+EAL se adicionan el resto de los datos nacionales, se obtendrá una banda de rango posible, digamos utilizando el resultado el ejemplo de +-3.83% si lo tomamos como el promedio total. Es decir, en el mejor de los casos al sumarle los datos nacionales, un partido en promedio obtendrá +3.83%, en el peor de los casos -3.83% </w:t>
      </w:r>
    </w:p>
    <w:p w:rsidR="00BC09E0" w:rsidRPr="00BC09E0" w:rsidRDefault="00BC09E0" w:rsidP="00BC09E0">
      <w:pPr>
        <w:numPr>
          <w:ilvl w:val="0"/>
          <w:numId w:val="4"/>
        </w:numPr>
        <w:jc w:val="both"/>
        <w:rPr>
          <w:lang w:val="es-ES"/>
        </w:rPr>
      </w:pPr>
      <w:r w:rsidRPr="00BC09E0">
        <w:lastRenderedPageBreak/>
        <w:pict>
          <v:shapetype id="_x0000_t202" coordsize="21600,21600" o:spt="202" path="m,l,21600r21600,l21600,xe">
            <v:stroke joinstyle="miter"/>
            <v:path gradientshapeok="t" o:connecttype="rect"/>
          </v:shapetype>
          <v:shape id="_x0000_s1027" type="#_x0000_t202" style="position:absolute;left:0;text-align:left;margin-left:58.35pt;margin-top:87.05pt;width:394.6pt;height:195.8pt;z-index:251660288;mso-position-horizontal-relative:page;mso-position-vertical-relative:page" wrapcoords="0 0" o:allowincell="f" filled="f" stroked="f">
            <v:textbox style="mso-next-textbox:#_x0000_s1027">
              <w:txbxContent>
                <w:p w:rsidR="00BC09E0" w:rsidRDefault="00BC09E0" w:rsidP="00BC09E0">
                  <w:pPr>
                    <w:widowControl w:val="0"/>
                    <w:autoSpaceDE w:val="0"/>
                    <w:autoSpaceDN w:val="0"/>
                    <w:adjustRightInd w:val="0"/>
                    <w:spacing w:after="0" w:line="240" w:lineRule="auto"/>
                    <w:divId w:val="65536"/>
                    <w:rPr>
                      <w:rFonts w:ascii="TOYIPN+HelveticaNeue-BoldItalic" w:hAnsi="TOYIPN+HelveticaNeue-BoldItalic"/>
                      <w:sz w:val="24"/>
                      <w:szCs w:val="24"/>
                    </w:rPr>
                  </w:pPr>
                </w:p>
                <w:tbl>
                  <w:tblPr>
                    <w:tblW w:w="0" w:type="auto"/>
                    <w:tblBorders>
                      <w:top w:val="nil"/>
                      <w:left w:val="nil"/>
                      <w:bottom w:val="nil"/>
                      <w:right w:val="nil"/>
                    </w:tblBorders>
                    <w:tblLayout w:type="fixed"/>
                    <w:tblLook w:val="0000"/>
                  </w:tblPr>
                  <w:tblGrid>
                    <w:gridCol w:w="2427"/>
                    <w:gridCol w:w="1235"/>
                    <w:gridCol w:w="1538"/>
                    <w:gridCol w:w="2415"/>
                  </w:tblGrid>
                  <w:tr w:rsidR="00BC09E0" w:rsidTr="00BC09E0">
                    <w:tblPrEx>
                      <w:tblCellMar>
                        <w:top w:w="0" w:type="dxa"/>
                        <w:bottom w:w="0" w:type="dxa"/>
                      </w:tblCellMar>
                    </w:tblPrEx>
                    <w:trPr>
                      <w:divId w:val="65536"/>
                      <w:trHeight w:val="470"/>
                    </w:trPr>
                    <w:tc>
                      <w:tcPr>
                        <w:tcW w:w="2427" w:type="dxa"/>
                        <w:tcBorders>
                          <w:top w:val="single" w:sz="2" w:space="0" w:color="000000"/>
                          <w:left w:val="single" w:sz="2" w:space="0" w:color="000000"/>
                          <w:bottom w:val="single" w:sz="2" w:space="0" w:color="000000"/>
                          <w:right w:val="single" w:sz="4" w:space="0" w:color="000000"/>
                        </w:tcBorders>
                        <w:shd w:val="clear" w:color="auto" w:fill="E2E4E3"/>
                        <w:vAlign w:val="center"/>
                      </w:tcPr>
                      <w:p w:rsidR="00BC09E0" w:rsidRPr="00596F97" w:rsidRDefault="00BC09E0" w:rsidP="00596F97">
                        <w:pPr>
                          <w:jc w:val="center"/>
                          <w:rPr>
                            <w:rFonts w:ascii="MGLCER+HelveticaNeue-Bold" w:hAnsi="MGLCER+HelveticaNeue-Bold" w:cs="MGLCER+HelveticaNeue-Bold"/>
                            <w:sz w:val="18"/>
                            <w:szCs w:val="18"/>
                          </w:rPr>
                        </w:pPr>
                        <w:proofErr w:type="spellStart"/>
                        <w:r w:rsidRPr="00596F97">
                          <w:rPr>
                            <w:rFonts w:ascii="MGLCER+HelveticaNeue-Bold" w:hAnsi="MGLCER+HelveticaNeue-Bold" w:cs="MGLCER+HelveticaNeue-Bold"/>
                            <w:b/>
                            <w:bCs/>
                            <w:sz w:val="18"/>
                            <w:szCs w:val="18"/>
                          </w:rPr>
                          <w:t>Partido</w:t>
                        </w:r>
                        <w:proofErr w:type="spellEnd"/>
                      </w:p>
                    </w:tc>
                    <w:tc>
                      <w:tcPr>
                        <w:tcW w:w="1235" w:type="dxa"/>
                        <w:tcBorders>
                          <w:top w:val="single" w:sz="2" w:space="0" w:color="000000"/>
                          <w:left w:val="single" w:sz="4" w:space="0" w:color="000000"/>
                          <w:bottom w:val="single" w:sz="2" w:space="0" w:color="000000"/>
                        </w:tcBorders>
                        <w:vAlign w:val="center"/>
                      </w:tcPr>
                      <w:p w:rsidR="00BC09E0" w:rsidRPr="00596F97" w:rsidRDefault="00BC09E0" w:rsidP="00596F97">
                        <w:pPr>
                          <w:jc w:val="center"/>
                          <w:rPr>
                            <w:rFonts w:ascii="VTJSKJ+HelveticaNeue" w:hAnsi="VTJSKJ+HelveticaNeue" w:cs="VTJSKJ+HelveticaNeue"/>
                            <w:sz w:val="18"/>
                            <w:szCs w:val="18"/>
                          </w:rPr>
                        </w:pPr>
                        <w:proofErr w:type="spellStart"/>
                        <w:r w:rsidRPr="00596F97">
                          <w:rPr>
                            <w:rFonts w:ascii="VTJSKJ+HelveticaNeue" w:hAnsi="VTJSKJ+HelveticaNeue" w:cs="VTJSKJ+HelveticaNeue"/>
                            <w:sz w:val="18"/>
                            <w:szCs w:val="18"/>
                          </w:rPr>
                          <w:t>Nacional</w:t>
                        </w:r>
                        <w:proofErr w:type="spellEnd"/>
                      </w:p>
                    </w:tc>
                    <w:tc>
                      <w:tcPr>
                        <w:tcW w:w="1538" w:type="dxa"/>
                        <w:tcBorders>
                          <w:top w:val="single" w:sz="2" w:space="0" w:color="000000"/>
                          <w:left w:val="single" w:sz="2" w:space="0" w:color="000000"/>
                          <w:bottom w:val="single" w:sz="2" w:space="0" w:color="000000"/>
                        </w:tcBorders>
                      </w:tcPr>
                      <w:p w:rsidR="00BC09E0" w:rsidRPr="00596F97" w:rsidRDefault="00BC09E0" w:rsidP="00596F97">
                        <w:pPr>
                          <w:jc w:val="center"/>
                          <w:rPr>
                            <w:rFonts w:ascii="VTJSKJ+HelveticaNeue" w:hAnsi="VTJSKJ+HelveticaNeue" w:cs="VTJSKJ+HelveticaNeue"/>
                            <w:sz w:val="18"/>
                            <w:szCs w:val="18"/>
                          </w:rPr>
                        </w:pPr>
                        <w:r w:rsidRPr="00596F97">
                          <w:rPr>
                            <w:rFonts w:ascii="VTJSKJ+HelveticaNeue" w:hAnsi="VTJSKJ+HelveticaNeue" w:cs="VTJSKJ+HelveticaNeue"/>
                            <w:sz w:val="18"/>
                            <w:szCs w:val="18"/>
                          </w:rPr>
                          <w:t>1. EJE+EAL</w:t>
                        </w:r>
                      </w:p>
                    </w:tc>
                    <w:tc>
                      <w:tcPr>
                        <w:tcW w:w="2415" w:type="dxa"/>
                        <w:tcBorders>
                          <w:top w:val="single" w:sz="2" w:space="0" w:color="000000"/>
                          <w:left w:val="single" w:sz="2" w:space="0" w:color="000000"/>
                          <w:bottom w:val="single" w:sz="2" w:space="0" w:color="000000"/>
                          <w:right w:val="single" w:sz="2" w:space="0" w:color="000000"/>
                        </w:tcBorders>
                        <w:vAlign w:val="center"/>
                      </w:tcPr>
                      <w:p w:rsidR="00BC09E0" w:rsidRPr="00596F97" w:rsidRDefault="00BC09E0" w:rsidP="00596F97">
                        <w:pPr>
                          <w:jc w:val="center"/>
                          <w:rPr>
                            <w:rFonts w:ascii="VTJSKJ+HelveticaNeue" w:hAnsi="VTJSKJ+HelveticaNeue" w:cs="VTJSKJ+HelveticaNeue"/>
                            <w:sz w:val="18"/>
                            <w:szCs w:val="18"/>
                          </w:rPr>
                        </w:pPr>
                        <w:proofErr w:type="spellStart"/>
                        <w:r w:rsidRPr="00596F97">
                          <w:rPr>
                            <w:rFonts w:ascii="VTJSKJ+HelveticaNeue" w:hAnsi="VTJSKJ+HelveticaNeue" w:cs="VTJSKJ+HelveticaNeue"/>
                            <w:sz w:val="18"/>
                            <w:szCs w:val="18"/>
                          </w:rPr>
                          <w:t>Diferencia</w:t>
                        </w:r>
                        <w:proofErr w:type="spellEnd"/>
                        <w:r w:rsidRPr="00596F97">
                          <w:rPr>
                            <w:rFonts w:ascii="VTJSKJ+HelveticaNeue" w:hAnsi="VTJSKJ+HelveticaNeue" w:cs="VTJSKJ+HelveticaNeue"/>
                            <w:sz w:val="18"/>
                            <w:szCs w:val="18"/>
                          </w:rPr>
                          <w:t xml:space="preserve"> (</w:t>
                        </w:r>
                        <w:proofErr w:type="spellStart"/>
                        <w:r w:rsidRPr="00596F97">
                          <w:rPr>
                            <w:rFonts w:ascii="VTJSKJ+HelveticaNeue" w:hAnsi="VTJSKJ+HelveticaNeue" w:cs="VTJSKJ+HelveticaNeue"/>
                            <w:sz w:val="18"/>
                            <w:szCs w:val="18"/>
                          </w:rPr>
                          <w:t>absoluta</w:t>
                        </w:r>
                        <w:proofErr w:type="spellEnd"/>
                        <w:r w:rsidRPr="00596F97">
                          <w:rPr>
                            <w:rFonts w:ascii="VTJSKJ+HelveticaNeue" w:hAnsi="VTJSKJ+HelveticaNeue" w:cs="VTJSKJ+HelveticaNeue"/>
                            <w:sz w:val="18"/>
                            <w:szCs w:val="18"/>
                          </w:rPr>
                          <w:t>)</w:t>
                        </w:r>
                      </w:p>
                    </w:tc>
                  </w:tr>
                  <w:tr w:rsidR="00BC09E0" w:rsidTr="0008534D">
                    <w:tblPrEx>
                      <w:tblCellMar>
                        <w:top w:w="0" w:type="dxa"/>
                        <w:bottom w:w="0" w:type="dxa"/>
                      </w:tblCellMar>
                    </w:tblPrEx>
                    <w:trPr>
                      <w:divId w:val="65536"/>
                      <w:trHeight w:val="455"/>
                    </w:trPr>
                    <w:tc>
                      <w:tcPr>
                        <w:tcW w:w="2427" w:type="dxa"/>
                        <w:tcBorders>
                          <w:top w:val="single" w:sz="2" w:space="0" w:color="000000"/>
                          <w:left w:val="single" w:sz="2" w:space="0" w:color="000000"/>
                          <w:bottom w:val="single" w:sz="2" w:space="0" w:color="000000"/>
                          <w:right w:val="single" w:sz="4" w:space="0" w:color="000000"/>
                        </w:tcBorders>
                        <w:shd w:val="clear" w:color="auto" w:fill="E2E4E3"/>
                      </w:tcPr>
                      <w:p w:rsidR="00BC09E0" w:rsidRPr="00596F97" w:rsidRDefault="00BC09E0">
                        <w:pPr>
                          <w:rPr>
                            <w:rFonts w:ascii="MGLCER+HelveticaNeue-Bold" w:hAnsi="MGLCER+HelveticaNeue-Bold" w:cs="MGLCER+HelveticaNeue-Bold"/>
                            <w:sz w:val="18"/>
                            <w:szCs w:val="18"/>
                          </w:rPr>
                        </w:pPr>
                        <w:r w:rsidRPr="00596F97">
                          <w:rPr>
                            <w:rFonts w:ascii="MGLCER+HelveticaNeue-Bold" w:hAnsi="MGLCER+HelveticaNeue-Bold" w:cs="MGLCER+HelveticaNeue-Bold"/>
                            <w:b/>
                            <w:bCs/>
                            <w:sz w:val="18"/>
                            <w:szCs w:val="18"/>
                          </w:rPr>
                          <w:t xml:space="preserve">MNR </w:t>
                        </w:r>
                      </w:p>
                    </w:tc>
                    <w:tc>
                      <w:tcPr>
                        <w:tcW w:w="1235" w:type="dxa"/>
                        <w:tcBorders>
                          <w:top w:val="single" w:sz="2" w:space="0" w:color="000000"/>
                          <w:left w:val="single" w:sz="4"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22.46% </w:t>
                        </w:r>
                      </w:p>
                    </w:tc>
                    <w:tc>
                      <w:tcPr>
                        <w:tcW w:w="1538" w:type="dxa"/>
                        <w:tcBorders>
                          <w:top w:val="single" w:sz="2" w:space="0" w:color="000000"/>
                          <w:left w:val="single" w:sz="2"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24.13% </w:t>
                        </w:r>
                      </w:p>
                    </w:tc>
                    <w:tc>
                      <w:tcPr>
                        <w:tcW w:w="2415"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1.67% </w:t>
                        </w:r>
                      </w:p>
                    </w:tc>
                  </w:tr>
                  <w:tr w:rsidR="00BC09E0" w:rsidTr="0008534D">
                    <w:tblPrEx>
                      <w:tblCellMar>
                        <w:top w:w="0" w:type="dxa"/>
                        <w:bottom w:w="0" w:type="dxa"/>
                      </w:tblCellMar>
                    </w:tblPrEx>
                    <w:trPr>
                      <w:divId w:val="65536"/>
                      <w:trHeight w:val="452"/>
                    </w:trPr>
                    <w:tc>
                      <w:tcPr>
                        <w:tcW w:w="2427" w:type="dxa"/>
                        <w:tcBorders>
                          <w:top w:val="single" w:sz="2" w:space="0" w:color="000000"/>
                          <w:left w:val="single" w:sz="2" w:space="0" w:color="000000"/>
                          <w:bottom w:val="single" w:sz="2" w:space="0" w:color="000000"/>
                          <w:right w:val="single" w:sz="4" w:space="0" w:color="000000"/>
                        </w:tcBorders>
                        <w:shd w:val="clear" w:color="auto" w:fill="E2E4E3"/>
                      </w:tcPr>
                      <w:p w:rsidR="00BC09E0" w:rsidRPr="00596F97" w:rsidRDefault="00BC09E0">
                        <w:pPr>
                          <w:rPr>
                            <w:rFonts w:ascii="MGLCER+HelveticaNeue-Bold" w:hAnsi="MGLCER+HelveticaNeue-Bold" w:cs="MGLCER+HelveticaNeue-Bold"/>
                            <w:sz w:val="18"/>
                            <w:szCs w:val="18"/>
                          </w:rPr>
                        </w:pPr>
                        <w:r w:rsidRPr="00596F97">
                          <w:rPr>
                            <w:rFonts w:ascii="MGLCER+HelveticaNeue-Bold" w:hAnsi="MGLCER+HelveticaNeue-Bold" w:cs="MGLCER+HelveticaNeue-Bold"/>
                            <w:b/>
                            <w:bCs/>
                            <w:sz w:val="18"/>
                            <w:szCs w:val="18"/>
                          </w:rPr>
                          <w:t xml:space="preserve">MAS </w:t>
                        </w:r>
                      </w:p>
                    </w:tc>
                    <w:tc>
                      <w:tcPr>
                        <w:tcW w:w="1235" w:type="dxa"/>
                        <w:tcBorders>
                          <w:top w:val="single" w:sz="2" w:space="0" w:color="000000"/>
                          <w:left w:val="single" w:sz="4" w:space="0" w:color="000000"/>
                          <w:bottom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20.94% </w:t>
                        </w:r>
                      </w:p>
                    </w:tc>
                    <w:tc>
                      <w:tcPr>
                        <w:tcW w:w="1538" w:type="dxa"/>
                        <w:tcBorders>
                          <w:top w:val="single" w:sz="2" w:space="0" w:color="000000"/>
                          <w:left w:val="single" w:sz="2" w:space="0" w:color="000000"/>
                          <w:bottom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26.98% </w:t>
                        </w:r>
                      </w:p>
                    </w:tc>
                    <w:tc>
                      <w:tcPr>
                        <w:tcW w:w="2415" w:type="dxa"/>
                        <w:tcBorders>
                          <w:top w:val="single" w:sz="2" w:space="0" w:color="000000"/>
                          <w:left w:val="single" w:sz="2" w:space="0" w:color="000000"/>
                          <w:bottom w:val="single" w:sz="2" w:space="0" w:color="000000"/>
                          <w:right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6.04% </w:t>
                        </w:r>
                      </w:p>
                    </w:tc>
                  </w:tr>
                  <w:tr w:rsidR="00BC09E0" w:rsidTr="0008534D">
                    <w:tblPrEx>
                      <w:tblCellMar>
                        <w:top w:w="0" w:type="dxa"/>
                        <w:bottom w:w="0" w:type="dxa"/>
                      </w:tblCellMar>
                    </w:tblPrEx>
                    <w:trPr>
                      <w:divId w:val="65536"/>
                      <w:trHeight w:val="455"/>
                    </w:trPr>
                    <w:tc>
                      <w:tcPr>
                        <w:tcW w:w="2427" w:type="dxa"/>
                        <w:tcBorders>
                          <w:top w:val="single" w:sz="2" w:space="0" w:color="000000"/>
                          <w:left w:val="single" w:sz="2" w:space="0" w:color="000000"/>
                          <w:bottom w:val="single" w:sz="2" w:space="0" w:color="000000"/>
                          <w:right w:val="single" w:sz="4" w:space="0" w:color="000000"/>
                        </w:tcBorders>
                        <w:shd w:val="clear" w:color="auto" w:fill="E2E4E3"/>
                        <w:vAlign w:val="center"/>
                      </w:tcPr>
                      <w:p w:rsidR="00BC09E0" w:rsidRPr="00596F97" w:rsidRDefault="00BC09E0">
                        <w:pPr>
                          <w:rPr>
                            <w:rFonts w:ascii="MGLCER+HelveticaNeue-Bold" w:hAnsi="MGLCER+HelveticaNeue-Bold" w:cs="MGLCER+HelveticaNeue-Bold"/>
                            <w:sz w:val="18"/>
                            <w:szCs w:val="18"/>
                          </w:rPr>
                        </w:pPr>
                        <w:r w:rsidRPr="00596F97">
                          <w:rPr>
                            <w:rFonts w:ascii="MGLCER+HelveticaNeue-Bold" w:hAnsi="MGLCER+HelveticaNeue-Bold" w:cs="MGLCER+HelveticaNeue-Bold"/>
                            <w:b/>
                            <w:bCs/>
                            <w:sz w:val="18"/>
                            <w:szCs w:val="18"/>
                          </w:rPr>
                          <w:t xml:space="preserve">NFR </w:t>
                        </w:r>
                      </w:p>
                    </w:tc>
                    <w:tc>
                      <w:tcPr>
                        <w:tcW w:w="1235" w:type="dxa"/>
                        <w:tcBorders>
                          <w:top w:val="single" w:sz="2" w:space="0" w:color="000000"/>
                          <w:left w:val="single" w:sz="4"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20.91% </w:t>
                        </w:r>
                      </w:p>
                    </w:tc>
                    <w:tc>
                      <w:tcPr>
                        <w:tcW w:w="1538" w:type="dxa"/>
                        <w:tcBorders>
                          <w:top w:val="single" w:sz="2" w:space="0" w:color="000000"/>
                          <w:left w:val="single" w:sz="2"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16.42% </w:t>
                        </w:r>
                      </w:p>
                    </w:tc>
                    <w:tc>
                      <w:tcPr>
                        <w:tcW w:w="2415"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4.49% </w:t>
                        </w:r>
                      </w:p>
                    </w:tc>
                  </w:tr>
                  <w:tr w:rsidR="00BC09E0" w:rsidTr="0008534D">
                    <w:tblPrEx>
                      <w:tblCellMar>
                        <w:top w:w="0" w:type="dxa"/>
                        <w:bottom w:w="0" w:type="dxa"/>
                      </w:tblCellMar>
                    </w:tblPrEx>
                    <w:trPr>
                      <w:divId w:val="65536"/>
                      <w:trHeight w:val="452"/>
                    </w:trPr>
                    <w:tc>
                      <w:tcPr>
                        <w:tcW w:w="2427" w:type="dxa"/>
                        <w:tcBorders>
                          <w:top w:val="single" w:sz="2" w:space="0" w:color="000000"/>
                          <w:left w:val="single" w:sz="2" w:space="0" w:color="000000"/>
                          <w:bottom w:val="single" w:sz="2" w:space="0" w:color="000000"/>
                          <w:right w:val="single" w:sz="4" w:space="0" w:color="000000"/>
                        </w:tcBorders>
                        <w:shd w:val="clear" w:color="auto" w:fill="E2E4E3"/>
                        <w:vAlign w:val="center"/>
                      </w:tcPr>
                      <w:p w:rsidR="00BC09E0" w:rsidRPr="00596F97" w:rsidRDefault="00BC09E0">
                        <w:pPr>
                          <w:rPr>
                            <w:rFonts w:ascii="MGLCER+HelveticaNeue-Bold" w:hAnsi="MGLCER+HelveticaNeue-Bold" w:cs="MGLCER+HelveticaNeue-Bold"/>
                            <w:sz w:val="18"/>
                            <w:szCs w:val="18"/>
                          </w:rPr>
                        </w:pPr>
                        <w:r w:rsidRPr="00596F97">
                          <w:rPr>
                            <w:rFonts w:ascii="MGLCER+HelveticaNeue-Bold" w:hAnsi="MGLCER+HelveticaNeue-Bold" w:cs="MGLCER+HelveticaNeue-Bold"/>
                            <w:b/>
                            <w:bCs/>
                            <w:sz w:val="18"/>
                            <w:szCs w:val="18"/>
                          </w:rPr>
                          <w:t xml:space="preserve">MIR </w:t>
                        </w:r>
                      </w:p>
                    </w:tc>
                    <w:tc>
                      <w:tcPr>
                        <w:tcW w:w="1235" w:type="dxa"/>
                        <w:tcBorders>
                          <w:top w:val="single" w:sz="2" w:space="0" w:color="000000"/>
                          <w:left w:val="single" w:sz="4" w:space="0" w:color="000000"/>
                          <w:bottom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16.32% </w:t>
                        </w:r>
                      </w:p>
                    </w:tc>
                    <w:tc>
                      <w:tcPr>
                        <w:tcW w:w="1538" w:type="dxa"/>
                        <w:tcBorders>
                          <w:top w:val="single" w:sz="2" w:space="0" w:color="000000"/>
                          <w:left w:val="single" w:sz="2" w:space="0" w:color="000000"/>
                          <w:bottom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12.06% </w:t>
                        </w:r>
                      </w:p>
                    </w:tc>
                    <w:tc>
                      <w:tcPr>
                        <w:tcW w:w="2415" w:type="dxa"/>
                        <w:tcBorders>
                          <w:top w:val="single" w:sz="2" w:space="0" w:color="000000"/>
                          <w:left w:val="single" w:sz="2" w:space="0" w:color="000000"/>
                          <w:bottom w:val="single" w:sz="2" w:space="0" w:color="000000"/>
                          <w:right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4.26% </w:t>
                        </w:r>
                      </w:p>
                    </w:tc>
                  </w:tr>
                  <w:tr w:rsidR="00BC09E0" w:rsidTr="0008534D">
                    <w:tblPrEx>
                      <w:tblCellMar>
                        <w:top w:w="0" w:type="dxa"/>
                        <w:bottom w:w="0" w:type="dxa"/>
                      </w:tblCellMar>
                    </w:tblPrEx>
                    <w:trPr>
                      <w:divId w:val="65536"/>
                      <w:trHeight w:val="455"/>
                    </w:trPr>
                    <w:tc>
                      <w:tcPr>
                        <w:tcW w:w="2427" w:type="dxa"/>
                        <w:tcBorders>
                          <w:top w:val="single" w:sz="2" w:space="0" w:color="000000"/>
                          <w:left w:val="single" w:sz="2" w:space="0" w:color="000000"/>
                          <w:bottom w:val="single" w:sz="2" w:space="0" w:color="000000"/>
                          <w:right w:val="single" w:sz="4" w:space="0" w:color="000000"/>
                        </w:tcBorders>
                        <w:shd w:val="clear" w:color="auto" w:fill="E2E4E3"/>
                      </w:tcPr>
                      <w:p w:rsidR="00BC09E0" w:rsidRPr="00596F97" w:rsidRDefault="00BC09E0">
                        <w:pPr>
                          <w:rPr>
                            <w:rFonts w:ascii="MGLCER+HelveticaNeue-Bold" w:hAnsi="MGLCER+HelveticaNeue-Bold" w:cs="MGLCER+HelveticaNeue-Bold"/>
                            <w:sz w:val="18"/>
                            <w:szCs w:val="18"/>
                          </w:rPr>
                        </w:pPr>
                        <w:r w:rsidRPr="00596F97">
                          <w:rPr>
                            <w:rFonts w:ascii="MGLCER+HelveticaNeue-Bold" w:hAnsi="MGLCER+HelveticaNeue-Bold" w:cs="MGLCER+HelveticaNeue-Bold"/>
                            <w:b/>
                            <w:bCs/>
                            <w:sz w:val="18"/>
                            <w:szCs w:val="18"/>
                          </w:rPr>
                          <w:t xml:space="preserve">MIP </w:t>
                        </w:r>
                      </w:p>
                    </w:tc>
                    <w:tc>
                      <w:tcPr>
                        <w:tcW w:w="1235" w:type="dxa"/>
                        <w:tcBorders>
                          <w:top w:val="single" w:sz="2" w:space="0" w:color="000000"/>
                          <w:left w:val="single" w:sz="4"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6.09% </w:t>
                        </w:r>
                      </w:p>
                    </w:tc>
                    <w:tc>
                      <w:tcPr>
                        <w:tcW w:w="1538" w:type="dxa"/>
                        <w:tcBorders>
                          <w:top w:val="single" w:sz="2" w:space="0" w:color="000000"/>
                          <w:left w:val="single" w:sz="2" w:space="0" w:color="000000"/>
                          <w:bottom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8.78% </w:t>
                        </w:r>
                      </w:p>
                    </w:tc>
                    <w:tc>
                      <w:tcPr>
                        <w:tcW w:w="2415"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2.69% </w:t>
                        </w:r>
                      </w:p>
                    </w:tc>
                  </w:tr>
                  <w:tr w:rsidR="00BC09E0" w:rsidTr="00BC09E0">
                    <w:tblPrEx>
                      <w:tblCellMar>
                        <w:top w:w="0" w:type="dxa"/>
                        <w:bottom w:w="0" w:type="dxa"/>
                      </w:tblCellMar>
                    </w:tblPrEx>
                    <w:trPr>
                      <w:divId w:val="65536"/>
                      <w:trHeight w:val="462"/>
                    </w:trPr>
                    <w:tc>
                      <w:tcPr>
                        <w:tcW w:w="2427" w:type="dxa"/>
                        <w:tcBorders>
                          <w:top w:val="single" w:sz="2" w:space="0" w:color="000000"/>
                          <w:left w:val="single" w:sz="2" w:space="0" w:color="000000"/>
                          <w:bottom w:val="single" w:sz="2" w:space="0" w:color="000000"/>
                          <w:right w:val="single" w:sz="4" w:space="0" w:color="000000"/>
                        </w:tcBorders>
                        <w:shd w:val="clear" w:color="auto" w:fill="E2E4E3"/>
                      </w:tcPr>
                      <w:p w:rsidR="00BC09E0" w:rsidRPr="00596F97" w:rsidRDefault="00BC09E0">
                        <w:pPr>
                          <w:rPr>
                            <w:rFonts w:ascii="MGLCER+HelveticaNeue-Bold" w:hAnsi="MGLCER+HelveticaNeue-Bold" w:cs="MGLCER+HelveticaNeue-Bold"/>
                            <w:sz w:val="18"/>
                            <w:szCs w:val="18"/>
                          </w:rPr>
                        </w:pPr>
                        <w:proofErr w:type="spellStart"/>
                        <w:r w:rsidRPr="00596F97">
                          <w:rPr>
                            <w:rFonts w:ascii="MGLCER+HelveticaNeue-Bold" w:hAnsi="MGLCER+HelveticaNeue-Bold" w:cs="MGLCER+HelveticaNeue-Bold"/>
                            <w:b/>
                            <w:bCs/>
                            <w:sz w:val="18"/>
                            <w:szCs w:val="18"/>
                          </w:rPr>
                          <w:t>Promedio</w:t>
                        </w:r>
                        <w:proofErr w:type="spellEnd"/>
                        <w:r w:rsidRPr="00596F97">
                          <w:rPr>
                            <w:rFonts w:ascii="MGLCER+HelveticaNeue-Bold" w:hAnsi="MGLCER+HelveticaNeue-Bold" w:cs="MGLCER+HelveticaNeue-Bold"/>
                            <w:b/>
                            <w:bCs/>
                            <w:sz w:val="18"/>
                            <w:szCs w:val="18"/>
                          </w:rPr>
                          <w:t xml:space="preserve"> </w:t>
                        </w:r>
                        <w:r w:rsidR="00596F97" w:rsidRPr="00596F97">
                          <w:rPr>
                            <w:rFonts w:ascii="MGLCER+HelveticaNeue-Bold" w:hAnsi="MGLCER+HelveticaNeue-Bold" w:cs="MGLCER+HelveticaNeue-Bold"/>
                            <w:b/>
                            <w:bCs/>
                            <w:sz w:val="18"/>
                            <w:szCs w:val="18"/>
                          </w:rPr>
                          <w:t xml:space="preserve"> </w:t>
                        </w:r>
                        <w:proofErr w:type="spellStart"/>
                        <w:r w:rsidRPr="00596F97">
                          <w:rPr>
                            <w:rFonts w:ascii="MGLCER+HelveticaNeue-Bold" w:hAnsi="MGLCER+HelveticaNeue-Bold" w:cs="MGLCER+HelveticaNeue-Bold"/>
                            <w:b/>
                            <w:bCs/>
                            <w:sz w:val="18"/>
                            <w:szCs w:val="18"/>
                          </w:rPr>
                          <w:t>para</w:t>
                        </w:r>
                        <w:proofErr w:type="spellEnd"/>
                        <w:r w:rsidRPr="00596F97">
                          <w:rPr>
                            <w:rFonts w:ascii="MGLCER+HelveticaNeue-Bold" w:hAnsi="MGLCER+HelveticaNeue-Bold" w:cs="MGLCER+HelveticaNeue-Bold"/>
                            <w:b/>
                            <w:bCs/>
                            <w:sz w:val="18"/>
                            <w:szCs w:val="18"/>
                          </w:rPr>
                          <w:t xml:space="preserve"> </w:t>
                        </w:r>
                        <w:r w:rsidR="00596F97" w:rsidRPr="00596F97">
                          <w:rPr>
                            <w:rFonts w:ascii="MGLCER+HelveticaNeue-Bold" w:hAnsi="MGLCER+HelveticaNeue-Bold" w:cs="MGLCER+HelveticaNeue-Bold"/>
                            <w:b/>
                            <w:bCs/>
                            <w:sz w:val="18"/>
                            <w:szCs w:val="18"/>
                          </w:rPr>
                          <w:t xml:space="preserve"> </w:t>
                        </w:r>
                        <w:r w:rsidRPr="00596F97">
                          <w:rPr>
                            <w:rFonts w:ascii="MGLCER+HelveticaNeue-Bold" w:hAnsi="MGLCER+HelveticaNeue-Bold" w:cs="MGLCER+HelveticaNeue-Bold"/>
                            <w:b/>
                            <w:bCs/>
                            <w:sz w:val="18"/>
                            <w:szCs w:val="18"/>
                          </w:rPr>
                          <w:t xml:space="preserve">2002 </w:t>
                        </w:r>
                      </w:p>
                    </w:tc>
                    <w:tc>
                      <w:tcPr>
                        <w:tcW w:w="1235" w:type="dxa"/>
                        <w:tcBorders>
                          <w:top w:val="single" w:sz="2" w:space="0" w:color="000000"/>
                          <w:left w:val="single" w:sz="4" w:space="0" w:color="000000"/>
                          <w:bottom w:val="single" w:sz="2" w:space="0" w:color="000000"/>
                        </w:tcBorders>
                      </w:tcPr>
                      <w:p w:rsidR="00BC09E0" w:rsidRPr="00596F97" w:rsidRDefault="00BC09E0" w:rsidP="00596F97">
                        <w:pPr>
                          <w:jc w:val="right"/>
                          <w:rPr>
                            <w:sz w:val="18"/>
                            <w:szCs w:val="18"/>
                          </w:rPr>
                        </w:pPr>
                      </w:p>
                    </w:tc>
                    <w:tc>
                      <w:tcPr>
                        <w:tcW w:w="1538" w:type="dxa"/>
                        <w:tcBorders>
                          <w:top w:val="single" w:sz="2" w:space="0" w:color="000000"/>
                          <w:left w:val="single" w:sz="2" w:space="0" w:color="000000"/>
                          <w:bottom w:val="single" w:sz="2" w:space="0" w:color="000000"/>
                        </w:tcBorders>
                      </w:tcPr>
                      <w:p w:rsidR="00BC09E0" w:rsidRPr="00596F97" w:rsidRDefault="00BC09E0" w:rsidP="00596F97">
                        <w:pPr>
                          <w:jc w:val="right"/>
                          <w:rPr>
                            <w:sz w:val="18"/>
                            <w:szCs w:val="18"/>
                          </w:rPr>
                        </w:pPr>
                      </w:p>
                    </w:tc>
                    <w:tc>
                      <w:tcPr>
                        <w:tcW w:w="2415" w:type="dxa"/>
                        <w:tcBorders>
                          <w:top w:val="single" w:sz="2" w:space="0" w:color="000000"/>
                          <w:left w:val="single" w:sz="2" w:space="0" w:color="000000"/>
                          <w:bottom w:val="single" w:sz="2" w:space="0" w:color="000000"/>
                          <w:right w:val="single" w:sz="2" w:space="0" w:color="000000"/>
                        </w:tcBorders>
                        <w:vAlign w:val="center"/>
                      </w:tcPr>
                      <w:p w:rsidR="00BC09E0" w:rsidRPr="00596F97" w:rsidRDefault="00BC09E0" w:rsidP="00596F97">
                        <w:pPr>
                          <w:jc w:val="right"/>
                          <w:rPr>
                            <w:rFonts w:ascii="VTJSKJ+HelveticaNeue" w:hAnsi="VTJSKJ+HelveticaNeue" w:cs="VTJSKJ+HelveticaNeue"/>
                            <w:sz w:val="18"/>
                            <w:szCs w:val="18"/>
                          </w:rPr>
                        </w:pPr>
                        <w:r w:rsidRPr="00596F97">
                          <w:rPr>
                            <w:rFonts w:ascii="VTJSKJ+HelveticaNeue" w:hAnsi="VTJSKJ+HelveticaNeue" w:cs="VTJSKJ+HelveticaNeue"/>
                            <w:sz w:val="18"/>
                            <w:szCs w:val="18"/>
                          </w:rPr>
                          <w:t xml:space="preserve">3.83% </w:t>
                        </w:r>
                      </w:p>
                    </w:tc>
                  </w:tr>
                </w:tbl>
              </w:txbxContent>
            </v:textbox>
            <w10:wrap type="through" anchorx="page" anchory="page"/>
          </v:shape>
        </w:pict>
      </w:r>
      <w:r w:rsidRPr="00BC09E0">
        <w:rPr>
          <w:lang w:val="es-ES"/>
        </w:rPr>
        <w:t xml:space="preserve">Se puede visualizar en forma de bandas: </w:t>
      </w:r>
    </w:p>
    <w:p w:rsidR="00BC09E0" w:rsidRPr="00BC09E0" w:rsidRDefault="00BC09E0" w:rsidP="00BC09E0">
      <w:pPr>
        <w:jc w:val="both"/>
        <w:rPr>
          <w:lang w:val="es-ES"/>
        </w:rPr>
      </w:pPr>
    </w:p>
    <w:p w:rsidR="00BC09E0" w:rsidRPr="00BC09E0" w:rsidRDefault="00BC09E0" w:rsidP="00BC09E0">
      <w:pPr>
        <w:jc w:val="both"/>
        <w:rPr>
          <w:lang w:val="es-ES"/>
        </w:rPr>
      </w:pPr>
    </w:p>
    <w:p w:rsidR="00BC09E0" w:rsidRPr="00BC09E0" w:rsidRDefault="00BC09E0" w:rsidP="00BC09E0">
      <w:pPr>
        <w:jc w:val="both"/>
      </w:pPr>
    </w:p>
    <w:p w:rsidR="00596F97" w:rsidRDefault="00596F97" w:rsidP="00BC09E0">
      <w:pPr>
        <w:jc w:val="both"/>
        <w:rPr>
          <w:lang w:val="es-ES"/>
        </w:rPr>
      </w:pPr>
    </w:p>
    <w:p w:rsidR="00596F97" w:rsidRDefault="00596F97" w:rsidP="00BC09E0">
      <w:pPr>
        <w:jc w:val="both"/>
        <w:rPr>
          <w:lang w:val="es-ES"/>
        </w:rPr>
      </w:pPr>
    </w:p>
    <w:p w:rsidR="00596F97" w:rsidRDefault="00596F97" w:rsidP="00BC09E0">
      <w:pPr>
        <w:jc w:val="both"/>
        <w:rPr>
          <w:lang w:val="es-ES"/>
        </w:rPr>
      </w:pPr>
    </w:p>
    <w:p w:rsidR="00596F97" w:rsidRDefault="00596F97" w:rsidP="00BC09E0">
      <w:pPr>
        <w:jc w:val="both"/>
        <w:rPr>
          <w:lang w:val="es-ES"/>
        </w:rPr>
      </w:pPr>
    </w:p>
    <w:p w:rsidR="00596F97" w:rsidRDefault="00596F97" w:rsidP="00BC09E0">
      <w:pPr>
        <w:jc w:val="both"/>
        <w:rPr>
          <w:lang w:val="es-ES"/>
        </w:rPr>
      </w:pPr>
      <w:r w:rsidRPr="00BC09E0">
        <w:drawing>
          <wp:inline distT="0" distB="0" distL="0" distR="0">
            <wp:extent cx="4075279" cy="3057930"/>
            <wp:effectExtent l="19050" t="0" r="1421" b="0"/>
            <wp:docPr id="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075269" cy="3057922"/>
                    </a:xfrm>
                    <a:prstGeom prst="rect">
                      <a:avLst/>
                    </a:prstGeom>
                    <a:noFill/>
                    <a:ln w="9525">
                      <a:noFill/>
                      <a:miter lim="800000"/>
                      <a:headEnd/>
                      <a:tailEnd/>
                    </a:ln>
                  </pic:spPr>
                </pic:pic>
              </a:graphicData>
            </a:graphic>
          </wp:inline>
        </w:drawing>
      </w:r>
    </w:p>
    <w:p w:rsidR="00BC09E0" w:rsidRPr="00BC09E0" w:rsidRDefault="00BC09E0" w:rsidP="00BC09E0">
      <w:pPr>
        <w:jc w:val="both"/>
        <w:rPr>
          <w:lang w:val="es-ES"/>
        </w:rPr>
      </w:pPr>
      <w:r w:rsidRPr="00BC09E0">
        <w:rPr>
          <w:lang w:val="es-ES"/>
        </w:rPr>
        <w:t xml:space="preserve">La línea azul sería la progresión de los resultado de las encuestas EJE+EAL. La línea amarilla sería el mejor de los casos si se le adiciona el resto de natos a nivel nacional, y la línea amarilla el peor de los casos. </w:t>
      </w:r>
    </w:p>
    <w:p w:rsidR="00BC09E0" w:rsidRPr="00596F97" w:rsidRDefault="00BC09E0" w:rsidP="00BC09E0">
      <w:pPr>
        <w:jc w:val="both"/>
        <w:rPr>
          <w:b/>
          <w:lang w:val="es-ES"/>
        </w:rPr>
      </w:pPr>
      <w:r w:rsidRPr="00596F97">
        <w:rPr>
          <w:b/>
          <w:lang w:val="es-ES"/>
        </w:rPr>
        <w:t xml:space="preserve">PROBLEMAS:  </w:t>
      </w:r>
    </w:p>
    <w:p w:rsidR="00BC09E0" w:rsidRPr="00BC09E0" w:rsidRDefault="00BC09E0" w:rsidP="00BC09E0">
      <w:pPr>
        <w:jc w:val="both"/>
        <w:rPr>
          <w:lang w:val="es-ES"/>
        </w:rPr>
      </w:pPr>
      <w:r w:rsidRPr="00BC09E0">
        <w:rPr>
          <w:lang w:val="es-ES"/>
        </w:rPr>
        <w:t>-</w:t>
      </w:r>
      <w:r w:rsidR="00596F97">
        <w:rPr>
          <w:lang w:val="es-ES"/>
        </w:rPr>
        <w:t xml:space="preserve"> </w:t>
      </w:r>
      <w:r w:rsidRPr="00BC09E0">
        <w:rPr>
          <w:lang w:val="es-ES"/>
        </w:rPr>
        <w:t>Como todo promedio, no contempla casos especí</w:t>
      </w:r>
      <w:r w:rsidRPr="00BC09E0">
        <w:t>ﬁ</w:t>
      </w:r>
      <w:r w:rsidRPr="00BC09E0">
        <w:rPr>
          <w:lang w:val="es-ES"/>
        </w:rPr>
        <w:t>cos, y por de</w:t>
      </w:r>
      <w:r w:rsidRPr="00BC09E0">
        <w:t>ﬁ</w:t>
      </w:r>
      <w:r w:rsidRPr="00BC09E0">
        <w:rPr>
          <w:lang w:val="es-ES"/>
        </w:rPr>
        <w:t>nición nada es el promedio, ósea que es una aproximación un poco cruda, pero con datos concretos, conocidos y bien calculados, sin supuestos ni extrapolaciones.  -Al no tener datos históricos de ENCUESTAS y no conocer cómo en promedio las encuestas di</w:t>
      </w:r>
      <w:r w:rsidRPr="00BC09E0">
        <w:t>ﬁ</w:t>
      </w:r>
      <w:r w:rsidRPr="00BC09E0">
        <w:rPr>
          <w:lang w:val="es-ES"/>
        </w:rPr>
        <w:t xml:space="preserve">eren de los datos </w:t>
      </w:r>
      <w:r w:rsidRPr="00BC09E0">
        <w:t>ﬁ</w:t>
      </w:r>
      <w:r w:rsidRPr="00BC09E0">
        <w:rPr>
          <w:lang w:val="es-ES"/>
        </w:rPr>
        <w:t>nales, estamos ignorando esa variable. Es decir, se asume que al rango que se presenta en el grá</w:t>
      </w:r>
      <w:r w:rsidRPr="00BC09E0">
        <w:t>ﬁ</w:t>
      </w:r>
      <w:r w:rsidRPr="00BC09E0">
        <w:rPr>
          <w:lang w:val="es-ES"/>
        </w:rPr>
        <w:t xml:space="preserve">co, habría que aumentarle un cierto porcentaje de variación que representaría la variación promedio histórica entre encuestas y resultados </w:t>
      </w:r>
      <w:r w:rsidRPr="00BC09E0">
        <w:t>ﬁ</w:t>
      </w:r>
      <w:r w:rsidRPr="00BC09E0">
        <w:rPr>
          <w:lang w:val="es-ES"/>
        </w:rPr>
        <w:t xml:space="preserve">nales, pero esos datos no están disponibles.  </w:t>
      </w:r>
    </w:p>
    <w:p w:rsidR="00BC09E0" w:rsidRPr="00BC09E0" w:rsidRDefault="00596F97" w:rsidP="00BC09E0">
      <w:pPr>
        <w:jc w:val="both"/>
        <w:rPr>
          <w:lang w:val="es-ES"/>
        </w:rPr>
      </w:pPr>
      <w:r>
        <w:rPr>
          <w:lang w:val="es-ES"/>
        </w:rPr>
        <w:t>-</w:t>
      </w:r>
      <w:r w:rsidR="00BC09E0" w:rsidRPr="00BC09E0">
        <w:rPr>
          <w:lang w:val="es-ES"/>
        </w:rPr>
        <w:t>No se está tomando en cuenta, ni en las encuestas de base ni en la tabulación de batos, losresultados internacionales, que como se sabe pueden de</w:t>
      </w:r>
      <w:r w:rsidR="00BC09E0" w:rsidRPr="00BC09E0">
        <w:t>ﬁ</w:t>
      </w:r>
      <w:r w:rsidR="00BC09E0" w:rsidRPr="00BC09E0">
        <w:rPr>
          <w:lang w:val="es-ES"/>
        </w:rPr>
        <w:t xml:space="preserve">nir una elección </w:t>
      </w:r>
    </w:p>
    <w:p w:rsidR="00BC09E0" w:rsidRPr="00BC09E0" w:rsidRDefault="00BC09E0" w:rsidP="00BC09E0">
      <w:pPr>
        <w:rPr>
          <w:lang w:val="es-ES"/>
        </w:rPr>
      </w:pPr>
    </w:p>
    <w:sectPr w:rsidR="00BC09E0" w:rsidRPr="00BC09E0" w:rsidSect="00141D6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OYIPN+HelveticaNeue-BoldItalic">
    <w:altName w:val="Helvetica Neue"/>
    <w:panose1 w:val="00000000000000000000"/>
    <w:charset w:val="00"/>
    <w:family w:val="swiss"/>
    <w:notTrueType/>
    <w:pitch w:val="default"/>
    <w:sig w:usb0="00000003" w:usb1="00000000" w:usb2="00000000" w:usb3="00000000" w:csb0="00000001" w:csb1="00000000"/>
  </w:font>
  <w:font w:name="MGLCER+HelveticaNeue-Bold">
    <w:altName w:val="Helvetica Neue"/>
    <w:panose1 w:val="00000000000000000000"/>
    <w:charset w:val="00"/>
    <w:family w:val="swiss"/>
    <w:notTrueType/>
    <w:pitch w:val="default"/>
    <w:sig w:usb0="00000003" w:usb1="00000000" w:usb2="00000000" w:usb3="00000000" w:csb0="00000001" w:csb1="00000000"/>
  </w:font>
  <w:font w:name="VTJSKJ+HelveticaNeue">
    <w:altName w:val="Helvetica Neue"/>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B40"/>
    <w:multiLevelType w:val="hybridMultilevel"/>
    <w:tmpl w:val="D5128D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184D7B9"/>
    <w:multiLevelType w:val="hybridMultilevel"/>
    <w:tmpl w:val="2D8F3C6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83E10DB"/>
    <w:multiLevelType w:val="hybridMultilevel"/>
    <w:tmpl w:val="CE704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409039E"/>
    <w:multiLevelType w:val="hybridMultilevel"/>
    <w:tmpl w:val="FD6A85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EC6F5F"/>
    <w:rsid w:val="00141D65"/>
    <w:rsid w:val="003D7A48"/>
    <w:rsid w:val="00407B71"/>
    <w:rsid w:val="00596F97"/>
    <w:rsid w:val="00BC09E0"/>
    <w:rsid w:val="00EC6F5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1D65"/>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6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C6F5F"/>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3D7A48"/>
    <w:pPr>
      <w:ind w:left="720"/>
      <w:contextualSpacing/>
    </w:pPr>
  </w:style>
  <w:style w:type="paragraph" w:styleId="Sprechblasentext">
    <w:name w:val="Balloon Text"/>
    <w:basedOn w:val="Standard"/>
    <w:link w:val="SprechblasentextZchn"/>
    <w:uiPriority w:val="99"/>
    <w:semiHidden/>
    <w:unhideWhenUsed/>
    <w:rsid w:val="00BC09E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4701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dc:creator>
  <cp:keywords/>
  <dc:description/>
  <cp:lastModifiedBy>Suki</cp:lastModifiedBy>
  <cp:revision>2</cp:revision>
  <dcterms:created xsi:type="dcterms:W3CDTF">2019-06-18T20:10:00Z</dcterms:created>
  <dcterms:modified xsi:type="dcterms:W3CDTF">2019-06-18T20:47:00Z</dcterms:modified>
</cp:coreProperties>
</file>