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6"/>
          <w:szCs w:val="26"/>
        </w:rPr>
        <w:t xml:space="preserve">APLICAÇÃO DE PROCESSAMENTO DE LINGUAGEM NATURAL PARA ENRIQUECIMENTO E PADRONIZAÇÃO DE DADOS CLÍNICOS EM PRONTUÁRIOS ELETRÔNICOS</w:t>
      </w:r>
    </w:p>
    <w:p>
      <w:pPr>
        <w:spacing w:after="80"/>
        <w:jc w:val="center"/>
      </w:pPr>
      <w:r>
        <w:rPr>
          <w:sz w:val="22"/>
          <w:szCs w:val="22"/>
        </w:rPr>
        <w:t xml:space="preserve">Rafaela Manso</w:t>
      </w:r>
    </w:p>
    <w:p>
      <w:pPr>
        <w:spacing w:after="80"/>
        <w:jc w:val="center"/>
      </w:pPr>
      <w:r>
        <w:rPr>
          <w:sz w:val="22"/>
          <w:szCs w:val="22"/>
        </w:rPr>
        <w:t xml:space="preserve">Curso de Ciências de Dados e Inteligência Artificial</w:t>
      </w:r>
    </w:p>
    <w:p>
      <w:pPr>
        <w:spacing w:after="80"/>
        <w:jc w:val="center"/>
      </w:pPr>
      <w:r>
        <w:rPr>
          <w:sz w:val="22"/>
          <w:szCs w:val="22"/>
        </w:rPr>
        <w:t xml:space="preserve">Centro Universitário UniDomBosco – Curitiba, PR – Brazil</w:t>
      </w:r>
    </w:p>
    <w:p>
      <w:pPr>
        <w:spacing w:after="300"/>
        <w:jc w:val="center"/>
      </w:pPr>
      <w:r>
        <w:rPr>
          <w:sz w:val="22"/>
          <w:szCs w:val="22"/>
        </w:rPr>
        <w:t xml:space="preserve">rafaelamanso07@gmail.com</w:t>
      </w:r>
    </w:p>
    <w:p>
      <w:pPr>
        <w:spacing w:after="120" w:line="276"/>
        <w:jc w:val="both"/>
      </w:pPr>
      <w:r>
        <w:rPr>
          <w:b/>
          <w:bCs/>
          <w:sz w:val="22"/>
          <w:szCs w:val="22"/>
        </w:rPr>
        <w:t xml:space="preserve">Abstract. </w:t>
      </w:r>
      <w:r>
        <w:rPr>
          <w:sz w:val="22"/>
          <w:szCs w:val="22"/>
        </w:rPr>
        <w:t xml:space="preserve">This work addresses the challenge of unstructured clinical text within Electronic Patient Records (EPRs), which significantly limits data analysis. We propose the development of an AI Agent based on Natural Language Processing (NLP) to enrich and standardize these records. The agent leverages pre-trained clinical Portuguese models for Named Entity Recognition (BioBERTpt) and fine-tunes a Transformer model (BERTimbau) for ICD-10 chapter-level classification. The primary goal is to enhance clinical data quality and provide effective decision support for diagnostic coding.</w:t>
      </w:r>
    </w:p>
    <w:p>
      <w:pPr>
        <w:spacing w:after="120" w:line="276"/>
        <w:jc w:val="both"/>
      </w:pPr>
      <w:r>
        <w:rPr>
          <w:b/>
          <w:bCs/>
          <w:sz w:val="22"/>
          <w:szCs w:val="22"/>
        </w:rPr>
        <w:t xml:space="preserve">Resumo. </w:t>
      </w:r>
      <w:r>
        <w:rPr>
          <w:sz w:val="22"/>
          <w:szCs w:val="22"/>
        </w:rPr>
        <w:t xml:space="preserve">O trabalho visa solucionar o problema das narrativas clínicas não estruturadas em Prontuários Eletrônicos (PEP), que limitam a análise de dados. Propõe-se o desenvolvimento de um Agente de IA baseado em Processamento de Linguagem Natural (PLN) para enriquecer e padronizar esses registros. O agente combina modelos clínicos pré-treinados em português (BioBERTpt) para extração de entidades com fine-tuning de Transformer (BERTimbau) para classificação do CID-10 em nível de capítulo, buscando elevar a qualidade da codificação clínica e oferecer apoio à decisão diagnóstica.</w:t>
      </w:r>
    </w:p>
    <w:p>
      <w:pPr>
        <w:pStyle w:val="Heading1"/>
        <w:spacing w:after="180" w:before="240"/>
      </w:pPr>
      <w:r>
        <w:rPr>
          <w:b/>
          <w:bCs/>
          <w:sz w:val="26"/>
          <w:szCs w:val="26"/>
        </w:rPr>
        <w:t xml:space="preserve">1. Introdução</w:t>
      </w:r>
    </w:p>
    <w:p>
      <w:pPr>
        <w:spacing w:after="120" w:line="276"/>
        <w:jc w:val="both"/>
      </w:pPr>
      <w:r>
        <w:rPr>
          <w:sz w:val="22"/>
          <w:szCs w:val="22"/>
        </w:rPr>
        <w:t xml:space="preserve">A informatização dos sistemas de saúde pública ampliou significativamente a quantidade de dados disponíveis, especialmente a partir do Prontuário Eletrônico do Paciente (PEP). Apesar desse avanço, uma parte essencial das informações clínicas — geralmente a mais rica e detalhada — continua concentrada em campos de texto livre, como observações e evoluções registradas pelos profissionais. Por serem dados não estruturados, tornam-se difíceis de processar, padronizar e utilizar em análises mais complexas, como estudos preditivos ou ações estratégicas de gestão.</w:t>
      </w:r>
    </w:p>
    <w:p>
      <w:pPr>
        <w:spacing w:after="120" w:line="276"/>
        <w:jc w:val="both"/>
      </w:pPr>
      <w:r>
        <w:rPr>
          <w:sz w:val="22"/>
          <w:szCs w:val="22"/>
        </w:rPr>
        <w:t xml:space="preserve">Diante desse cenário, surge a necessidade de resgatar esse potencial pouco explorado. Este trabalho propõe o uso de técnicas de Inteligência Artificial (IA), em especial o Processamento de Linguagem Natural (PLN), para desenvolver um modelo capaz de atuar como apoio ao profissional de saúde durante o atendimento. A proposta é criar um agente que consiga extrair informações relevantes dos textos clínicos e sugerir o capítulo do CID-10 correspondente ao registro. Com isso, busca-se otimizar o tempo dos profissionais, aumentar a precisão das informações registradas e melhorar a qualidade e a usabilidade dos prontuários.</w:t>
      </w:r>
    </w:p>
    <w:p>
      <w:pPr>
        <w:pStyle w:val="Heading1"/>
        <w:spacing w:after="180" w:before="240"/>
      </w:pPr>
      <w:r>
        <w:rPr>
          <w:b/>
          <w:bCs/>
          <w:sz w:val="26"/>
          <w:szCs w:val="26"/>
        </w:rPr>
        <w:t xml:space="preserve">2. Referencial Teórico</w:t>
      </w:r>
    </w:p>
    <w:p>
      <w:pPr>
        <w:pStyle w:val="Heading2"/>
        <w:spacing w:after="140" w:before="200"/>
      </w:pPr>
      <w:r>
        <w:rPr>
          <w:b/>
          <w:bCs/>
          <w:sz w:val="24"/>
          <w:szCs w:val="24"/>
        </w:rPr>
        <w:t xml:space="preserve">2.1. O Desafio da Terminologia e Qualidade de Dados Clínicos</w:t>
      </w:r>
    </w:p>
    <w:p>
      <w:pPr>
        <w:spacing w:after="120" w:line="276"/>
        <w:jc w:val="both"/>
      </w:pPr>
      <w:r>
        <w:rPr>
          <w:sz w:val="22"/>
          <w:szCs w:val="22"/>
        </w:rPr>
        <w:t xml:space="preserve">O processo de digitalização do PEP ampliou o volume de informações registradas, mas não solucionou o desafio da terminologia clínica. Parte significativa das informações continua sendo registrada em linguagem natural, marcada por abreviações, variações semânticas e inconsistências que dificultam o uso automatizado desses dados. Segundo Dantas et al. (2017), essa falta de uniformidade compromete a qualidade da informação e limita análises em larga escala.</w:t>
      </w:r>
    </w:p>
    <w:p>
      <w:pPr>
        <w:spacing w:after="120" w:line="276"/>
        <w:jc w:val="both"/>
      </w:pPr>
      <w:r>
        <w:rPr>
          <w:sz w:val="22"/>
          <w:szCs w:val="22"/>
        </w:rPr>
        <w:t xml:space="preserve">Para que esses registros sejam úteis, torna-se indispensável a padronização da escrita por meio de terminologias reconhecidas, como o CID-10 e os códigos SIGTAP. Além disso, a interoperabilidade entre sistemas depende de dados bem estruturados e semanticamente alinhados. Gomes et al. (2023) reforçam que a ausência dessa padronização impacta diretamente a tomada de decisão e a eficiência dos fluxos de informação em saúde.</w:t>
      </w:r>
    </w:p>
    <w:p>
      <w:pPr>
        <w:pStyle w:val="Heading2"/>
        <w:spacing w:after="140" w:before="200"/>
      </w:pPr>
      <w:r>
        <w:rPr>
          <w:b/>
          <w:bCs/>
          <w:sz w:val="24"/>
          <w:szCs w:val="24"/>
        </w:rPr>
        <w:t xml:space="preserve">2.2. O Processamento de Linguagem Natural (PLN) na Saúde</w:t>
      </w:r>
    </w:p>
    <w:p>
      <w:pPr>
        <w:spacing w:after="120" w:line="276"/>
        <w:jc w:val="both"/>
      </w:pPr>
      <w:r>
        <w:rPr>
          <w:sz w:val="22"/>
          <w:szCs w:val="22"/>
        </w:rPr>
        <w:t xml:space="preserve">O Processamento de Linguagem Natural (PLN) tem se consolidado como uma das principais estratégias para lidar com grandes volumes de texto clínico. Ele permite que sistemas computacionais interpretem e classifiquem narrativas registradas pelos profissionais, viabilizando a extração de conhecimento a partir de dados não estruturados (DIAS et al., 2023).</w:t>
      </w:r>
    </w:p>
    <w:p>
      <w:pPr>
        <w:spacing w:after="120" w:line="276"/>
        <w:jc w:val="both"/>
      </w:pPr>
      <w:r>
        <w:rPr>
          <w:sz w:val="22"/>
          <w:szCs w:val="22"/>
        </w:rPr>
        <w:t xml:space="preserve">Aplicações de PLN na saúde incluem desidentificação, extração de dados e apoio à codificação clínica. Silva et al. (2019) mostram que essas técnicas possibilitam transformar texto livre em informações estruturadas compatíveis com terminologias padronizadas.</w:t>
      </w:r>
    </w:p>
    <w:p>
      <w:pPr>
        <w:spacing w:after="120" w:line="276"/>
        <w:jc w:val="both"/>
      </w:pPr>
      <w:r>
        <w:rPr>
          <w:sz w:val="22"/>
          <w:szCs w:val="22"/>
        </w:rPr>
        <w:t xml:space="preserve">Neste trabalho, duas técnicas são centrais:</w:t>
      </w:r>
    </w:p>
    <w:p>
      <w:pPr>
        <w:pStyle w:val="ListParagraph"/>
        <w:numPr>
          <w:ilvl w:val="0"/>
          <w:numId w:val="2"/>
        </w:numPr>
        <w:spacing w:after="80" w:line="276"/>
        <w:jc w:val="both"/>
      </w:pPr>
      <w:r>
        <w:rPr>
          <w:sz w:val="22"/>
          <w:szCs w:val="22"/>
        </w:rPr>
        <w:t xml:space="preserve">Reconhecimento de Entidades Nomeadas (NER): útil para captar sintomas, medidas vitais, medicamentos e outros elementos essenciais da narrativa clínica.</w:t>
      </w:r>
    </w:p>
    <w:p>
      <w:pPr>
        <w:pStyle w:val="ListParagraph"/>
        <w:numPr>
          <w:ilvl w:val="0"/>
          <w:numId w:val="2"/>
        </w:numPr>
        <w:spacing w:after="80" w:line="276"/>
        <w:jc w:val="both"/>
      </w:pPr>
      <w:r>
        <w:rPr>
          <w:sz w:val="22"/>
          <w:szCs w:val="22"/>
        </w:rPr>
        <w:t xml:space="preserve">Classificação de Texto: responsável por mapear descrições clínicas para o capítulo correspondente do CID-10.</w:t>
      </w:r>
    </w:p>
    <w:p>
      <w:pPr>
        <w:spacing w:after="120" w:line="276"/>
        <w:jc w:val="both"/>
      </w:pPr>
      <w:r>
        <w:rPr>
          <w:sz w:val="22"/>
          <w:szCs w:val="22"/>
        </w:rPr>
        <w:t xml:space="preserve">Modelos Transformer destacam-se por capturar o contexto semântico de forma mais profunda, oferecendo desempenho superior em tarefas clínicas sensíveis (GOMES et al., 2020). Trabalhos como o de Schneider et al. (2020) demonstram que modelos BERT adaptados ao domínio clínico em português brasileiro — como o BioBERTpt, desenvolvido pelo HAILab da PUC-PR — apresentam desempenho superior em tarefas de NER quando comparados a modelos generalistas, justificando seu uso em pipelines de processamento de prontuários eletrônicos. Para a tarefa de classificação, o BERTimbau (NEUM et al., 2020) é amplamente reconhecido como referência para fine-tuning em português brasileiro.</w:t>
      </w:r>
    </w:p>
    <w:p>
      <w:pPr>
        <w:pStyle w:val="Heading1"/>
        <w:spacing w:after="180" w:before="240"/>
      </w:pPr>
      <w:r>
        <w:rPr>
          <w:b/>
          <w:bCs/>
          <w:sz w:val="26"/>
          <w:szCs w:val="26"/>
        </w:rPr>
        <w:t xml:space="preserve">3. Proposta de Pesquisa</w:t>
      </w:r>
    </w:p>
    <w:p>
      <w:pPr>
        <w:pStyle w:val="Heading2"/>
        <w:spacing w:after="140" w:before="200"/>
      </w:pPr>
      <w:r>
        <w:rPr>
          <w:b/>
          <w:bCs/>
          <w:sz w:val="24"/>
          <w:szCs w:val="24"/>
        </w:rPr>
        <w:t xml:space="preserve">3.1. Formulação do Problema, Hipótese e Objetivos</w:t>
      </w:r>
    </w:p>
    <w:p>
      <w:pPr>
        <w:pStyle w:val="Heading3"/>
        <w:spacing w:after="120" w:before="160"/>
      </w:pPr>
      <w:r>
        <w:rPr>
          <w:b/>
          <w:bCs/>
          <w:sz w:val="22"/>
          <w:szCs w:val="22"/>
        </w:rPr>
        <w:t xml:space="preserve">3.1.1 Problema de Pesquisa</w:t>
      </w:r>
    </w:p>
    <w:p>
      <w:pPr>
        <w:spacing w:after="120" w:line="276"/>
        <w:jc w:val="both"/>
      </w:pPr>
      <w:r>
        <w:rPr>
          <w:sz w:val="22"/>
          <w:szCs w:val="22"/>
        </w:rPr>
        <w:t xml:space="preserve">De que forma um Agente de IA baseado em uma arquitetura modular de PLN/ML pode ser desenvolvido para, de maneira acurada e interativa, enriquecer, padronizar e auxiliar na codificação diagnóstica (CID-10) dos registros de texto livre nos prontuários eletrônicos?</w:t>
      </w:r>
    </w:p>
    <w:p>
      <w:pPr>
        <w:pStyle w:val="Heading3"/>
        <w:spacing w:after="120" w:before="160"/>
      </w:pPr>
      <w:r>
        <w:rPr>
          <w:b/>
          <w:bCs/>
          <w:sz w:val="22"/>
          <w:szCs w:val="22"/>
        </w:rPr>
        <w:t xml:space="preserve">3.1.2 Hipótese</w:t>
      </w:r>
    </w:p>
    <w:p>
      <w:pPr>
        <w:spacing w:after="120" w:line="276"/>
        <w:jc w:val="both"/>
      </w:pPr>
      <w:r>
        <w:rPr>
          <w:sz w:val="22"/>
          <w:szCs w:val="22"/>
        </w:rPr>
        <w:t xml:space="preserve">O desenvolvimento de um Agente de IA composto por modelos de PLN de alto desempenho — combinando modelos clínicos pré-treinados em português para NER e fine-tuning de Transformer para classificação — pode processar narrativas clínicas desidentificadas e entregar sugestões de extração de conceitos e classificação do CID-10 em nível de capítulo com acurácia significativa. A validação desta hipótese suportará a implementação futura do modelo no Prontuário Eletrônico da instituição parceira.</w:t>
      </w:r>
    </w:p>
    <w:p>
      <w:pPr>
        <w:pStyle w:val="Heading3"/>
        <w:spacing w:after="120" w:before="160"/>
      </w:pPr>
      <w:r>
        <w:rPr>
          <w:b/>
          <w:bCs/>
          <w:sz w:val="22"/>
          <w:szCs w:val="22"/>
        </w:rPr>
        <w:t xml:space="preserve">3.1.3 Objetivo Geral</w:t>
      </w:r>
    </w:p>
    <w:p>
      <w:pPr>
        <w:spacing w:after="120" w:line="276"/>
        <w:jc w:val="both"/>
      </w:pPr>
      <w:r>
        <w:rPr>
          <w:sz w:val="22"/>
          <w:szCs w:val="22"/>
        </w:rPr>
        <w:t xml:space="preserve">Propor e validar um Agente de IA baseado em arquitetura modular de PLN, capaz de enriquecer o registro de consultas no PEP, auxiliando o profissional de saúde da instituição parceira na padronização de textos livres, na extração de entidades clínicas e na sugestão do capítulo do CID-10 correspondente.</w:t>
      </w:r>
    </w:p>
    <w:p>
      <w:pPr>
        <w:pStyle w:val="Heading3"/>
        <w:spacing w:after="120" w:before="160"/>
      </w:pPr>
      <w:r>
        <w:rPr>
          <w:b/>
          <w:bCs/>
          <w:sz w:val="22"/>
          <w:szCs w:val="22"/>
        </w:rPr>
        <w:t xml:space="preserve">3.1.4 Objetivos Específicos</w:t>
      </w:r>
    </w:p>
    <w:p>
      <w:pPr>
        <w:pStyle w:val="ListParagraph"/>
        <w:numPr>
          <w:ilvl w:val="0"/>
          <w:numId w:val="2"/>
        </w:numPr>
        <w:spacing w:after="80" w:line="276"/>
        <w:jc w:val="both"/>
      </w:pPr>
      <w:r>
        <w:rPr>
          <w:sz w:val="22"/>
          <w:szCs w:val="22"/>
        </w:rPr>
        <w:t xml:space="preserve">Coletar e anonimizar uma amostra de registros reais de consultas da base de dados da instituição parceira, garantindo o rigor ético e legal.</w:t>
      </w:r>
    </w:p>
    <w:p>
      <w:pPr>
        <w:pStyle w:val="ListParagraph"/>
        <w:numPr>
          <w:ilvl w:val="0"/>
          <w:numId w:val="2"/>
        </w:numPr>
        <w:spacing w:after="80" w:line="276"/>
        <w:jc w:val="both"/>
      </w:pPr>
      <w:r>
        <w:rPr>
          <w:sz w:val="22"/>
          <w:szCs w:val="22"/>
        </w:rPr>
        <w:t xml:space="preserve">Implementar um pipeline modular de PLN, contendo um módulo de Reconhecimento de Entidades Nomeadas (NER) baseado em modelo clínico pré-treinado em português (BioBERTpt) e um módulo de Classificação baseado em fine-tuning do BERTimbau.</w:t>
      </w:r>
    </w:p>
    <w:p>
      <w:pPr>
        <w:pStyle w:val="ListParagraph"/>
        <w:numPr>
          <w:ilvl w:val="0"/>
          <w:numId w:val="2"/>
        </w:numPr>
        <w:spacing w:after="80" w:line="276"/>
        <w:jc w:val="both"/>
      </w:pPr>
      <w:r>
        <w:rPr>
          <w:sz w:val="22"/>
          <w:szCs w:val="22"/>
        </w:rPr>
        <w:t xml:space="preserve">Treinar e validar o módulo de Classificação para predição do capítulo do CID-10 correspondente ao texto clínico, avaliando o desempenho com métricas adequadas a problemas multi-classe desbalanceados (acurácia, precisão, recall, F1-score macro e micro).</w:t>
      </w:r>
    </w:p>
    <w:p>
      <w:pPr>
        <w:pStyle w:val="ListParagraph"/>
        <w:numPr>
          <w:ilvl w:val="0"/>
          <w:numId w:val="2"/>
        </w:numPr>
        <w:spacing w:after="80" w:line="276"/>
        <w:jc w:val="both"/>
      </w:pPr>
      <w:r>
        <w:rPr>
          <w:sz w:val="22"/>
          <w:szCs w:val="22"/>
        </w:rPr>
        <w:t xml:space="preserve">Disponibilizar a solução através de uma API REST, permitindo integração futura com o Prontuário Eletrônico da instituição parceira.</w:t>
      </w:r>
    </w:p>
    <w:p>
      <w:pPr>
        <w:pStyle w:val="Heading1"/>
        <w:spacing w:after="180" w:before="240"/>
      </w:pPr>
      <w:r>
        <w:rPr>
          <w:b/>
          <w:bCs/>
          <w:sz w:val="26"/>
          <w:szCs w:val="26"/>
        </w:rPr>
        <w:t xml:space="preserve">4. Metodologia</w:t>
      </w:r>
    </w:p>
    <w:p>
      <w:pPr>
        <w:pStyle w:val="Heading2"/>
        <w:spacing w:after="140" w:before="200"/>
      </w:pPr>
      <w:r>
        <w:rPr>
          <w:b/>
          <w:bCs/>
          <w:sz w:val="24"/>
          <w:szCs w:val="24"/>
        </w:rPr>
        <w:t xml:space="preserve">4.1. Base de Dados e Tratamento Ético</w:t>
      </w:r>
    </w:p>
    <w:p>
      <w:pPr>
        <w:spacing w:after="120" w:line="276"/>
        <w:jc w:val="both"/>
      </w:pPr>
      <w:r>
        <w:rPr>
          <w:sz w:val="22"/>
          <w:szCs w:val="22"/>
        </w:rPr>
        <w:t xml:space="preserve">Este estudo utilizará uma amostra de registros reais provenientes do sistema de saúde da instituição parceira. A utilização desses dados foi autorizada internamente; porém, a base é confidencial e, por esse motivo, não será disponibilizada publicamente. A autora atua profissionalmente na instituição parceira, o que viabilizou tanto o acesso aos dados quanto a possibilidade de validação clínica do projeto.</w:t>
      </w:r>
    </w:p>
    <w:p>
      <w:pPr>
        <w:spacing w:after="120" w:line="276"/>
        <w:jc w:val="both"/>
      </w:pPr>
      <w:r>
        <w:rPr>
          <w:sz w:val="22"/>
          <w:szCs w:val="22"/>
        </w:rPr>
        <w:t xml:space="preserve">A construção da amostra é realizada a partir de consultas diretas ao banco de dados da instituição parceira, selecionando somente as colunas que não contêm informações sensíveis de pacientes ou profissionais. A base estruturada para o treinamento é armazenada em um banco MySQL e é composta pelas seguintes colunas-alvo:</w:t>
      </w:r>
    </w:p>
    <w:p>
      <w:pPr>
        <w:spacing w:after="80" w:before="120"/>
        <w:jc w:val="center"/>
      </w:pPr>
      <w:r>
        <w:rPr>
          <w:b/>
          <w:bCs/>
          <w:sz w:val="22"/>
          <w:szCs w:val="22"/>
        </w:rPr>
        <w:t xml:space="preserve">Tabela 1. Dicionário de dados da base escolhida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900"/>
        <w:gridCol w:w="2060"/>
      </w:tblGrid>
      <w:tr>
        <w:trPr>
          <w:tblHeader/>
        </w:trPr>
        <w:tc>
          <w:tcPr>
            <w:tcW w:type="dxa" w:w="17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spacing w:after="0"/>
            </w:pPr>
            <w:r>
              <w:rPr>
                <w:b/>
                <w:bCs/>
                <w:sz w:val="20"/>
                <w:szCs w:val="20"/>
              </w:rPr>
              <w:t xml:space="preserve">Tipo</w:t>
            </w:r>
          </w:p>
        </w:tc>
        <w:tc>
          <w:tcPr>
            <w:tcW w:type="dxa" w:w="27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spacing w:after="0"/>
            </w:pPr>
            <w:r>
              <w:rPr>
                <w:b/>
                <w:bCs/>
                <w:sz w:val="20"/>
                <w:szCs w:val="20"/>
              </w:rPr>
              <w:t xml:space="preserve">Coluna</w:t>
            </w:r>
          </w:p>
        </w:tc>
        <w:tc>
          <w:tcPr>
            <w:tcW w:type="dxa" w:w="290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spacing w:after="0"/>
            </w:pPr>
            <w:r>
              <w:rPr>
                <w:b/>
                <w:bCs/>
                <w:sz w:val="20"/>
                <w:szCs w:val="20"/>
              </w:rPr>
              <w:t xml:space="preserve">Descrição</w:t>
            </w:r>
          </w:p>
        </w:tc>
        <w:tc>
          <w:tcPr>
            <w:tcW w:type="dxa" w:w="2060"/>
            <w:tcBorders>
              <w:top w:val="single" w:color="999999" w:sz="6"/>
              <w:left w:val="single" w:color="999999" w:sz="6"/>
              <w:bottom w:val="single" w:color="999999" w:sz="6"/>
              <w:right w:val="single" w:color="999999" w:sz="6"/>
            </w:tcBorders>
            <w:shd w:fill="D5E8F0" w:val="clear"/>
            <w:tcMar>
              <w:top w:type="dxa" w:w="100"/>
              <w:left w:type="dxa" w:w="120"/>
              <w:bottom w:type="dxa" w:w="100"/>
              <w:right w:type="dxa" w:w="120"/>
            </w:tcMar>
          </w:tcPr>
          <w:p>
            <w:pPr>
              <w:spacing w:after="0"/>
            </w:pPr>
            <w:r>
              <w:rPr>
                <w:b/>
                <w:bCs/>
                <w:sz w:val="20"/>
                <w:szCs w:val="20"/>
              </w:rPr>
              <w:t xml:space="preserve">Utilidade no Modelo</w:t>
            </w:r>
          </w:p>
        </w:tc>
      </w:tr>
      <w:tr>
        <w:tc>
          <w:tcPr>
            <w:tcW w:type="dxa" w:w="17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Input (Texto Livre)</w:t>
            </w:r>
          </w:p>
        </w:tc>
        <w:tc>
          <w:tcPr>
            <w:tcW w:type="dxa" w:w="27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DSC_OBSERVACAO_CLINICA</w:t>
            </w:r>
          </w:p>
        </w:tc>
        <w:tc>
          <w:tcPr>
            <w:tcW w:type="dxa" w:w="29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Narrativa clínica da consulta (campo alvo da pesquisa).</w:t>
            </w:r>
          </w:p>
        </w:tc>
        <w:tc>
          <w:tcPr>
            <w:tcW w:type="dxa" w:w="206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Treinamento dos módulos de NER e Classificação.</w:t>
            </w:r>
          </w:p>
        </w:tc>
      </w:tr>
      <w:tr>
        <w:tc>
          <w:tcPr>
            <w:tcW w:type="dxa" w:w="17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Input (Dados Contextuais)</w:t>
            </w:r>
          </w:p>
        </w:tc>
        <w:tc>
          <w:tcPr>
            <w:tcW w:type="dxa" w:w="27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IND_TIPO_CONSULTA, TIP_SEXO, NUM_IDADE</w:t>
            </w:r>
          </w:p>
        </w:tc>
        <w:tc>
          <w:tcPr>
            <w:tcW w:type="dxa" w:w="29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Informações básicas, desidentificadas, necessárias para o contexto.</w:t>
            </w:r>
          </w:p>
        </w:tc>
        <w:tc>
          <w:tcPr>
            <w:tcW w:type="dxa" w:w="206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Contexto para melhorar a acurácia do modelo de classificação.</w:t>
            </w:r>
          </w:p>
        </w:tc>
      </w:tr>
      <w:tr>
        <w:tc>
          <w:tcPr>
            <w:tcW w:type="dxa" w:w="17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Output (Rótulo)</w:t>
            </w:r>
          </w:p>
        </w:tc>
        <w:tc>
          <w:tcPr>
            <w:tcW w:type="dxa" w:w="27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COD_CID (nível de capítulo)</w:t>
            </w:r>
          </w:p>
        </w:tc>
        <w:tc>
          <w:tcPr>
            <w:tcW w:type="dxa" w:w="29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Código CID-10 do diagnóstico, agrupado em nível de capítulo (22 classes).</w:t>
            </w:r>
          </w:p>
        </w:tc>
        <w:tc>
          <w:tcPr>
            <w:tcW w:type="dxa" w:w="206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Alvo da classificação de diagnóstico.</w:t>
            </w:r>
          </w:p>
        </w:tc>
      </w:tr>
      <w:tr>
        <w:tc>
          <w:tcPr>
            <w:tcW w:type="dxa" w:w="17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Output (Auxiliar)</w:t>
            </w:r>
          </w:p>
        </w:tc>
        <w:tc>
          <w:tcPr>
            <w:tcW w:type="dxa" w:w="27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IND_TIPO_CID</w:t>
            </w:r>
          </w:p>
        </w:tc>
        <w:tc>
          <w:tcPr>
            <w:tcW w:type="dxa" w:w="29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Tipo do diagnóstico (definitivo/provisório).</w:t>
            </w:r>
          </w:p>
        </w:tc>
        <w:tc>
          <w:tcPr>
            <w:tcW w:type="dxa" w:w="206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Filtro de qualidade da amostra de treino.</w:t>
            </w:r>
          </w:p>
        </w:tc>
      </w:tr>
      <w:tr>
        <w:tc>
          <w:tcPr>
            <w:tcW w:type="dxa" w:w="17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Coletado (uso futuro)</w:t>
            </w:r>
          </w:p>
        </w:tc>
        <w:tc>
          <w:tcPr>
            <w:tcW w:type="dxa" w:w="27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BPA_PRIMARIO, BPA_SECUNDARIO</w:t>
            </w:r>
          </w:p>
        </w:tc>
        <w:tc>
          <w:tcPr>
            <w:tcW w:type="dxa" w:w="290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Códigos SIGTAP oficiais (procedimentos - BPA).</w:t>
            </w:r>
          </w:p>
        </w:tc>
        <w:tc>
          <w:tcPr>
            <w:tcW w:type="dxa" w:w="2060"/>
            <w:tcBorders>
              <w:top w:val="single" w:color="999999" w:sz="6"/>
              <w:left w:val="single" w:color="999999" w:sz="6"/>
              <w:bottom w:val="single" w:color="999999" w:sz="6"/>
              <w:right w:val="single" w:color="999999" w:sz="6"/>
            </w:tcBorders>
            <w:tcMar>
              <w:top w:type="dxa" w:w="100"/>
              <w:left w:type="dxa" w:w="120"/>
              <w:bottom w:type="dxa" w:w="100"/>
              <w:right w:type="dxa" w:w="120"/>
            </w:tcMar>
          </w:tcPr>
          <w:p>
            <w:pPr>
              <w:spacing w:after="0"/>
            </w:pPr>
            <w:r>
              <w:rPr>
                <w:b w:val="false"/>
                <w:bCs w:val="false"/>
                <w:sz w:val="20"/>
                <w:szCs w:val="20"/>
              </w:rPr>
              <w:t xml:space="preserve">Reservado para trabalhos futuros (classificação de procedimentos).</w:t>
            </w:r>
          </w:p>
        </w:tc>
      </w:tr>
    </w:tbl>
    <w:p>
      <w:pPr>
        <w:spacing w:after="120"/>
      </w:pPr>
      <w:r>
        <w:t xml:space="preserve"/>
      </w:r>
    </w:p>
    <w:p>
      <w:pPr>
        <w:spacing w:after="120" w:line="276"/>
        <w:jc w:val="both"/>
      </w:pPr>
      <w:r>
        <w:rPr>
          <w:sz w:val="22"/>
          <w:szCs w:val="22"/>
        </w:rPr>
        <w:t xml:space="preserve">Para garantir a anonimização total, será aplicado um pipeline de pré-processamento sobre as colunas de texto livre, combinando expressões regulares para padrões determinísticos (CPF, números de prontuário, telefones, datas, e-mails) e Reconhecimento de Entidades Nomeadas para identificação de nomes próprios e endereços. O processo segue as diretrizes da LGPD e visa eliminar qualquer informação que possa levar à identificação de pacientes ou profissionais.</w:t>
      </w:r>
    </w:p>
    <w:p>
      <w:pPr>
        <w:spacing w:after="120" w:line="276"/>
        <w:jc w:val="both"/>
      </w:pPr>
      <w:r>
        <w:rPr>
          <w:sz w:val="22"/>
          <w:szCs w:val="22"/>
        </w:rPr>
        <w:t xml:space="preserve">O banco MySQL também contará com tabelas auxiliares contendo os códigos CID-10 (incluindo seus capítulos) e os códigos SIGTAP. Essa estrutura permitirá que o agente consulte essas referências durante o processamento, auxiliando na tomada de decisão e na sugestão de diagnósticos.</w:t>
      </w:r>
    </w:p>
    <w:p>
      <w:pPr>
        <w:pStyle w:val="Heading2"/>
        <w:spacing w:after="140" w:before="200"/>
      </w:pPr>
      <w:r>
        <w:rPr>
          <w:b/>
          <w:bCs/>
          <w:sz w:val="24"/>
          <w:szCs w:val="24"/>
        </w:rPr>
        <w:t xml:space="preserve">4.2. Arquitetura do Agente de IA</w:t>
      </w:r>
    </w:p>
    <w:p>
      <w:pPr>
        <w:spacing w:after="120" w:line="276"/>
        <w:jc w:val="both"/>
      </w:pPr>
      <w:r>
        <w:rPr>
          <w:sz w:val="22"/>
          <w:szCs w:val="22"/>
        </w:rPr>
        <w:t xml:space="preserve">A solução será desenvolvida em Python e estruturada como um Agente de IA modular, composto por módulos independentes acoplados através de uma API REST construída com FastAPI. Essa organização foi escolhida por sua simplicidade de implementação dentro do escopo de tempo do projeto, mantendo a base preparada para evolução futura em microserviços independentes, caso a demanda da instituição justifique tal expansão.</w:t>
      </w:r>
    </w:p>
    <w:p>
      <w:pPr>
        <w:spacing w:after="120" w:line="276"/>
        <w:jc w:val="both"/>
      </w:pPr>
      <w:r>
        <w:rPr>
          <w:sz w:val="22"/>
          <w:szCs w:val="22"/>
        </w:rPr>
        <w:t xml:space="preserve">O primeiro módulo é o de pré-processamento e anonimização, que aplica as técnicas descritas na Seção 4.1 para remover termos sensíveis eventualmente presentes nas narrativas clínicas, garantindo conformidade com as diretrizes éticas e com a LGPD.</w:t>
      </w:r>
    </w:p>
    <w:p>
      <w:pPr>
        <w:spacing w:after="120" w:line="276"/>
        <w:jc w:val="both"/>
      </w:pPr>
      <w:r>
        <w:rPr>
          <w:sz w:val="22"/>
          <w:szCs w:val="22"/>
        </w:rPr>
        <w:t xml:space="preserve">Em seguida, o módulo de NER (Reconhecimento de Entidades Nomeadas) é responsável por analisar a coluna DSC_OBSERVACAO_CLINICA, extraindo entidades clínicas relevantes (sintomas, doenças, medicamentos, procedimentos terapêuticos e medidas) por meio dos modelos pré-treinados da família BioBERTpt (SCHNEIDER et al., 2020), disponibilizados pelo HAILab da PUC-PR no Hugging Face.</w:t>
      </w:r>
    </w:p>
    <w:p>
      <w:pPr>
        <w:spacing w:after="120" w:line="276"/>
        <w:jc w:val="both"/>
      </w:pPr>
      <w:r>
        <w:rPr>
          <w:sz w:val="22"/>
          <w:szCs w:val="22"/>
        </w:rPr>
        <w:t xml:space="preserve">O módulo de classificação utilizará o modelo BERTimbau (NEUM et al., 2020), fine-tunado especificamente para a tarefa de predição do capítulo do CID-10 a partir do texto clínico processado e de informações contextuais (tipo de consulta, sexo, idade). Como saída, o agente retornará para cada registro processado: (i) as entidades clínicas extraídas; (ii) o capítulo do CID-10 sugerido com seu nível de confiança; e (iii) os top-3 capítulos alternativos, permitindo que o profissional valide ou ajuste a sugestão de forma transparente.</w:t>
      </w:r>
    </w:p>
    <w:p>
      <w:pPr>
        <w:pStyle w:val="Heading2"/>
        <w:spacing w:after="140" w:before="200"/>
      </w:pPr>
      <w:r>
        <w:rPr>
          <w:b/>
          <w:bCs/>
          <w:sz w:val="24"/>
          <w:szCs w:val="24"/>
        </w:rPr>
        <w:t xml:space="preserve">4.3. Limitações do Escopo</w:t>
      </w:r>
    </w:p>
    <w:p>
      <w:pPr>
        <w:spacing w:after="120" w:line="276"/>
        <w:jc w:val="both"/>
      </w:pPr>
      <w:r>
        <w:rPr>
          <w:sz w:val="22"/>
          <w:szCs w:val="22"/>
        </w:rPr>
        <w:t xml:space="preserve">Reconhecemos que o presente trabalho estabelece um escopo intencionalmente focado, com o objetivo de garantir profundidade metodológica dentro do tempo disponível. A classificação é realizada em nível de capítulo do CID-10 (22 classes), e não em nível de código completo (aproximadamente 14.000 códigos). A codificação de procedimentos (BPA/SIGTAP) e a geração de sugestões de reescrita textual via técnicas de geração de linguagem natural (NLG) ficam estabelecidas como propostas de trabalhos futuros, viabilizadas pela arquitetura modular adotada nesta solução.</w:t>
      </w:r>
    </w:p>
    <w:p>
      <w:pPr>
        <w:pStyle w:val="Heading1"/>
        <w:spacing w:after="180" w:before="240"/>
      </w:pPr>
      <w:r>
        <w:rPr>
          <w:b/>
          <w:bCs/>
          <w:sz w:val="26"/>
          <w:szCs w:val="26"/>
        </w:rPr>
        <w:t xml:space="preserve">5. Próximas Etapas</w:t>
      </w:r>
    </w:p>
    <w:p>
      <w:pPr>
        <w:spacing w:after="120" w:line="276"/>
        <w:jc w:val="both"/>
      </w:pPr>
      <w:r>
        <w:rPr>
          <w:sz w:val="22"/>
          <w:szCs w:val="22"/>
        </w:rPr>
        <w:t xml:space="preserve">Após a conclusão desta primeira etapa, as próximas fases do trabalho serão:</w:t>
      </w:r>
    </w:p>
    <w:p>
      <w:pPr>
        <w:pStyle w:val="ListParagraph"/>
        <w:numPr>
          <w:ilvl w:val="0"/>
          <w:numId w:val="2"/>
        </w:numPr>
        <w:spacing w:after="80" w:line="276"/>
        <w:jc w:val="both"/>
      </w:pPr>
      <w:r>
        <w:rPr>
          <w:sz w:val="22"/>
          <w:szCs w:val="22"/>
        </w:rPr>
        <w:t xml:space="preserve">Ajuste fino da base e pré-processamento: finalizar a extração, anonimização e análise exploratória dos dados clínicos.</w:t>
      </w:r>
    </w:p>
    <w:p>
      <w:pPr>
        <w:pStyle w:val="ListParagraph"/>
        <w:numPr>
          <w:ilvl w:val="0"/>
          <w:numId w:val="2"/>
        </w:numPr>
        <w:spacing w:after="80" w:line="276"/>
        <w:jc w:val="both"/>
      </w:pPr>
      <w:r>
        <w:rPr>
          <w:sz w:val="22"/>
          <w:szCs w:val="22"/>
        </w:rPr>
        <w:t xml:space="preserve">Desenvolvimento e treinamento: implementar o módulo de NER utilizando os modelos BioBERTpt pré-treinados e realizar o fine-tuning do BERTimbau para a classificação do CID-10 em nível de capítulo.</w:t>
      </w:r>
    </w:p>
    <w:p>
      <w:pPr>
        <w:pStyle w:val="ListParagraph"/>
        <w:numPr>
          <w:ilvl w:val="0"/>
          <w:numId w:val="2"/>
        </w:numPr>
        <w:spacing w:after="80" w:line="276"/>
        <w:jc w:val="both"/>
      </w:pPr>
      <w:r>
        <w:rPr>
          <w:sz w:val="22"/>
          <w:szCs w:val="22"/>
        </w:rPr>
        <w:t xml:space="preserve">Análise dos resultados: avaliar o desempenho dos modelos usando métricas adequadas (acurácia, precisão, recall, F1-score macro e micro), realizando análise de erros e comparação com os códigos CID-10 reais registrados.</w:t>
      </w:r>
    </w:p>
    <w:p>
      <w:pPr>
        <w:pStyle w:val="ListParagraph"/>
        <w:numPr>
          <w:ilvl w:val="0"/>
          <w:numId w:val="2"/>
        </w:numPr>
        <w:spacing w:after="80" w:line="276"/>
        <w:jc w:val="both"/>
      </w:pPr>
      <w:r>
        <w:rPr>
          <w:sz w:val="22"/>
          <w:szCs w:val="22"/>
        </w:rPr>
        <w:t xml:space="preserve">Disponibilização via API: integrar os módulos por meio de uma API REST construída em FastAPI, permitindo demonstração e validação da solução.</w:t>
      </w:r>
    </w:p>
    <w:p>
      <w:pPr>
        <w:pStyle w:val="ListParagraph"/>
        <w:numPr>
          <w:ilvl w:val="0"/>
          <w:numId w:val="2"/>
        </w:numPr>
        <w:spacing w:after="80" w:line="276"/>
        <w:jc w:val="both"/>
      </w:pPr>
      <w:r>
        <w:rPr>
          <w:sz w:val="22"/>
          <w:szCs w:val="22"/>
        </w:rPr>
        <w:t xml:space="preserve">Construção das considerações finais: elaborar a análise crítica dos resultados, limitações observadas e conclusões da pesquisa.</w:t>
      </w:r>
    </w:p>
    <w:p>
      <w:pPr>
        <w:pStyle w:val="ListParagraph"/>
        <w:numPr>
          <w:ilvl w:val="0"/>
          <w:numId w:val="2"/>
        </w:numPr>
        <w:spacing w:after="80" w:line="276"/>
        <w:jc w:val="both"/>
      </w:pPr>
      <w:r>
        <w:rPr>
          <w:sz w:val="22"/>
          <w:szCs w:val="22"/>
        </w:rPr>
        <w:t xml:space="preserve">Elaboração do artigo científico: finalizar o trabalho na estrutura completa do artigo SBC, incorporando os resultados da validação.</w:t>
      </w:r>
    </w:p>
    <w:p>
      <w:pPr>
        <w:pStyle w:val="Heading1"/>
        <w:spacing w:after="180" w:before="240"/>
      </w:pPr>
      <w:r>
        <w:rPr>
          <w:b/>
          <w:bCs/>
          <w:sz w:val="26"/>
          <w:szCs w:val="26"/>
        </w:rPr>
        <w:t xml:space="preserve">6. Referências</w:t>
      </w:r>
    </w:p>
    <w:p>
      <w:pPr>
        <w:spacing w:after="120" w:line="276"/>
        <w:jc w:val="both"/>
      </w:pPr>
      <w:r>
        <w:rPr>
          <w:sz w:val="22"/>
          <w:szCs w:val="22"/>
        </w:rPr>
        <w:t xml:space="preserve">DANTAS, P. M.; et al. Terminologia de Interface: Processamento de Linguagem Natural de dados clínicos em narrativas do Prontuário Eletrônico do Paciente. Revista de Engenharia Biomédica, v. 33, n. 2, p. 104-113, 2017.</w:t>
      </w:r>
    </w:p>
    <w:p>
      <w:pPr>
        <w:spacing w:after="120" w:line="276"/>
        <w:jc w:val="both"/>
      </w:pPr>
      <w:r>
        <w:rPr>
          <w:sz w:val="22"/>
          <w:szCs w:val="22"/>
        </w:rPr>
        <w:t xml:space="preserve">DIAS, M. L. L. R.; et al. Processamento de Linguagem Natural (Capítulo 21: PLN na Saúde). In: Livro do 15º Encontro Nacional de Processamento de Linguagem Natural. [S.l.]: ABRAPLIP, 2023.</w:t>
      </w:r>
    </w:p>
    <w:p>
      <w:pPr>
        <w:spacing w:after="120" w:line="276"/>
        <w:jc w:val="both"/>
      </w:pPr>
      <w:r>
        <w:rPr>
          <w:sz w:val="22"/>
          <w:szCs w:val="22"/>
        </w:rPr>
        <w:t xml:space="preserve">GOMES, A. P. L.; et al. Os desafios para a interoperabilidade de dados na área da saúde. 2023. Disponível em: https://medium.com/o-centro-de-ensino-e-pesquisa-em-inovacao-esta/os-desafios-para-a-interoperabilidade-de-dados-na-area-da-saude-85dbb4f65d97. Acesso em: 01 nov. 2025.</w:t>
      </w:r>
    </w:p>
    <w:p>
      <w:pPr>
        <w:spacing w:after="120" w:line="276"/>
        <w:jc w:val="both"/>
      </w:pPr>
      <w:r>
        <w:rPr>
          <w:sz w:val="22"/>
          <w:szCs w:val="22"/>
        </w:rPr>
        <w:t xml:space="preserve">GOMES, G. S. S.; et al. Processamento de Linguagem Natural aplicado a registros eletrônicos: monitoramento e detecção de eventos em saúde. Ciência &amp; Saúde Coletiva, v. 25, n. 7, p. 2869-2878, 2020.</w:t>
      </w:r>
    </w:p>
    <w:p>
      <w:pPr>
        <w:spacing w:after="120" w:line="276"/>
        <w:jc w:val="both"/>
      </w:pPr>
      <w:r>
        <w:rPr>
          <w:sz w:val="22"/>
          <w:szCs w:val="22"/>
        </w:rPr>
        <w:t xml:space="preserve">SCHNEIDER, E. T. R.; et al. BioBERTpt - A Portuguese Neural Language Model for Clinical Named Entity Recognition. Proceedings of the 3rd Clinical Natural Language Processing Workshop, ACL, p. 65-72, 2020.</w:t>
      </w:r>
    </w:p>
    <w:p>
      <w:pPr>
        <w:spacing w:after="120" w:line="276"/>
        <w:jc w:val="both"/>
      </w:pPr>
      <w:r>
        <w:rPr>
          <w:sz w:val="22"/>
          <w:szCs w:val="22"/>
        </w:rPr>
        <w:t xml:space="preserve">SILVA, P. S.; et al. Análise de dados clínicos textuais de Prontuários Eletrônicos do Paciente para integração com terminologias médicas padronizadas. Research, Society and Development, v. 8, n. 12, e80221319, 2019.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000000"/>
      <w:sz w:val="28"/>
      <w:szCs w:val="28"/>
    </w:rPr>
  </w:style>
  <w:style w:type="paragraph" w:styleId="Heading2">
    <w:name w:val="Heading 2"/>
    <w:basedOn w:val="Normal"/>
    <w:next w:val="Normal"/>
    <w:qFormat/>
    <w:pPr>
      <w:spacing w:after="140" w:before="220"/>
      <w:outlineLvl w:val="1"/>
    </w:pPr>
    <w:rPr>
      <w:rFonts w:ascii="Arial" w:cs="Arial" w:eastAsia="Arial" w:hAnsi="Arial"/>
      <w:b/>
      <w:bCs/>
      <w:color w:val="000000"/>
      <w:sz w:val="24"/>
      <w:szCs w:val="24"/>
    </w:rPr>
  </w:style>
  <w:style w:type="paragraph" w:styleId="Heading3">
    <w:name w:val="Heading 3"/>
    <w:basedOn w:val="Normal"/>
    <w:next w:val="Normal"/>
    <w:qFormat/>
    <w:pPr>
      <w:spacing w:after="12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2026-05-23T16:51:07.204Z</dcterms:created>
  <dcterms:modified xsi:type="dcterms:W3CDTF">2026-05-23T16:51:07.220Z</dcterms:modified>
</cp:coreProperties>
</file>

<file path=docProps/custom.xml><?xml version="1.0" encoding="utf-8"?>
<Properties xmlns="http://schemas.openxmlformats.org/officeDocument/2006/custom-properties" xmlns:vt="http://schemas.openxmlformats.org/officeDocument/2006/docPropsVTypes"/>
</file>