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anwyg6ap7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Relatório – Análise de Sequência no BLAST e STRING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Aluno(a):</w:t>
      </w:r>
      <w:r w:rsidDel="00000000" w:rsidR="00000000" w:rsidRPr="00000000">
        <w:rPr>
          <w:rtl w:val="0"/>
        </w:rPr>
        <w:t xml:space="preserve"> Rafael da SIlva Barros</w:t>
        <w:br w:type="textWrapping"/>
      </w: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Bioinformática</w:t>
        <w:br w:type="textWrapping"/>
      </w:r>
      <w:r w:rsidDel="00000000" w:rsidR="00000000" w:rsidRPr="00000000">
        <w:rPr>
          <w:b w:val="1"/>
          <w:rtl w:val="0"/>
        </w:rPr>
        <w:t xml:space="preserve">Organismo estudado: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Escherichia coli</w:t>
      </w:r>
      <w:r w:rsidDel="00000000" w:rsidR="00000000" w:rsidRPr="00000000">
        <w:rPr>
          <w:rtl w:val="0"/>
        </w:rPr>
        <w:t xml:space="preserve"> O157:H7 cepa Sakai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Durante a realização da análise das sequências proteicas derivadas dos cinco quadros de leitura (frames) do genoma de </w:t>
      </w:r>
      <w:r w:rsidDel="00000000" w:rsidR="00000000" w:rsidRPr="00000000">
        <w:rPr>
          <w:i w:val="1"/>
          <w:rtl w:val="0"/>
        </w:rPr>
        <w:t xml:space="preserve">Escherichia coli</w:t>
      </w:r>
      <w:r w:rsidDel="00000000" w:rsidR="00000000" w:rsidRPr="00000000">
        <w:rPr>
          <w:rtl w:val="0"/>
        </w:rPr>
        <w:t xml:space="preserve"> O157:H7 cepa Sakai, foi utilizado o algoritmo BLASTp para comparar as sequências traduzidas com aquelas depositadas no banco de dados GenBank. A avaliação dos alinhamentos gerados baseou-se nos seguintes parâmetros: </w:t>
      </w:r>
      <w:r w:rsidDel="00000000" w:rsidR="00000000" w:rsidRPr="00000000">
        <w:rPr>
          <w:i w:val="1"/>
          <w:rtl w:val="0"/>
        </w:rPr>
        <w:t xml:space="preserve">Max 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Total 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Query Cover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E-value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Percent Identity</w:t>
      </w:r>
      <w:r w:rsidDel="00000000" w:rsidR="00000000" w:rsidRPr="00000000">
        <w:rPr>
          <w:rtl w:val="0"/>
        </w:rPr>
        <w:t xml:space="preserve">. Estes indicadores são essenciais para determinar a significância e a confiabilidade biológica dos alinhamentos obtidos.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Max Score</w:t>
      </w:r>
      <w:r w:rsidDel="00000000" w:rsidR="00000000" w:rsidRPr="00000000">
        <w:rPr>
          <w:rtl w:val="0"/>
        </w:rPr>
        <w:t xml:space="preserve"> (pontuação máxima) representa a maior pontuação de alinhamento obtida para um segmento da sequência consultada. Essa pontuação reflete a qualidade do alinhamento local entre a sequência da consulta e a sequência de referência.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Total Score</w:t>
      </w:r>
      <w:r w:rsidDel="00000000" w:rsidR="00000000" w:rsidRPr="00000000">
        <w:rPr>
          <w:rtl w:val="0"/>
        </w:rPr>
        <w:t xml:space="preserve"> corresponde à soma das pontuações de todos os segmentos alinhados entre a sequência consultada e a sequência do banco de dados. Quando o </w:t>
      </w:r>
      <w:r w:rsidDel="00000000" w:rsidR="00000000" w:rsidRPr="00000000">
        <w:rPr>
          <w:i w:val="1"/>
          <w:rtl w:val="0"/>
        </w:rPr>
        <w:t xml:space="preserve">Total Score</w:t>
      </w:r>
      <w:r w:rsidDel="00000000" w:rsidR="00000000" w:rsidRPr="00000000">
        <w:rPr>
          <w:rtl w:val="0"/>
        </w:rPr>
        <w:t xml:space="preserve"> é igual ao </w:t>
      </w:r>
      <w:r w:rsidDel="00000000" w:rsidR="00000000" w:rsidRPr="00000000">
        <w:rPr>
          <w:i w:val="1"/>
          <w:rtl w:val="0"/>
        </w:rPr>
        <w:t xml:space="preserve">Max Score</w:t>
      </w:r>
      <w:r w:rsidDel="00000000" w:rsidR="00000000" w:rsidRPr="00000000">
        <w:rPr>
          <w:rtl w:val="0"/>
        </w:rPr>
        <w:t xml:space="preserve">, como observado nos resultados desta análise, significa que o alinhamento foi realizado em um único segmento contínuo, sugerindo uma correspondência altamente confiável.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Query Cover</w:t>
      </w:r>
      <w:r w:rsidDel="00000000" w:rsidR="00000000" w:rsidRPr="00000000">
        <w:rPr>
          <w:rtl w:val="0"/>
        </w:rPr>
        <w:t xml:space="preserve"> (cobertura da consulta) representa a porcentagem da sequência analisada que foi coberta pelo alinhamento. Um valor de 100% implica que a totalidade da sequência da proteína foi alinhada com a sequência de referência, o que confere robustez à predição funcional da sequência.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E-value</w:t>
      </w:r>
      <w:r w:rsidDel="00000000" w:rsidR="00000000" w:rsidRPr="00000000">
        <w:rPr>
          <w:rtl w:val="0"/>
        </w:rPr>
        <w:t xml:space="preserve"> (valor esperado) estima a probabilidade de o alinhamento ocorrer por acaso. Valores próximos de zero, como os obtidos nesta análise (0,0), indicam alta significância estatística e baixa probabilidade de ocorrência aleatória. Portanto, alinhamentos com E-value igual a zero são considerados biologicamente relevantes.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Por fim, a </w:t>
      </w:r>
      <w:r w:rsidDel="00000000" w:rsidR="00000000" w:rsidRPr="00000000">
        <w:rPr>
          <w:b w:val="1"/>
          <w:rtl w:val="0"/>
        </w:rPr>
        <w:t xml:space="preserve">Percent Identity</w:t>
      </w:r>
      <w:r w:rsidDel="00000000" w:rsidR="00000000" w:rsidRPr="00000000">
        <w:rPr>
          <w:rtl w:val="0"/>
        </w:rPr>
        <w:t xml:space="preserve"> (identidade percentual) refere-se à proporção de resíduos de aminoácidos idênticos entre as sequências comparadas. Os valores obtidos nesta análise foram superiores a 99%, o que evidencia que as sequências possuem alta similaridade e, possivelmente, a mesma função biológica.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homoserine kinase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28938" cy="266412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664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jk9mr7e79k2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Rede de Interação Proteica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A imagem a cima representa a rede de interação da proteína </w:t>
      </w:r>
      <w:r w:rsidDel="00000000" w:rsidR="00000000" w:rsidRPr="00000000">
        <w:rPr>
          <w:b w:val="1"/>
          <w:rtl w:val="0"/>
        </w:rPr>
        <w:t xml:space="preserve">ECs0003</w:t>
      </w:r>
      <w:r w:rsidDel="00000000" w:rsidR="00000000" w:rsidRPr="00000000">
        <w:rPr>
          <w:rtl w:val="0"/>
        </w:rPr>
        <w:t xml:space="preserve">, obtida a partir do banco de dados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rede demonstra um alto grau de conectividade entre ECs0003 e diversas outras proteínas funcionalmente associadas. As conexões coloridas indicam evidências distintas de interação, como coexpressão, associação em bases de dados, experimentação direta e correlação genômica. Esse padrão evidencia que a proteína ECs0003 participa de uma rede metabólica multifuncional, desempenhando papel relevante na homeostase celular e na integração de processos bioquímicos.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zbt8swww38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Função da Proteína ECs0003 e Seu Papel na Rede Metabólica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proteína </w:t>
      </w:r>
      <w:r w:rsidDel="00000000" w:rsidR="00000000" w:rsidRPr="00000000">
        <w:rPr>
          <w:b w:val="1"/>
          <w:rtl w:val="0"/>
        </w:rPr>
        <w:t xml:space="preserve">ECs0003</w:t>
      </w:r>
      <w:r w:rsidDel="00000000" w:rsidR="00000000" w:rsidRPr="00000000">
        <w:rPr>
          <w:rtl w:val="0"/>
        </w:rPr>
        <w:t xml:space="preserve"> está anotada como </w:t>
      </w:r>
      <w:r w:rsidDel="00000000" w:rsidR="00000000" w:rsidRPr="00000000">
        <w:rPr>
          <w:b w:val="1"/>
          <w:rtl w:val="0"/>
        </w:rPr>
        <w:t xml:space="preserve">glyceraldehyde-3-phosphate dehydrogenase (GAPDH)</w:t>
      </w:r>
      <w:r w:rsidDel="00000000" w:rsidR="00000000" w:rsidRPr="00000000">
        <w:rPr>
          <w:rtl w:val="0"/>
        </w:rPr>
        <w:t xml:space="preserve">, uma enzima chave da via glicolítica. Essa enzima catalisa a sexta etapa da glicólise, convertendo o gliceraldeído-3-fosfato (G3P) em 1,3-bisfosfoglicerato (1,3-BPG), com a redução de NAD⁺ a NADH.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contexto da rede metabólica, a ECs0003 exerce função central por: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Atuar na </w:t>
      </w:r>
      <w:r w:rsidDel="00000000" w:rsidR="00000000" w:rsidRPr="00000000">
        <w:rPr>
          <w:b w:val="1"/>
          <w:rtl w:val="0"/>
        </w:rPr>
        <w:t xml:space="preserve">glicólise</w:t>
      </w:r>
      <w:r w:rsidDel="00000000" w:rsidR="00000000" w:rsidRPr="00000000">
        <w:rPr>
          <w:rtl w:val="0"/>
        </w:rPr>
        <w:t xml:space="preserve">, principal via catabólica para obtenção de energia em forma de ATP;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Produzir </w:t>
      </w:r>
      <w:r w:rsidDel="00000000" w:rsidR="00000000" w:rsidRPr="00000000">
        <w:rPr>
          <w:b w:val="1"/>
          <w:rtl w:val="0"/>
        </w:rPr>
        <w:t xml:space="preserve">NADH</w:t>
      </w:r>
      <w:r w:rsidDel="00000000" w:rsidR="00000000" w:rsidRPr="00000000">
        <w:rPr>
          <w:rtl w:val="0"/>
        </w:rPr>
        <w:t xml:space="preserve">, essencial para o metabolismo oxidativo e fermentativo;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Servir como ponte metabólica entre a glicólise e outras vias biossintéticas.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Na rede apresentada, ECs0003 interage com enzimas das vias glicolítica, da via das pentoses fosfato e do metabolismo de aminoácidos, indicando sua participação em rotas anapleróticas e de resposta ao estresse oxidativo.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cq2y3xitg9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Função da Rede Metabólica na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E. coli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Sakai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glicólise é uma via metabólica conservada e vital em organismos procarióticos e eucarióticos. Na </w:t>
      </w:r>
      <w:r w:rsidDel="00000000" w:rsidR="00000000" w:rsidRPr="00000000">
        <w:rPr>
          <w:i w:val="1"/>
          <w:rtl w:val="0"/>
        </w:rPr>
        <w:t xml:space="preserve">E. coli</w:t>
      </w:r>
      <w:r w:rsidDel="00000000" w:rsidR="00000000" w:rsidRPr="00000000">
        <w:rPr>
          <w:rtl w:val="0"/>
        </w:rPr>
        <w:t xml:space="preserve"> O157:H7 Sakai, a importância dessa via é intensificada pelo seu papel em: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Fornecimento rápido de ATP</w:t>
      </w:r>
      <w:r w:rsidDel="00000000" w:rsidR="00000000" w:rsidRPr="00000000">
        <w:rPr>
          <w:rtl w:val="0"/>
        </w:rPr>
        <w:t xml:space="preserve">, necessário para proliferação e colonização no hospedeiro;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Produção de precursores metabólicos</w:t>
      </w:r>
      <w:r w:rsidDel="00000000" w:rsidR="00000000" w:rsidRPr="00000000">
        <w:rPr>
          <w:rtl w:val="0"/>
        </w:rPr>
        <w:t xml:space="preserve">, usados na síntese de aminoácidos, ácidos nucleicos e lipídios;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Adaptação metabólica</w:t>
      </w:r>
      <w:r w:rsidDel="00000000" w:rsidR="00000000" w:rsidRPr="00000000">
        <w:rPr>
          <w:rtl w:val="0"/>
        </w:rPr>
        <w:t xml:space="preserve">, especialmente sob condições anaeróbias ou com fontes alternativas de carbono.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expressão e funcionalidade adequadas da proteína ECs0003 são, portanto, críticas para a sobrevivência, crescimento e virulência da </w:t>
      </w:r>
      <w:r w:rsidDel="00000000" w:rsidR="00000000" w:rsidRPr="00000000">
        <w:rPr>
          <w:i w:val="1"/>
          <w:rtl w:val="0"/>
        </w:rPr>
        <w:t xml:space="preserve">E. coli</w:t>
      </w:r>
      <w:r w:rsidDel="00000000" w:rsidR="00000000" w:rsidRPr="00000000">
        <w:rPr>
          <w:rtl w:val="0"/>
        </w:rPr>
        <w:t xml:space="preserve"> Sakai em ambientes como o trato gastrointestinal humano.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wr251mx64m8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Referências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STRING Database. Protein-protein interaction network of </w:t>
      </w:r>
      <w:r w:rsidDel="00000000" w:rsidR="00000000" w:rsidRPr="00000000">
        <w:rPr>
          <w:i w:val="1"/>
          <w:rtl w:val="0"/>
        </w:rPr>
        <w:t xml:space="preserve">Escherichia coli</w:t>
      </w:r>
      <w:r w:rsidDel="00000000" w:rsidR="00000000" w:rsidRPr="00000000">
        <w:rPr>
          <w:rtl w:val="0"/>
        </w:rPr>
        <w:t xml:space="preserve"> O157:H7 Sakai. Disponível em: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https://string-db.org</w:t>
        </w:r>
      </w:hyperlink>
      <w:r w:rsidDel="00000000" w:rsidR="00000000" w:rsidRPr="00000000">
        <w:rPr>
          <w:rtl w:val="0"/>
        </w:rPr>
        <w:t xml:space="preserve">. Acesso em: maio de 2025.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EcoCyc Database. </w:t>
      </w:r>
      <w:r w:rsidDel="00000000" w:rsidR="00000000" w:rsidRPr="00000000">
        <w:rPr>
          <w:i w:val="1"/>
          <w:rtl w:val="0"/>
        </w:rPr>
        <w:t xml:space="preserve">Escherichia coli</w:t>
      </w:r>
      <w:r w:rsidDel="00000000" w:rsidR="00000000" w:rsidRPr="00000000">
        <w:rPr>
          <w:rtl w:val="0"/>
        </w:rPr>
        <w:t xml:space="preserve"> K-12 substr. MG1655: Glyceraldehyde-3-phosphate dehydrogenase. Disponível em: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https://ecocyc.org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Stryer, L. (2019). </w:t>
      </w:r>
      <w:r w:rsidDel="00000000" w:rsidR="00000000" w:rsidRPr="00000000">
        <w:rPr>
          <w:i w:val="1"/>
          <w:rtl w:val="0"/>
        </w:rPr>
        <w:t xml:space="preserve">Bioquímica</w:t>
      </w:r>
      <w:r w:rsidDel="00000000" w:rsidR="00000000" w:rsidRPr="00000000">
        <w:rPr>
          <w:rtl w:val="0"/>
        </w:rPr>
        <w:t xml:space="preserve">. 8. ed. Rio de Janeiro: Guanabara Koogan.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Nelson, D. L.; Cox, M. M. (2021). </w:t>
      </w:r>
      <w:r w:rsidDel="00000000" w:rsidR="00000000" w:rsidRPr="00000000">
        <w:rPr>
          <w:i w:val="1"/>
          <w:rtl w:val="0"/>
        </w:rPr>
        <w:t xml:space="preserve">Lehninger Princípios de Bioquímica</w:t>
      </w:r>
      <w:r w:rsidDel="00000000" w:rsidR="00000000" w:rsidRPr="00000000">
        <w:rPr>
          <w:rtl w:val="0"/>
        </w:rPr>
        <w:t xml:space="preserve">. 8. ed. Porto Alegre: Artmed.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carbamoyl-phosphate synthase large subunit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786063" cy="24461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446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fe9zhv0fy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Rede de Interação Proteica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figura a seguir ilustra a rede de interação da proteína </w:t>
      </w:r>
      <w:r w:rsidDel="00000000" w:rsidR="00000000" w:rsidRPr="00000000">
        <w:rPr>
          <w:b w:val="1"/>
          <w:rtl w:val="0"/>
        </w:rPr>
        <w:t xml:space="preserve">carB</w:t>
      </w:r>
      <w:r w:rsidDel="00000000" w:rsidR="00000000" w:rsidRPr="00000000">
        <w:rPr>
          <w:rtl w:val="0"/>
        </w:rPr>
        <w:t xml:space="preserve">, gerada com base na ferramenta STRING: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Fonte: STRING Database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rede destaca a </w:t>
      </w:r>
      <w:r w:rsidDel="00000000" w:rsidR="00000000" w:rsidRPr="00000000">
        <w:rPr>
          <w:b w:val="1"/>
          <w:rtl w:val="0"/>
        </w:rPr>
        <w:t xml:space="preserve">carB</w:t>
      </w:r>
      <w:r w:rsidDel="00000000" w:rsidR="00000000" w:rsidRPr="00000000">
        <w:rPr>
          <w:rtl w:val="0"/>
        </w:rPr>
        <w:t xml:space="preserve"> como um nó central, com diversas conexões fortes (linhas verdes, azuis e rosas) com outras proteínas, incluindo </w:t>
      </w:r>
      <w:r w:rsidDel="00000000" w:rsidR="00000000" w:rsidRPr="00000000">
        <w:rPr>
          <w:b w:val="1"/>
          <w:rtl w:val="0"/>
        </w:rPr>
        <w:t xml:space="preserve">carA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argI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gltB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pyrF</w:t>
      </w:r>
      <w:r w:rsidDel="00000000" w:rsidR="00000000" w:rsidRPr="00000000">
        <w:rPr>
          <w:rtl w:val="0"/>
        </w:rPr>
        <w:t xml:space="preserve">, entre outras. A densidade e diversidade dessas conexões indicam que a carB participa de uma complexa rede metabólica integrada, relacionada a múltiplas vias biossintéticas.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zpa1gjdvfh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Função da Proteína carB e Sua Atuação na Rede Metabólica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proteína </w:t>
      </w:r>
      <w:r w:rsidDel="00000000" w:rsidR="00000000" w:rsidRPr="00000000">
        <w:rPr>
          <w:b w:val="1"/>
          <w:rtl w:val="0"/>
        </w:rPr>
        <w:t xml:space="preserve">carB</w:t>
      </w:r>
      <w:r w:rsidDel="00000000" w:rsidR="00000000" w:rsidRPr="00000000">
        <w:rPr>
          <w:rtl w:val="0"/>
        </w:rPr>
        <w:t xml:space="preserve"> codifica a subunidade grande da enzima </w:t>
      </w:r>
      <w:r w:rsidDel="00000000" w:rsidR="00000000" w:rsidRPr="00000000">
        <w:rPr>
          <w:b w:val="1"/>
          <w:rtl w:val="0"/>
        </w:rPr>
        <w:t xml:space="preserve">carbamoil-fosfato sintetase</w:t>
      </w:r>
      <w:r w:rsidDel="00000000" w:rsidR="00000000" w:rsidRPr="00000000">
        <w:rPr>
          <w:rtl w:val="0"/>
        </w:rPr>
        <w:t xml:space="preserve">, que atua na síntese de </w:t>
      </w:r>
      <w:r w:rsidDel="00000000" w:rsidR="00000000" w:rsidRPr="00000000">
        <w:rPr>
          <w:b w:val="1"/>
          <w:rtl w:val="0"/>
        </w:rPr>
        <w:t xml:space="preserve">carbamoil-fosfato</w:t>
      </w:r>
      <w:r w:rsidDel="00000000" w:rsidR="00000000" w:rsidRPr="00000000">
        <w:rPr>
          <w:rtl w:val="0"/>
        </w:rPr>
        <w:t xml:space="preserve">, um intermediário essencial para a biossíntese das bases pirimídicas (como uracila e citosina) e da arginina.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Sua função específica é: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Catalisar, junto à subunidade </w:t>
      </w:r>
      <w:r w:rsidDel="00000000" w:rsidR="00000000" w:rsidRPr="00000000">
        <w:rPr>
          <w:b w:val="1"/>
          <w:rtl w:val="0"/>
        </w:rPr>
        <w:t xml:space="preserve">carA</w:t>
      </w:r>
      <w:r w:rsidDel="00000000" w:rsidR="00000000" w:rsidRPr="00000000">
        <w:rPr>
          <w:rtl w:val="0"/>
        </w:rPr>
        <w:t xml:space="preserve">, a conversão de glutamina, dióxido de carbono (CO₂) e ATP em carbamoil-fosfato;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Servir como ponto de ramificação na síntese de </w:t>
      </w:r>
      <w:r w:rsidDel="00000000" w:rsidR="00000000" w:rsidRPr="00000000">
        <w:rPr>
          <w:b w:val="1"/>
          <w:rtl w:val="0"/>
        </w:rPr>
        <w:t xml:space="preserve">nucleotídeos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aminoácidos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rede apresentada, as conexões com </w:t>
      </w:r>
      <w:r w:rsidDel="00000000" w:rsidR="00000000" w:rsidRPr="00000000">
        <w:rPr>
          <w:b w:val="1"/>
          <w:rtl w:val="0"/>
        </w:rPr>
        <w:t xml:space="preserve">pyrB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pyrF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pyrI</w:t>
      </w:r>
      <w:r w:rsidDel="00000000" w:rsidR="00000000" w:rsidRPr="00000000">
        <w:rPr>
          <w:rtl w:val="0"/>
        </w:rPr>
        <w:t xml:space="preserve"> indicam sua participação na </w:t>
      </w:r>
      <w:r w:rsidDel="00000000" w:rsidR="00000000" w:rsidRPr="00000000">
        <w:rPr>
          <w:b w:val="1"/>
          <w:rtl w:val="0"/>
        </w:rPr>
        <w:t xml:space="preserve">via das pirimidinas</w:t>
      </w:r>
      <w:r w:rsidDel="00000000" w:rsidR="00000000" w:rsidRPr="00000000">
        <w:rPr>
          <w:rtl w:val="0"/>
        </w:rPr>
        <w:t xml:space="preserve">, enquanto as ligações com </w:t>
      </w:r>
      <w:r w:rsidDel="00000000" w:rsidR="00000000" w:rsidRPr="00000000">
        <w:rPr>
          <w:b w:val="1"/>
          <w:rtl w:val="0"/>
        </w:rPr>
        <w:t xml:space="preserve">argG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argI</w:t>
      </w:r>
      <w:r w:rsidDel="00000000" w:rsidR="00000000" w:rsidRPr="00000000">
        <w:rPr>
          <w:rtl w:val="0"/>
        </w:rPr>
        <w:t xml:space="preserve"> revelam seu envolvimento na </w:t>
      </w:r>
      <w:r w:rsidDel="00000000" w:rsidR="00000000" w:rsidRPr="00000000">
        <w:rPr>
          <w:b w:val="1"/>
          <w:rtl w:val="0"/>
        </w:rPr>
        <w:t xml:space="preserve">síntese de arginina</w:t>
      </w:r>
      <w:r w:rsidDel="00000000" w:rsidR="00000000" w:rsidRPr="00000000">
        <w:rPr>
          <w:rtl w:val="0"/>
        </w:rPr>
        <w:t xml:space="preserve">. As interações com </w:t>
      </w:r>
      <w:r w:rsidDel="00000000" w:rsidR="00000000" w:rsidRPr="00000000">
        <w:rPr>
          <w:b w:val="1"/>
          <w:rtl w:val="0"/>
        </w:rPr>
        <w:t xml:space="preserve">gltB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gltD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glmS</w:t>
      </w:r>
      <w:r w:rsidDel="00000000" w:rsidR="00000000" w:rsidRPr="00000000">
        <w:rPr>
          <w:rtl w:val="0"/>
        </w:rPr>
        <w:t xml:space="preserve"> apontam sua integração com a regulação do metabolismo do nitrogênio e glutamina.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5pbmipv7db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Papel da Rede Metabólica na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E. coli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Sakai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rede centrada em </w:t>
      </w:r>
      <w:r w:rsidDel="00000000" w:rsidR="00000000" w:rsidRPr="00000000">
        <w:rPr>
          <w:b w:val="1"/>
          <w:rtl w:val="0"/>
        </w:rPr>
        <w:t xml:space="preserve">carB</w:t>
      </w:r>
      <w:r w:rsidDel="00000000" w:rsidR="00000000" w:rsidRPr="00000000">
        <w:rPr>
          <w:rtl w:val="0"/>
        </w:rPr>
        <w:t xml:space="preserve"> regula dois eixos metabólicos críticos: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Biossíntese de pirimidinas</w:t>
      </w:r>
      <w:r w:rsidDel="00000000" w:rsidR="00000000" w:rsidRPr="00000000">
        <w:rPr>
          <w:rtl w:val="0"/>
        </w:rPr>
        <w:t xml:space="preserve">: fundamental para a produção de RNA e DNA. A regulação precisa dessa via garante o crescimento e divisão celular.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Biossíntese de arginina</w:t>
      </w:r>
      <w:r w:rsidDel="00000000" w:rsidR="00000000" w:rsidRPr="00000000">
        <w:rPr>
          <w:rtl w:val="0"/>
        </w:rPr>
        <w:t xml:space="preserve">: aminoácido essencial para a síntese proteica, ciclo da ureia (em organismos superiores) e regulação do pH intracelular.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i w:val="1"/>
          <w:rtl w:val="0"/>
        </w:rPr>
        <w:t xml:space="preserve">E. coli</w:t>
      </w:r>
      <w:r w:rsidDel="00000000" w:rsidR="00000000" w:rsidRPr="00000000">
        <w:rPr>
          <w:rtl w:val="0"/>
        </w:rPr>
        <w:t xml:space="preserve"> O157:H7 Sakai, um patógeno entérico, essas rotas são cruciais para a rápida proliferação no hospedeiro e para a produção de fatores de virulência dependentes de síntese proteica e regulação genética. A disfunção da carB pode comprometer essas rotas, impactando a viabilidade celular.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7dwzsiwyo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Referências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STRING Database. Protein-protein interaction network of </w:t>
      </w:r>
      <w:r w:rsidDel="00000000" w:rsidR="00000000" w:rsidRPr="00000000">
        <w:rPr>
          <w:i w:val="1"/>
          <w:rtl w:val="0"/>
        </w:rPr>
        <w:t xml:space="preserve">Escherichia coli</w:t>
      </w:r>
      <w:r w:rsidDel="00000000" w:rsidR="00000000" w:rsidRPr="00000000">
        <w:rPr>
          <w:rtl w:val="0"/>
        </w:rPr>
        <w:t xml:space="preserve"> O157:H7 Sakai. Disponível em: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https://string-db.org</w:t>
        </w:r>
      </w:hyperlink>
      <w:r w:rsidDel="00000000" w:rsidR="00000000" w:rsidRPr="00000000">
        <w:rPr>
          <w:rtl w:val="0"/>
        </w:rPr>
        <w:t xml:space="preserve">. Acesso em: maio de 2025.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EcoCyc Database. </w:t>
      </w:r>
      <w:r w:rsidDel="00000000" w:rsidR="00000000" w:rsidRPr="00000000">
        <w:rPr>
          <w:i w:val="1"/>
          <w:rtl w:val="0"/>
        </w:rPr>
        <w:t xml:space="preserve">Escherichia coli</w:t>
      </w:r>
      <w:r w:rsidDel="00000000" w:rsidR="00000000" w:rsidRPr="00000000">
        <w:rPr>
          <w:rtl w:val="0"/>
        </w:rPr>
        <w:t xml:space="preserve"> K-12 substr. MG1655: Carbamoyl-phosphate synthase large subunit (carB). Disponível em: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https://ecocyc.org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Berg, J. M.; Tymoczko, J. L.; Gatto, G. J.; Stryer, L. (2019). </w:t>
      </w:r>
      <w:r w:rsidDel="00000000" w:rsidR="00000000" w:rsidRPr="00000000">
        <w:rPr>
          <w:i w:val="1"/>
          <w:rtl w:val="0"/>
        </w:rPr>
        <w:t xml:space="preserve">Bioquímica</w:t>
      </w:r>
      <w:r w:rsidDel="00000000" w:rsidR="00000000" w:rsidRPr="00000000">
        <w:rPr>
          <w:rtl w:val="0"/>
        </w:rPr>
        <w:t xml:space="preserve">. 8. ed. Rio de Janeiro: Guanabara Koogan.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Nelson, D. L.; Cox, M. M. (2021). </w:t>
      </w:r>
      <w:r w:rsidDel="00000000" w:rsidR="00000000" w:rsidRPr="00000000">
        <w:rPr>
          <w:i w:val="1"/>
          <w:rtl w:val="0"/>
        </w:rPr>
        <w:t xml:space="preserve">Lehninger Princípios de Bioquímica</w:t>
      </w:r>
      <w:r w:rsidDel="00000000" w:rsidR="00000000" w:rsidRPr="00000000">
        <w:rPr>
          <w:rtl w:val="0"/>
        </w:rPr>
        <w:t xml:space="preserve">. 8. ed. Porto Alegre: Artmed.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plasmid mobilization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1419225" cy="1162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Contextualização e Visualização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figura a cima representa a proteína </w:t>
      </w:r>
      <w:r w:rsidDel="00000000" w:rsidR="00000000" w:rsidRPr="00000000">
        <w:rPr>
          <w:b w:val="1"/>
          <w:rtl w:val="0"/>
        </w:rPr>
        <w:t xml:space="preserve">ECs0089</w:t>
      </w:r>
      <w:r w:rsidDel="00000000" w:rsidR="00000000" w:rsidRPr="00000000">
        <w:rPr>
          <w:rtl w:val="0"/>
        </w:rPr>
        <w:t xml:space="preserve">, isolada na rede de interação gerada pela ferramenta STRING: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Fonte: STRING Database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ausência de conexões visíveis com outras proteínas indica que </w:t>
      </w:r>
      <w:r w:rsidDel="00000000" w:rsidR="00000000" w:rsidRPr="00000000">
        <w:rPr>
          <w:b w:val="1"/>
          <w:rtl w:val="0"/>
        </w:rPr>
        <w:t xml:space="preserve">ECs0089</w:t>
      </w:r>
      <w:r w:rsidDel="00000000" w:rsidR="00000000" w:rsidRPr="00000000">
        <w:rPr>
          <w:rtl w:val="0"/>
        </w:rPr>
        <w:t xml:space="preserve"> é uma proteína </w:t>
      </w:r>
      <w:r w:rsidDel="00000000" w:rsidR="00000000" w:rsidRPr="00000000">
        <w:rPr>
          <w:b w:val="1"/>
          <w:rtl w:val="0"/>
        </w:rPr>
        <w:t xml:space="preserve">hipotética ou pouco caracterizada</w:t>
      </w:r>
      <w:r w:rsidDel="00000000" w:rsidR="00000000" w:rsidRPr="00000000">
        <w:rPr>
          <w:rtl w:val="0"/>
        </w:rPr>
        <w:t xml:space="preserve">, sem interações funcionais ou físicas conhecidas registradas até o momento.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3of5f6xnu2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Interpretação Biológica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anotação "ECs0089" sugere que essa proteína está presente no genoma da cepa O157:H7 da </w:t>
      </w:r>
      <w:r w:rsidDel="00000000" w:rsidR="00000000" w:rsidRPr="00000000">
        <w:rPr>
          <w:i w:val="1"/>
          <w:rtl w:val="0"/>
        </w:rPr>
        <w:t xml:space="preserve">E. coli</w:t>
      </w:r>
      <w:r w:rsidDel="00000000" w:rsidR="00000000" w:rsidRPr="00000000">
        <w:rPr>
          <w:rtl w:val="0"/>
        </w:rPr>
        <w:t xml:space="preserve">, mas sua função ainda </w:t>
      </w:r>
      <w:r w:rsidDel="00000000" w:rsidR="00000000" w:rsidRPr="00000000">
        <w:rPr>
          <w:b w:val="1"/>
          <w:rtl w:val="0"/>
        </w:rPr>
        <w:t xml:space="preserve">não foi experimentalmente confirmada</w:t>
      </w:r>
      <w:r w:rsidDel="00000000" w:rsidR="00000000" w:rsidRPr="00000000">
        <w:rPr>
          <w:rtl w:val="0"/>
        </w:rPr>
        <w:t xml:space="preserve">. As proteínas hipotéticas são comuns em genomas bacterianos, representando alvos promissores para futuras investigações funcionais, especialmente em cepas patogênicas como a Sakai.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ausência de interações na STRING pode significar: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Falta de dados experimentais ou computacionais disponíveis;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Função altamente específica e ainda não explorada;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Possível pseudogene ou produto de anotação incorreta.</w:t>
        <w:br w:type="textWrapping"/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l3evesc2gy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Importância da Investigação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Apesar da ausência de interações conhecidas, o estudo de proteínas hipotéticas como a ECs0089 é essencial para: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Revelar novas vias metabólicas ou regulatórias</w:t>
      </w:r>
      <w:r w:rsidDel="00000000" w:rsidR="00000000" w:rsidRPr="00000000">
        <w:rPr>
          <w:rtl w:val="0"/>
        </w:rPr>
        <w:t xml:space="preserve"> em bactérias;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</w:t>
      </w:r>
      <w:r w:rsidDel="00000000" w:rsidR="00000000" w:rsidRPr="00000000">
        <w:rPr>
          <w:b w:val="1"/>
          <w:rtl w:val="0"/>
        </w:rPr>
        <w:t xml:space="preserve">potenciais alvos terapêuticos</w:t>
      </w:r>
      <w:r w:rsidDel="00000000" w:rsidR="00000000" w:rsidRPr="00000000">
        <w:rPr>
          <w:rtl w:val="0"/>
        </w:rPr>
        <w:t xml:space="preserve"> ou de diagnóstico;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Compreender mecanismos de </w:t>
      </w:r>
      <w:r w:rsidDel="00000000" w:rsidR="00000000" w:rsidRPr="00000000">
        <w:rPr>
          <w:b w:val="1"/>
          <w:rtl w:val="0"/>
        </w:rPr>
        <w:t xml:space="preserve">virulência e resistência</w:t>
      </w:r>
      <w:r w:rsidDel="00000000" w:rsidR="00000000" w:rsidRPr="00000000">
        <w:rPr>
          <w:rtl w:val="0"/>
        </w:rPr>
        <w:t xml:space="preserve"> em cepas patogênicas.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caracterização funcional pode ser realizada por abordagens como mutagênese gênica, análise de expressão proteica e estudos de bioinformática estrutural comparativa.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c7vd7hnyw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Referências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STRING Database. Protein-protein interaction network of </w:t>
      </w:r>
      <w:r w:rsidDel="00000000" w:rsidR="00000000" w:rsidRPr="00000000">
        <w:rPr>
          <w:i w:val="1"/>
          <w:rtl w:val="0"/>
        </w:rPr>
        <w:t xml:space="preserve">Escherichia coli</w:t>
      </w:r>
      <w:r w:rsidDel="00000000" w:rsidR="00000000" w:rsidRPr="00000000">
        <w:rPr>
          <w:rtl w:val="0"/>
        </w:rPr>
        <w:t xml:space="preserve"> O157:H7 Sakai. Disponível em: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https://string-db.org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Galperin, M. Y.; Koonin, E. V. (2004). ‘Conserved hypothetical’ proteins: prioritization of targets for experimental study. </w:t>
      </w:r>
      <w:r w:rsidDel="00000000" w:rsidR="00000000" w:rsidRPr="00000000">
        <w:rPr>
          <w:i w:val="1"/>
          <w:rtl w:val="0"/>
        </w:rPr>
        <w:t xml:space="preserve">Nucleic Acids Research</w:t>
      </w:r>
      <w:r w:rsidDel="00000000" w:rsidR="00000000" w:rsidRPr="00000000">
        <w:rPr>
          <w:rtl w:val="0"/>
        </w:rPr>
        <w:t xml:space="preserve">, 32(18), 5452–5463.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EcoCyc Database. Hypothetical proteins in </w:t>
      </w:r>
      <w:r w:rsidDel="00000000" w:rsidR="00000000" w:rsidRPr="00000000">
        <w:rPr>
          <w:i w:val="1"/>
          <w:rtl w:val="0"/>
        </w:rPr>
        <w:t xml:space="preserve">Escherichia coli</w:t>
      </w:r>
      <w:r w:rsidDel="00000000" w:rsidR="00000000" w:rsidRPr="00000000">
        <w:rPr>
          <w:rtl w:val="0"/>
        </w:rPr>
        <w:t xml:space="preserve">. Disponível em: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https://ecocyc.org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Nelson, D. L.; Cox, M. M. (2021). </w:t>
      </w:r>
      <w:r w:rsidDel="00000000" w:rsidR="00000000" w:rsidRPr="00000000">
        <w:rPr>
          <w:i w:val="1"/>
          <w:rtl w:val="0"/>
        </w:rPr>
        <w:t xml:space="preserve">Lehninger Princípios de Bioquímica</w:t>
      </w:r>
      <w:r w:rsidDel="00000000" w:rsidR="00000000" w:rsidRPr="00000000">
        <w:rPr>
          <w:rtl w:val="0"/>
        </w:rPr>
        <w:t xml:space="preserve">. 8. ed. Porto Alegre: Artmed.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cocyc.org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ecocyc.org" TargetMode="External"/><Relationship Id="rId13" Type="http://schemas.openxmlformats.org/officeDocument/2006/relationships/hyperlink" Target="https://string-db.org" TargetMode="External"/><Relationship Id="rId12" Type="http://schemas.openxmlformats.org/officeDocument/2006/relationships/hyperlink" Target="https://string-db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cocyc.org" TargetMode="External"/><Relationship Id="rId15" Type="http://schemas.openxmlformats.org/officeDocument/2006/relationships/hyperlink" Target="https://ecocyc.org" TargetMode="External"/><Relationship Id="rId14" Type="http://schemas.openxmlformats.org/officeDocument/2006/relationships/hyperlink" Target="https://ecocyc.org" TargetMode="External"/><Relationship Id="rId17" Type="http://schemas.openxmlformats.org/officeDocument/2006/relationships/hyperlink" Target="https://string-db.org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ecocyc.org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string-db.org" TargetMode="External"/><Relationship Id="rId7" Type="http://schemas.openxmlformats.org/officeDocument/2006/relationships/hyperlink" Target="https://string-db.org" TargetMode="External"/><Relationship Id="rId8" Type="http://schemas.openxmlformats.org/officeDocument/2006/relationships/hyperlink" Target="https://string-d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