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8C5" w14:textId="0EB6A66D" w:rsidR="00657EA0" w:rsidRDefault="00657EA0" w:rsidP="00657EA0">
      <w:pPr>
        <w:pStyle w:val="Ttulo1-ABNT"/>
      </w:pPr>
      <w:r w:rsidRPr="00657EA0">
        <w:t>1 ATIVOS</w:t>
      </w:r>
      <w:r w:rsidR="00D83D2F">
        <w:t>, PREÇOS E RETORNOS</w:t>
      </w:r>
    </w:p>
    <w:p w14:paraId="30DB05A3" w14:textId="4691E7C6" w:rsidR="00657EA0" w:rsidRDefault="00657EA0" w:rsidP="00657EA0">
      <w:pPr>
        <w:pStyle w:val="Corpo-ABNT"/>
      </w:pPr>
    </w:p>
    <w:p w14:paraId="59BAE422" w14:textId="55D40BA0" w:rsidR="004C64A1" w:rsidRDefault="002D1553" w:rsidP="00657EA0">
      <w:pPr>
        <w:pStyle w:val="Corpo-ABNT"/>
      </w:pPr>
      <w:r>
        <w:t>Para realizar as análises do presente trabalho, referentes ao primeiro bloco da disciplina de Administração Financeira, selecionaram-se</w:t>
      </w:r>
      <w:r w:rsidR="00AC3C1B">
        <w:t xml:space="preserve"> dezenove ações e dezoito </w:t>
      </w:r>
      <w:proofErr w:type="spellStart"/>
      <w:r w:rsidR="005C7EF9">
        <w:t>BDRs</w:t>
      </w:r>
      <w:proofErr w:type="spellEnd"/>
      <w:r w:rsidR="005C7EF9">
        <w:t xml:space="preserve"> (</w:t>
      </w:r>
      <w:proofErr w:type="spellStart"/>
      <w:r w:rsidR="005C7EF9" w:rsidRPr="005C7EF9">
        <w:rPr>
          <w:i/>
          <w:iCs/>
        </w:rPr>
        <w:t>Brazillian</w:t>
      </w:r>
      <w:proofErr w:type="spellEnd"/>
      <w:r w:rsidR="005C7EF9" w:rsidRPr="005C7EF9">
        <w:rPr>
          <w:i/>
          <w:iCs/>
        </w:rPr>
        <w:t xml:space="preserve"> </w:t>
      </w:r>
      <w:proofErr w:type="spellStart"/>
      <w:r w:rsidR="005C7EF9" w:rsidRPr="005C7EF9">
        <w:rPr>
          <w:i/>
          <w:iCs/>
        </w:rPr>
        <w:t>Depositary</w:t>
      </w:r>
      <w:proofErr w:type="spellEnd"/>
      <w:r w:rsidR="005C7EF9" w:rsidRPr="005C7EF9">
        <w:rPr>
          <w:i/>
          <w:iCs/>
        </w:rPr>
        <w:t xml:space="preserve"> </w:t>
      </w:r>
      <w:proofErr w:type="spellStart"/>
      <w:r w:rsidR="005C7EF9" w:rsidRPr="005C7EF9">
        <w:rPr>
          <w:i/>
          <w:iCs/>
        </w:rPr>
        <w:t>Receipts</w:t>
      </w:r>
      <w:proofErr w:type="spellEnd"/>
      <w:r w:rsidR="005C7EF9">
        <w:t>)</w:t>
      </w:r>
      <w:r w:rsidR="009A0911">
        <w:t>.</w:t>
      </w:r>
      <w:r>
        <w:t xml:space="preserve"> Ademais, arquivos</w:t>
      </w:r>
      <w:r w:rsidR="002D7EBD">
        <w:t xml:space="preserve"> no </w:t>
      </w:r>
      <w:r w:rsidR="005C7EF9">
        <w:t>format</w:t>
      </w:r>
      <w:r w:rsidR="00DB69B6">
        <w:t>o</w:t>
      </w:r>
      <w:r w:rsidR="005C7EF9">
        <w:t xml:space="preserve"> CSV (</w:t>
      </w:r>
      <w:proofErr w:type="spellStart"/>
      <w:r w:rsidR="005C7EF9" w:rsidRPr="005C7EF9">
        <w:rPr>
          <w:i/>
          <w:iCs/>
        </w:rPr>
        <w:t>Comma</w:t>
      </w:r>
      <w:proofErr w:type="spellEnd"/>
      <w:r w:rsidR="005C7EF9" w:rsidRPr="005C7EF9">
        <w:rPr>
          <w:i/>
          <w:iCs/>
        </w:rPr>
        <w:t xml:space="preserve"> </w:t>
      </w:r>
      <w:proofErr w:type="spellStart"/>
      <w:r w:rsidR="005C7EF9" w:rsidRPr="005C7EF9">
        <w:rPr>
          <w:i/>
          <w:iCs/>
        </w:rPr>
        <w:t>Separated</w:t>
      </w:r>
      <w:proofErr w:type="spellEnd"/>
      <w:r w:rsidR="005C7EF9" w:rsidRPr="005C7EF9">
        <w:rPr>
          <w:i/>
          <w:iCs/>
        </w:rPr>
        <w:t xml:space="preserve"> </w:t>
      </w:r>
      <w:proofErr w:type="spellStart"/>
      <w:r w:rsidR="005C7EF9" w:rsidRPr="005C7EF9">
        <w:rPr>
          <w:i/>
          <w:iCs/>
        </w:rPr>
        <w:t>Values</w:t>
      </w:r>
      <w:proofErr w:type="spellEnd"/>
      <w:r w:rsidR="005C7EF9">
        <w:t>)</w:t>
      </w:r>
      <w:r w:rsidR="00382A4E">
        <w:t xml:space="preserve"> </w:t>
      </w:r>
      <w:r w:rsidR="00AA358F">
        <w:t xml:space="preserve">foram retirados do </w:t>
      </w:r>
      <w:r w:rsidR="00356862" w:rsidRPr="00356862">
        <w:rPr>
          <w:i/>
          <w:iCs/>
        </w:rPr>
        <w:t>site</w:t>
      </w:r>
      <w:r w:rsidR="00AA358F">
        <w:t xml:space="preserve"> </w:t>
      </w:r>
      <w:proofErr w:type="spellStart"/>
      <w:r w:rsidR="00356862">
        <w:t>Investing</w:t>
      </w:r>
      <w:proofErr w:type="spellEnd"/>
      <w:r w:rsidR="00662DFE">
        <w:t xml:space="preserve"> (2022)</w:t>
      </w:r>
      <w:r w:rsidR="00AA358F">
        <w:t xml:space="preserve">, </w:t>
      </w:r>
      <w:r w:rsidR="00906B0B">
        <w:t>contendo</w:t>
      </w:r>
      <w:r w:rsidR="00382A4E">
        <w:t xml:space="preserve"> as</w:t>
      </w:r>
      <w:r w:rsidR="00AC3C1B">
        <w:t xml:space="preserve"> cotações mensais de cada ativo</w:t>
      </w:r>
      <w:r w:rsidR="00382A4E">
        <w:t>,</w:t>
      </w:r>
      <w:r w:rsidR="00AC3C1B">
        <w:t xml:space="preserve"> de </w:t>
      </w:r>
      <w:r w:rsidR="00382A4E">
        <w:t xml:space="preserve">janeiro de </w:t>
      </w:r>
      <w:r w:rsidR="00AC3C1B">
        <w:t xml:space="preserve">1997 até </w:t>
      </w:r>
      <w:r w:rsidR="00382A4E">
        <w:t xml:space="preserve">janeiro </w:t>
      </w:r>
      <w:r w:rsidR="00AC3C1B">
        <w:t>202</w:t>
      </w:r>
      <w:r w:rsidR="00E25864">
        <w:t>1</w:t>
      </w:r>
      <w:r w:rsidR="00093654">
        <w:t>.</w:t>
      </w:r>
      <w:r w:rsidR="00E1762F">
        <w:t xml:space="preserve"> </w:t>
      </w:r>
      <w:r w:rsidR="00AB5FB1">
        <w:t>A</w:t>
      </w:r>
      <w:r w:rsidR="004C64A1">
        <w:t xml:space="preserve">baixo, na Tabela 1, apresenta-se uma lista </w:t>
      </w:r>
      <w:r w:rsidR="00DE3916">
        <w:t>d</w:t>
      </w:r>
      <w:r w:rsidR="00AB5FB1">
        <w:t xml:space="preserve">os códigos </w:t>
      </w:r>
      <w:r w:rsidR="00520394">
        <w:t>e das categorias dos ativos analisados</w:t>
      </w:r>
      <w:r w:rsidR="00DE3916">
        <w:t>.</w:t>
      </w:r>
    </w:p>
    <w:p w14:paraId="2EFE0A8D" w14:textId="62E798DD" w:rsidR="00E1762F" w:rsidRDefault="00E1762F" w:rsidP="00657EA0">
      <w:pPr>
        <w:pStyle w:val="Corpo-ABNT"/>
      </w:pPr>
    </w:p>
    <w:p w14:paraId="636C1169" w14:textId="1C3B570C" w:rsidR="00AB5FB1" w:rsidRDefault="00AB5FB1" w:rsidP="00D350BC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1</w:t>
        </w:r>
      </w:fldSimple>
      <w:r>
        <w:t xml:space="preserve"> – Código dos Ativos</w:t>
      </w:r>
    </w:p>
    <w:tbl>
      <w:tblPr>
        <w:tblW w:w="693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202"/>
        <w:gridCol w:w="1202"/>
        <w:gridCol w:w="1161"/>
        <w:gridCol w:w="1174"/>
        <w:gridCol w:w="1174"/>
      </w:tblGrid>
      <w:tr w:rsidR="0019729F" w:rsidRPr="00AB3E60" w14:paraId="0E0E6092" w14:textId="77777777" w:rsidTr="00190EA5">
        <w:trPr>
          <w:trHeight w:val="340"/>
          <w:jc w:val="center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5F016E" w14:textId="49CF1A18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C6A490" w14:textId="0041F9CD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 1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40CB8" w14:textId="33F85FE5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 2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88B19B" w14:textId="53A57370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 3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125B14" w14:textId="66C71D3C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 4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3CEAF3" w14:textId="6DD42B4F" w:rsidR="0019729F" w:rsidRPr="00AB3E60" w:rsidRDefault="0019729F" w:rsidP="00D350BC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 5</w:t>
            </w:r>
          </w:p>
        </w:tc>
      </w:tr>
      <w:tr w:rsidR="00AB5FB1" w:rsidRPr="00AB3E60" w14:paraId="47D9829B" w14:textId="77777777" w:rsidTr="00190EA5">
        <w:trPr>
          <w:trHeight w:val="340"/>
          <w:jc w:val="center"/>
        </w:trPr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DCAD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BD2D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PETR3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498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WEGE3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B1C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LREN3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158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ITUB3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A7FD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B3SA3</w:t>
            </w:r>
          </w:p>
        </w:tc>
      </w:tr>
      <w:tr w:rsidR="00AB5FB1" w:rsidRPr="00AB3E60" w14:paraId="386F3284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744B2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E73DEA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PSSA3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E316B3C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FLRY3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58EBA9F9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EGIE3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63E492BE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ABEV3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52DE6255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BBAS3</w:t>
            </w:r>
          </w:p>
        </w:tc>
      </w:tr>
      <w:tr w:rsidR="00AB5FB1" w:rsidRPr="00AB3E60" w14:paraId="28902AA8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F1D16A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03FB92B9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GGBR3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538740F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PRIO3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1C94DC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TOTS3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62B9751A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ODPV3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FCE4DEB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HAPV3</w:t>
            </w:r>
          </w:p>
        </w:tc>
      </w:tr>
      <w:tr w:rsidR="00AB5FB1" w:rsidRPr="00AB3E60" w14:paraId="576B298A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C1334B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37D989EE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BBDC3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2F8D4674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VIVA3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59D4A58F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ARZZ3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4DE03B7C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TAEE3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2E56EA6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B5FB1" w:rsidRPr="00AB3E60" w14:paraId="6368C06C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256ED8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BDRs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81A3AE5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NVDC34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315248A5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MSFT34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CB9B988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TSLA34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3C0F7D35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AMZO34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39433C3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GOGL34</w:t>
            </w:r>
          </w:p>
        </w:tc>
      </w:tr>
      <w:tr w:rsidR="00AB5FB1" w:rsidRPr="00AB3E60" w14:paraId="70CBB9AE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AAD7E9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BDRs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929D5F7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JPMC34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05025A2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DISB34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649091E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ADBE34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AEFAF44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NIKE34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5823CF12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NFLX34</w:t>
            </w:r>
          </w:p>
        </w:tc>
      </w:tr>
      <w:tr w:rsidR="00AB5FB1" w:rsidRPr="00AB3E60" w14:paraId="7C5AFF04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9F47BD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BDRs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38FFD7E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MCDC34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05FCB0D4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HOME34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A1877A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BKNG34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27B22153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SAPP34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7B52BB7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TSMC34</w:t>
            </w:r>
          </w:p>
        </w:tc>
      </w:tr>
      <w:tr w:rsidR="00AB5FB1" w:rsidRPr="00AB3E60" w14:paraId="35B9BF0C" w14:textId="77777777" w:rsidTr="00190EA5">
        <w:trPr>
          <w:trHeight w:val="340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F64040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BDRs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070BC493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AAPL34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980EF66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SIMN34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126D1E82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BABA34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F381DC4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26DADF6A" w14:textId="77777777" w:rsidR="00AB5FB1" w:rsidRPr="00AB3E60" w:rsidRDefault="00AB5FB1" w:rsidP="00D350B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14:paraId="7776CFCE" w14:textId="2270772B" w:rsidR="004C64A1" w:rsidRPr="00AB5FB1" w:rsidRDefault="00AB5FB1" w:rsidP="00AB5FB1">
      <w:pPr>
        <w:pStyle w:val="Corpo-ABNT"/>
        <w:ind w:firstLine="0"/>
        <w:rPr>
          <w:sz w:val="20"/>
          <w:szCs w:val="18"/>
        </w:rPr>
      </w:pPr>
      <w:r>
        <w:rPr>
          <w:sz w:val="20"/>
          <w:szCs w:val="18"/>
        </w:rPr>
        <w:t>Fonte: elaboração própria.</w:t>
      </w:r>
    </w:p>
    <w:p w14:paraId="4EC86115" w14:textId="77777777" w:rsidR="004C64A1" w:rsidRDefault="004C64A1" w:rsidP="00657EA0">
      <w:pPr>
        <w:pStyle w:val="Corpo-ABNT"/>
      </w:pPr>
    </w:p>
    <w:p w14:paraId="66757A95" w14:textId="0E3D1E2A" w:rsidR="00B536BE" w:rsidRDefault="002D1553" w:rsidP="00657EA0">
      <w:pPr>
        <w:pStyle w:val="Corpo-ABNT"/>
      </w:pPr>
      <w:r>
        <w:t>T</w:t>
      </w:r>
      <w:r w:rsidR="00093654">
        <w:t xml:space="preserve">ambém </w:t>
      </w:r>
      <w:r>
        <w:t>foram incluídos</w:t>
      </w:r>
      <w:r w:rsidR="002A741B">
        <w:t xml:space="preserve"> </w:t>
      </w:r>
      <w:r w:rsidR="00093654">
        <w:t xml:space="preserve">no trabalho os valores diários da Taxa Selic, </w:t>
      </w:r>
      <w:r>
        <w:t>extraídos</w:t>
      </w:r>
      <w:r w:rsidR="00093654">
        <w:t xml:space="preserve"> do </w:t>
      </w:r>
      <w:r w:rsidR="00093654" w:rsidRPr="007512BA">
        <w:rPr>
          <w:i/>
          <w:iCs/>
        </w:rPr>
        <w:t>site</w:t>
      </w:r>
      <w:r w:rsidR="00093654">
        <w:t xml:space="preserve"> do Banco Central do Brasil</w:t>
      </w:r>
      <w:r w:rsidR="00662DFE">
        <w:t xml:space="preserve"> - BCB (2022)</w:t>
      </w:r>
      <w:r w:rsidR="00093654">
        <w:t xml:space="preserve">, de janeiro de 1998 até </w:t>
      </w:r>
      <w:r w:rsidR="00277029">
        <w:t>dezembro de 2021</w:t>
      </w:r>
      <w:r w:rsidR="00093654">
        <w:t>.</w:t>
      </w:r>
    </w:p>
    <w:p w14:paraId="4FC3879C" w14:textId="34895E7B" w:rsidR="00F85C7F" w:rsidRDefault="00520394" w:rsidP="00D83D2F">
      <w:pPr>
        <w:pStyle w:val="Corpo-ABNT"/>
      </w:pPr>
      <w:r>
        <w:t>Ao longo deste trabalho, as ações</w:t>
      </w:r>
      <w:r w:rsidR="009D6BCF">
        <w:t xml:space="preserve"> selecionadas</w:t>
      </w:r>
      <w:r>
        <w:t xml:space="preserve"> serão chamadas de A1, os </w:t>
      </w:r>
      <w:proofErr w:type="spellStart"/>
      <w:r>
        <w:t>BDRs</w:t>
      </w:r>
      <w:proofErr w:type="spellEnd"/>
      <w:r w:rsidR="009D6BCF">
        <w:t xml:space="preserve"> selecionados</w:t>
      </w:r>
      <w:r>
        <w:t xml:space="preserve"> serão chamados de A2 e a Taxa Selic diária será chamada de A3. </w:t>
      </w:r>
      <w:r w:rsidR="00CC52E4">
        <w:t>A fim de</w:t>
      </w:r>
      <w:r w:rsidR="00842C58">
        <w:t xml:space="preserve"> </w:t>
      </w:r>
      <w:r w:rsidR="00CC52E4">
        <w:t xml:space="preserve">calcular os </w:t>
      </w:r>
      <w:r w:rsidR="00842C58">
        <w:t>retornos</w:t>
      </w:r>
      <w:r w:rsidR="003A631D">
        <w:t xml:space="preserve"> anuais por código de negociação</w:t>
      </w:r>
      <w:r w:rsidR="00E25864">
        <w:t xml:space="preserve"> </w:t>
      </w:r>
      <w:r>
        <w:t>de A1 e A2</w:t>
      </w:r>
      <w:r w:rsidR="00842C58">
        <w:t>, foi feita uma relação entre os preços de fechamento do primeiro mês de cada ano</w:t>
      </w:r>
      <w:r w:rsidR="00832BDE">
        <w:t xml:space="preserve"> por código</w:t>
      </w:r>
      <w:r w:rsidR="00842C58">
        <w:t xml:space="preserve">, dividindo o preço de 1998 pelo preço de 1997, </w:t>
      </w:r>
      <w:r w:rsidR="00FC3CD3">
        <w:t>o</w:t>
      </w:r>
      <w:r w:rsidR="00B54848">
        <w:t xml:space="preserve"> preço</w:t>
      </w:r>
      <w:r w:rsidR="00FC3CD3">
        <w:t xml:space="preserve"> de 1999 pelo preço de 1998</w:t>
      </w:r>
      <w:r w:rsidR="00842C58">
        <w:t>, e assim sucessivamente</w:t>
      </w:r>
      <w:r w:rsidR="00E25864">
        <w:t xml:space="preserve">. </w:t>
      </w:r>
      <w:r w:rsidR="00CC52E4">
        <w:t>O</w:t>
      </w:r>
      <w:r w:rsidR="00E25864">
        <w:t>s retornos anuais</w:t>
      </w:r>
      <w:r w:rsidR="00CC52E4">
        <w:t xml:space="preserve"> </w:t>
      </w:r>
      <w:r>
        <w:t>de A3</w:t>
      </w:r>
      <w:r w:rsidR="00E25864">
        <w:t xml:space="preserve"> foram </w:t>
      </w:r>
      <w:r w:rsidR="00CC52E4">
        <w:t>obtidos</w:t>
      </w:r>
      <w:r w:rsidR="00E25864">
        <w:t xml:space="preserve"> </w:t>
      </w:r>
      <w:r w:rsidR="00811044">
        <w:t>pelo acúmulo do</w:t>
      </w:r>
      <w:r w:rsidR="00E25864">
        <w:t>s percentuais diários</w:t>
      </w:r>
      <w:r w:rsidR="00F85C7F">
        <w:t xml:space="preserve"> da </w:t>
      </w:r>
      <w:r w:rsidR="003A6DB7">
        <w:t>T</w:t>
      </w:r>
      <w:r w:rsidR="00F85C7F">
        <w:t>axa</w:t>
      </w:r>
      <w:r w:rsidR="003A6DB7">
        <w:t xml:space="preserve"> Selic</w:t>
      </w:r>
      <w:r w:rsidR="00F85C7F">
        <w:t xml:space="preserve"> para cada ano.</w:t>
      </w:r>
    </w:p>
    <w:p w14:paraId="373DDE4A" w14:textId="0F75CC37" w:rsidR="00657EA0" w:rsidRDefault="00F85C7F" w:rsidP="00D83D2F">
      <w:pPr>
        <w:pStyle w:val="Corpo-ABNT"/>
      </w:pPr>
      <w:r>
        <w:t xml:space="preserve">Há uma diferença no período analisado </w:t>
      </w:r>
      <w:r w:rsidR="003A6DB7">
        <w:t>de A1 e de A2</w:t>
      </w:r>
      <w:r>
        <w:t xml:space="preserve">, que </w:t>
      </w:r>
      <w:r w:rsidR="007512BA">
        <w:t>é composto pelos</w:t>
      </w:r>
      <w:r w:rsidR="00D22BBE">
        <w:t xml:space="preserve"> preços d</w:t>
      </w:r>
      <w:r>
        <w:t>o último</w:t>
      </w:r>
      <w:r w:rsidR="005463FF">
        <w:t xml:space="preserve"> dia</w:t>
      </w:r>
      <w:r>
        <w:t xml:space="preserve"> </w:t>
      </w:r>
      <w:r w:rsidR="00D22BBE">
        <w:t>disponível do mês</w:t>
      </w:r>
      <w:r>
        <w:t xml:space="preserve"> de janeiro de cada ano, e </w:t>
      </w:r>
      <w:r w:rsidR="00CC52E4">
        <w:t>d</w:t>
      </w:r>
      <w:r w:rsidR="003A6DB7">
        <w:t>e</w:t>
      </w:r>
      <w:r>
        <w:t xml:space="preserve"> </w:t>
      </w:r>
      <w:r w:rsidR="003A6DB7">
        <w:t>A3</w:t>
      </w:r>
      <w:r>
        <w:t xml:space="preserve">, </w:t>
      </w:r>
      <w:r w:rsidR="003001D5">
        <w:t xml:space="preserve">que </w:t>
      </w:r>
      <w:r w:rsidR="007512BA">
        <w:t>é composto pelos</w:t>
      </w:r>
      <w:r>
        <w:t xml:space="preserve"> percentuais</w:t>
      </w:r>
      <w:r w:rsidR="003A6DB7">
        <w:t xml:space="preserve"> diários</w:t>
      </w:r>
      <w:r>
        <w:t xml:space="preserve"> </w:t>
      </w:r>
      <w:r w:rsidR="003A6DB7">
        <w:t xml:space="preserve">acumulados </w:t>
      </w:r>
      <w:r>
        <w:t>de janeiro até dezembro</w:t>
      </w:r>
      <w:r w:rsidR="0083790A">
        <w:t xml:space="preserve"> de cada ano</w:t>
      </w:r>
      <w:r w:rsidR="00D22BBE">
        <w:t>.</w:t>
      </w:r>
    </w:p>
    <w:p w14:paraId="335588D3" w14:textId="28786D37" w:rsidR="00521E26" w:rsidRDefault="003A6DB7" w:rsidP="00D82CE6">
      <w:pPr>
        <w:pStyle w:val="Corpo-ABNT"/>
        <w:ind w:firstLine="708"/>
      </w:pPr>
      <w:r>
        <w:lastRenderedPageBreak/>
        <w:t>As análises realizadas no presente trabalho não consideraram tributos ou encargos financeiros</w:t>
      </w:r>
      <w:r w:rsidR="000411D7">
        <w:t>.</w:t>
      </w:r>
      <w:r w:rsidR="008A67C0">
        <w:t xml:space="preserve"> Os retornos anuais d</w:t>
      </w:r>
      <w:r w:rsidR="000411D7">
        <w:t>e</w:t>
      </w:r>
      <w:r w:rsidR="008A67C0">
        <w:t xml:space="preserve"> </w:t>
      </w:r>
      <w:r w:rsidR="000411D7">
        <w:t>A1</w:t>
      </w:r>
      <w:r w:rsidR="008A67C0">
        <w:t xml:space="preserve"> e</w:t>
      </w:r>
      <w:r w:rsidR="007512BA">
        <w:t xml:space="preserve"> d</w:t>
      </w:r>
      <w:r w:rsidR="000411D7">
        <w:t>e</w:t>
      </w:r>
      <w:r w:rsidR="008A67C0">
        <w:t xml:space="preserve"> </w:t>
      </w:r>
      <w:r w:rsidR="000411D7">
        <w:t>A3</w:t>
      </w:r>
      <w:r w:rsidR="008A67C0">
        <w:t xml:space="preserve"> </w:t>
      </w:r>
      <w:r w:rsidR="00CC52E4">
        <w:t>foram</w:t>
      </w:r>
      <w:r w:rsidR="008A67C0">
        <w:t xml:space="preserve"> calculado</w:t>
      </w:r>
      <w:r w:rsidR="00CC52E4">
        <w:t>s</w:t>
      </w:r>
      <w:r w:rsidR="008A67C0">
        <w:t xml:space="preserve"> pelas suas médias aritméticas, desconsiderando os valores nulos, já que esses valores significam que </w:t>
      </w:r>
      <w:r w:rsidR="005538EC">
        <w:t>não há dados disponíveis sobre</w:t>
      </w:r>
      <w:r w:rsidR="008A67C0">
        <w:t xml:space="preserve"> negociação do respectivo ativo no respectivo ano</w:t>
      </w:r>
      <w:r w:rsidR="005538EC">
        <w:t>, o que poderia causar distorções nos retornos dos ativos</w:t>
      </w:r>
      <w:r w:rsidR="008A67C0">
        <w:t>.</w:t>
      </w:r>
      <w:r w:rsidR="004C65D7">
        <w:t xml:space="preserve"> Os retornos anuais </w:t>
      </w:r>
      <w:r w:rsidR="000411D7">
        <w:t>de A3</w:t>
      </w:r>
      <w:r>
        <w:t>, conforme já citado,</w:t>
      </w:r>
      <w:r w:rsidR="00451645">
        <w:t xml:space="preserve"> </w:t>
      </w:r>
      <w:r w:rsidR="004C65D7">
        <w:t xml:space="preserve">foram considerados como equivalentes aos </w:t>
      </w:r>
      <w:r>
        <w:t>percentuais</w:t>
      </w:r>
      <w:r w:rsidR="004C65D7">
        <w:t xml:space="preserve"> acumulados por ano da Taxa Selic.</w:t>
      </w:r>
      <w:r w:rsidR="008A67C0">
        <w:t xml:space="preserve"> Por fim, o retorno esperado </w:t>
      </w:r>
      <w:r w:rsidR="00BA06C1">
        <w:t>de A1, A2 e A3</w:t>
      </w:r>
      <w:r w:rsidR="008A67C0">
        <w:t xml:space="preserve"> foi dado pela média geométrica </w:t>
      </w:r>
      <w:r w:rsidR="00482471">
        <w:t>dos seus retornos anuais.</w:t>
      </w:r>
    </w:p>
    <w:p w14:paraId="17A5B4F6" w14:textId="5303C0DE" w:rsidR="008D1D65" w:rsidRDefault="008D1D65" w:rsidP="00AB5FB1">
      <w:pPr>
        <w:pStyle w:val="Corpo-ABNT"/>
        <w:ind w:firstLine="708"/>
      </w:pPr>
      <w:r>
        <w:t xml:space="preserve">Na </w:t>
      </w:r>
      <w:r w:rsidR="000C743D">
        <w:t xml:space="preserve">Tabela </w:t>
      </w:r>
      <w:r w:rsidR="00EC374F">
        <w:t>2</w:t>
      </w:r>
      <w:r w:rsidR="000C743D">
        <w:t xml:space="preserve">, a seguir, </w:t>
      </w:r>
      <w:r w:rsidR="00B927FA">
        <w:t>podem ser observados</w:t>
      </w:r>
      <w:r w:rsidR="000C743D">
        <w:t>, além do retorno esperado, o</w:t>
      </w:r>
      <w:r w:rsidR="003539F4">
        <w:t xml:space="preserve">s resultados </w:t>
      </w:r>
      <w:r w:rsidR="003054F5">
        <w:t xml:space="preserve">para cada ativo </w:t>
      </w:r>
      <w:r w:rsidR="003539F4">
        <w:t>do desvio padrão</w:t>
      </w:r>
      <w:r w:rsidR="00CA71C6">
        <w:t xml:space="preserve"> populacional</w:t>
      </w:r>
      <w:r w:rsidR="003539F4">
        <w:t xml:space="preserve"> </w:t>
      </w:r>
      <w:r w:rsidR="000C743D">
        <w:t xml:space="preserve">e </w:t>
      </w:r>
      <w:r w:rsidR="003539F4">
        <w:t>d</w:t>
      </w:r>
      <w:r w:rsidR="000C743D">
        <w:t xml:space="preserve">o Índice de Sharpe (IS). Para </w:t>
      </w:r>
      <w:r w:rsidR="003539F4">
        <w:t>o cálculo do</w:t>
      </w:r>
      <w:r w:rsidR="000C743D">
        <w:t xml:space="preserve"> prêmio de risco, utilizado no </w:t>
      </w:r>
      <w:r w:rsidR="003539F4">
        <w:t>numerador</w:t>
      </w:r>
      <w:r w:rsidR="000C743D">
        <w:t xml:space="preserve"> do </w:t>
      </w:r>
      <w:r w:rsidR="003539F4">
        <w:t xml:space="preserve">IS, </w:t>
      </w:r>
      <w:r w:rsidR="005B24F5">
        <w:t>utilizou-se</w:t>
      </w:r>
      <w:r w:rsidR="003539F4">
        <w:t xml:space="preserve"> a taxa mais atual de Depósitos Interbancários (DI), que corresponde a 11,65%.</w:t>
      </w:r>
    </w:p>
    <w:p w14:paraId="55D2F6D3" w14:textId="77777777" w:rsidR="00AB5FB1" w:rsidRPr="00F206B4" w:rsidRDefault="00AB5FB1" w:rsidP="00AB5FB1">
      <w:pPr>
        <w:pStyle w:val="Corpo-ABNT"/>
        <w:ind w:firstLine="0"/>
      </w:pPr>
    </w:p>
    <w:p w14:paraId="61B88055" w14:textId="6C18393A" w:rsidR="008D1D65" w:rsidRDefault="008D1D65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2</w:t>
        </w:r>
      </w:fldSimple>
      <w:r>
        <w:t xml:space="preserve"> - Média Geométrica, Desvio Padrão e Índice de Sharpe</w:t>
      </w:r>
    </w:p>
    <w:tbl>
      <w:tblPr>
        <w:tblW w:w="714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1523"/>
        <w:gridCol w:w="1366"/>
        <w:gridCol w:w="2128"/>
      </w:tblGrid>
      <w:tr w:rsidR="008D1D65" w:rsidRPr="0090396B" w14:paraId="19637817" w14:textId="77777777" w:rsidTr="00190EA5">
        <w:trPr>
          <w:trHeight w:val="340"/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B614" w14:textId="0B88EE50" w:rsidR="008D1D65" w:rsidRPr="00AB3E60" w:rsidRDefault="007512BA" w:rsidP="00B53619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Indicadores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CE0C" w14:textId="1B477897" w:rsidR="008D1D65" w:rsidRPr="00AB3E60" w:rsidRDefault="004E00B1" w:rsidP="00B53619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A1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5F59" w14:textId="32043F89" w:rsidR="008D1D65" w:rsidRPr="00AB3E60" w:rsidRDefault="004E00B1" w:rsidP="00B53619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A2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D3FE" w14:textId="2F4668E8" w:rsidR="008D1D65" w:rsidRPr="00AB3E60" w:rsidRDefault="004E00B1" w:rsidP="00B53619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A3</w:t>
            </w:r>
          </w:p>
        </w:tc>
      </w:tr>
      <w:tr w:rsidR="008D1D65" w:rsidRPr="0090396B" w14:paraId="06654E1B" w14:textId="77777777" w:rsidTr="00190EA5">
        <w:trPr>
          <w:trHeight w:val="340"/>
          <w:jc w:val="center"/>
        </w:trPr>
        <w:tc>
          <w:tcPr>
            <w:tcW w:w="21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C268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Média Geométrica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BE2A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0" w:name="RANGE!B29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22,39%</w:t>
            </w:r>
            <w:bookmarkEnd w:id="0"/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1571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" w:name="RANGE!C29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16,89%</w:t>
            </w:r>
            <w:bookmarkEnd w:id="1"/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7521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2" w:name="RANGE!D29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13,24%</w:t>
            </w:r>
            <w:bookmarkEnd w:id="2"/>
          </w:p>
        </w:tc>
      </w:tr>
      <w:tr w:rsidR="008D1D65" w:rsidRPr="0090396B" w14:paraId="6501EA54" w14:textId="77777777" w:rsidTr="00190EA5">
        <w:trPr>
          <w:trHeight w:val="340"/>
          <w:jc w:val="center"/>
        </w:trPr>
        <w:tc>
          <w:tcPr>
            <w:tcW w:w="2128" w:type="dxa"/>
            <w:shd w:val="clear" w:color="auto" w:fill="auto"/>
            <w:noWrap/>
            <w:vAlign w:val="center"/>
            <w:hideMark/>
          </w:tcPr>
          <w:p w14:paraId="7772107C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14:paraId="6DEF6B77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3" w:name="RANGE!B30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44,87%</w:t>
            </w:r>
            <w:bookmarkEnd w:id="3"/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14FAAF57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4" w:name="RANGE!C30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31,06%</w:t>
            </w:r>
            <w:bookmarkEnd w:id="4"/>
          </w:p>
        </w:tc>
        <w:tc>
          <w:tcPr>
            <w:tcW w:w="2128" w:type="dxa"/>
            <w:shd w:val="clear" w:color="auto" w:fill="auto"/>
            <w:noWrap/>
            <w:vAlign w:val="center"/>
            <w:hideMark/>
          </w:tcPr>
          <w:p w14:paraId="702560DD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5" w:name="RANGE!D30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6,43%</w:t>
            </w:r>
            <w:bookmarkEnd w:id="5"/>
          </w:p>
        </w:tc>
      </w:tr>
      <w:tr w:rsidR="008D1D65" w:rsidRPr="0090396B" w14:paraId="06DBBBA3" w14:textId="77777777" w:rsidTr="00190EA5">
        <w:trPr>
          <w:trHeight w:val="340"/>
          <w:jc w:val="center"/>
        </w:trPr>
        <w:tc>
          <w:tcPr>
            <w:tcW w:w="2128" w:type="dxa"/>
            <w:shd w:val="clear" w:color="auto" w:fill="auto"/>
            <w:noWrap/>
            <w:vAlign w:val="center"/>
            <w:hideMark/>
          </w:tcPr>
          <w:p w14:paraId="15879606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Índice de Sharpe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14:paraId="0D93212D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6" w:name="RANGE!B31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23,94%</w:t>
            </w:r>
            <w:bookmarkEnd w:id="6"/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606C6947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7" w:name="RANGE!C31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16,87%</w:t>
            </w:r>
            <w:bookmarkEnd w:id="7"/>
          </w:p>
        </w:tc>
        <w:tc>
          <w:tcPr>
            <w:tcW w:w="2128" w:type="dxa"/>
            <w:shd w:val="clear" w:color="auto" w:fill="auto"/>
            <w:noWrap/>
            <w:vAlign w:val="center"/>
            <w:hideMark/>
          </w:tcPr>
          <w:p w14:paraId="3A0FAFE5" w14:textId="77777777" w:rsidR="008D1D65" w:rsidRPr="00AB3E60" w:rsidRDefault="008D1D65" w:rsidP="00B53619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8" w:name="RANGE!D31"/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24,79%</w:t>
            </w:r>
            <w:bookmarkEnd w:id="8"/>
          </w:p>
        </w:tc>
      </w:tr>
    </w:tbl>
    <w:p w14:paraId="4E6F23B9" w14:textId="4B701E56" w:rsidR="00DB69B6" w:rsidRDefault="00DB69B6" w:rsidP="00871AF7">
      <w:pPr>
        <w:pStyle w:val="Corpo-ABNT"/>
        <w:ind w:firstLine="0"/>
        <w:rPr>
          <w:sz w:val="20"/>
          <w:szCs w:val="20"/>
        </w:rPr>
      </w:pPr>
      <w:r w:rsidRPr="00871AF7">
        <w:rPr>
          <w:sz w:val="20"/>
          <w:szCs w:val="20"/>
        </w:rPr>
        <w:t>Fonte</w:t>
      </w:r>
      <w:r w:rsidR="00871AF7" w:rsidRPr="00871AF7">
        <w:rPr>
          <w:sz w:val="20"/>
          <w:szCs w:val="20"/>
        </w:rPr>
        <w:t>: elaboração própria</w:t>
      </w:r>
      <w:r w:rsidR="00871AF7">
        <w:rPr>
          <w:sz w:val="20"/>
          <w:szCs w:val="20"/>
        </w:rPr>
        <w:t>.</w:t>
      </w:r>
    </w:p>
    <w:p w14:paraId="49B77BFD" w14:textId="137A7567" w:rsidR="008D1D65" w:rsidRDefault="008D1D65" w:rsidP="002A741B">
      <w:pPr>
        <w:pStyle w:val="Corpo-ABNT"/>
        <w:ind w:firstLine="0"/>
        <w:rPr>
          <w:sz w:val="20"/>
          <w:szCs w:val="20"/>
        </w:rPr>
      </w:pPr>
    </w:p>
    <w:p w14:paraId="237908E4" w14:textId="08AF746F" w:rsidR="002A741B" w:rsidRDefault="005B24F5" w:rsidP="00454482">
      <w:pPr>
        <w:pStyle w:val="Corpo-ABNT"/>
      </w:pPr>
      <w:r>
        <w:t xml:space="preserve">Conforme </w:t>
      </w:r>
      <w:r w:rsidR="0033669F">
        <w:t>os dados da</w:t>
      </w:r>
      <w:r>
        <w:t xml:space="preserve"> tabela anterior, </w:t>
      </w:r>
      <w:r w:rsidR="004E00B1">
        <w:t>A1</w:t>
      </w:r>
      <w:r w:rsidR="00521E26">
        <w:t xml:space="preserve"> é</w:t>
      </w:r>
      <w:r w:rsidR="004E00B1">
        <w:t xml:space="preserve"> o ativo</w:t>
      </w:r>
      <w:r w:rsidR="00521E26">
        <w:t xml:space="preserve"> que apresenta maior risco e maior retorno, </w:t>
      </w:r>
      <w:r>
        <w:t>44,87%</w:t>
      </w:r>
      <w:r w:rsidR="00521E26">
        <w:t xml:space="preserve"> e 22,39%</w:t>
      </w:r>
      <w:r>
        <w:t>, respectivamente, seguid</w:t>
      </w:r>
      <w:r w:rsidR="004E00B1">
        <w:t>o</w:t>
      </w:r>
      <w:r>
        <w:t xml:space="preserve"> por </w:t>
      </w:r>
      <w:r w:rsidR="004E00B1">
        <w:t>A2</w:t>
      </w:r>
      <w:r w:rsidR="00521E26">
        <w:t xml:space="preserve"> e </w:t>
      </w:r>
      <w:r w:rsidR="004E00B1">
        <w:t>A3</w:t>
      </w:r>
      <w:r>
        <w:t>.</w:t>
      </w:r>
      <w:r w:rsidR="00521E26">
        <w:t xml:space="preserve"> Nota-se ainda que o IS </w:t>
      </w:r>
      <w:r w:rsidR="004E00B1">
        <w:t>de A3</w:t>
      </w:r>
      <w:r w:rsidR="00521E26">
        <w:t xml:space="preserve"> é maior que o IS </w:t>
      </w:r>
      <w:r w:rsidR="004E00B1">
        <w:t>de A1</w:t>
      </w:r>
      <w:r w:rsidR="00FC23E1">
        <w:t xml:space="preserve">, devido principalmente às diferenças de risco entre </w:t>
      </w:r>
      <w:r w:rsidR="003F6541">
        <w:t>ambos</w:t>
      </w:r>
      <w:r w:rsidR="00FC23E1">
        <w:t>.</w:t>
      </w:r>
      <w:r w:rsidR="00454482">
        <w:t xml:space="preserve"> Não obstante, o prêmio de risco </w:t>
      </w:r>
      <w:r w:rsidR="004E00B1">
        <w:t>de A1</w:t>
      </w:r>
      <w:r w:rsidR="00F14D24">
        <w:t xml:space="preserve"> em relação à taxa DI</w:t>
      </w:r>
      <w:r w:rsidR="00454482">
        <w:t xml:space="preserve"> </w:t>
      </w:r>
      <w:r w:rsidR="00F14D24">
        <w:t>se mantém como o mais elevado de todos.</w:t>
      </w:r>
    </w:p>
    <w:p w14:paraId="4075A900" w14:textId="05350F4E" w:rsidR="006B4282" w:rsidRDefault="0033669F" w:rsidP="00FA2CBB">
      <w:pPr>
        <w:pStyle w:val="Corpo-ABNT"/>
      </w:pPr>
      <w:r>
        <w:t>Na</w:t>
      </w:r>
      <w:r w:rsidR="004F3F33">
        <w:t xml:space="preserve"> Tabela </w:t>
      </w:r>
      <w:r w:rsidR="00EC374F">
        <w:t>3</w:t>
      </w:r>
      <w:r w:rsidR="004F3F33">
        <w:t xml:space="preserve">, </w:t>
      </w:r>
      <w:r w:rsidR="00E37CC8">
        <w:t>é apresentada a matriz de covariância</w:t>
      </w:r>
      <w:r w:rsidR="00CA71C6">
        <w:t xml:space="preserve"> populacional</w:t>
      </w:r>
      <w:r w:rsidR="00E37CC8">
        <w:t xml:space="preserve"> dos ativos</w:t>
      </w:r>
      <w:r w:rsidR="00FA2CBB">
        <w:t>, na qual a maior covariância</w:t>
      </w:r>
      <w:r w:rsidR="00EC374F">
        <w:t xml:space="preserve">, em </w:t>
      </w:r>
      <w:r w:rsidR="00886CE8">
        <w:t>módulo</w:t>
      </w:r>
      <w:r w:rsidR="00EC374F">
        <w:t xml:space="preserve">, </w:t>
      </w:r>
      <w:r w:rsidR="00FA2CBB">
        <w:t xml:space="preserve">foi entre </w:t>
      </w:r>
      <w:r w:rsidR="004E00B1">
        <w:t>A1</w:t>
      </w:r>
      <w:r w:rsidR="00FA2CBB">
        <w:t xml:space="preserve"> e </w:t>
      </w:r>
      <w:r w:rsidR="004E00B1">
        <w:t xml:space="preserve">A2 </w:t>
      </w:r>
      <w:r w:rsidR="00FA2CBB">
        <w:t xml:space="preserve">(3,97%), porém, </w:t>
      </w:r>
      <w:r w:rsidR="003F1FF1">
        <w:t xml:space="preserve">desconsiderando a diagonal principal da matriz, que mede a variância de cada ativo, </w:t>
      </w:r>
      <w:r w:rsidR="00FA2CBB">
        <w:t>nenhum dos valores</w:t>
      </w:r>
      <w:r w:rsidR="00CA71C6">
        <w:t xml:space="preserve"> foi significativo, </w:t>
      </w:r>
      <w:r w:rsidR="00FE37A6">
        <w:t>o que indica</w:t>
      </w:r>
      <w:r w:rsidR="00CA71C6">
        <w:t xml:space="preserve"> baixo grau de interdependência </w:t>
      </w:r>
      <w:r w:rsidR="004E00B1">
        <w:t>as</w:t>
      </w:r>
      <w:r w:rsidR="00CA71C6">
        <w:t xml:space="preserve"> variáveis</w:t>
      </w:r>
      <w:r w:rsidR="00E37CC8">
        <w:t>.</w:t>
      </w:r>
      <w:r w:rsidR="003F6541">
        <w:t xml:space="preserve"> Entretanto, destaca-se o fato de que todas as covariâncias têm sinal negativo. </w:t>
      </w:r>
    </w:p>
    <w:p w14:paraId="1ED1E3C0" w14:textId="38E3A786" w:rsidR="00FA2CBB" w:rsidRDefault="003F6541" w:rsidP="002F4E17">
      <w:pPr>
        <w:pStyle w:val="Corpo-ABNT"/>
      </w:pPr>
      <w:r>
        <w:t xml:space="preserve">Em relação às variâncias, </w:t>
      </w:r>
      <w:r w:rsidR="00E26C11">
        <w:t xml:space="preserve">não é surpresa </w:t>
      </w:r>
      <w:r>
        <w:t xml:space="preserve">que </w:t>
      </w:r>
      <w:r w:rsidR="004E00B1">
        <w:t xml:space="preserve">A1 tenha </w:t>
      </w:r>
      <w:r w:rsidR="00336377">
        <w:t>uma variância de 20,13%</w:t>
      </w:r>
      <w:r w:rsidR="00E26C11">
        <w:t>,</w:t>
      </w:r>
      <w:r w:rsidR="00336377">
        <w:t xml:space="preserve"> a </w:t>
      </w:r>
      <w:r w:rsidR="00BA06C1">
        <w:t>maior entre os três ativos</w:t>
      </w:r>
      <w:r w:rsidR="00336377">
        <w:t>,</w:t>
      </w:r>
      <w:r w:rsidR="00E26C11">
        <w:t xml:space="preserve"> pois</w:t>
      </w:r>
      <w:r w:rsidR="004E00B1">
        <w:t xml:space="preserve"> as ações que compõem essa categoria</w:t>
      </w:r>
      <w:r w:rsidR="00E26C11">
        <w:t xml:space="preserve"> são negociadas diariamente</w:t>
      </w:r>
      <w:r w:rsidR="00336377">
        <w:t xml:space="preserve"> e em grande volume</w:t>
      </w:r>
      <w:r w:rsidR="00E26C11">
        <w:t xml:space="preserve"> na bolsa de valores</w:t>
      </w:r>
      <w:r w:rsidR="00336377">
        <w:t xml:space="preserve">, além disso dependem das expectativas do mercado, do cenário político e econômico, doméstico </w:t>
      </w:r>
      <w:r w:rsidR="00336377">
        <w:lastRenderedPageBreak/>
        <w:t>e internacional</w:t>
      </w:r>
      <w:r w:rsidR="003054F5">
        <w:t xml:space="preserve"> e </w:t>
      </w:r>
      <w:r w:rsidR="00336377">
        <w:t xml:space="preserve">das características das empresas. </w:t>
      </w:r>
      <w:r w:rsidR="006A3B17">
        <w:t xml:space="preserve">Os ativos da categoria A2 </w:t>
      </w:r>
      <w:r w:rsidR="00336377">
        <w:t>também dependem desses e</w:t>
      </w:r>
      <w:r w:rsidR="006B4282">
        <w:t xml:space="preserve"> de</w:t>
      </w:r>
      <w:r w:rsidR="00336377">
        <w:t xml:space="preserve"> outros fatores que não serão</w:t>
      </w:r>
      <w:r w:rsidR="006B4282">
        <w:t xml:space="preserve"> aqui analisados, porém, o fato de terem uma variância</w:t>
      </w:r>
      <w:r w:rsidR="00C54B48">
        <w:t xml:space="preserve"> de 9,41%,</w:t>
      </w:r>
      <w:r w:rsidR="006B4282">
        <w:t xml:space="preserve"> que corresponde a menos da metade da variância </w:t>
      </w:r>
      <w:r w:rsidR="006A3B17">
        <w:t>de A1</w:t>
      </w:r>
      <w:r w:rsidR="00C54B48">
        <w:t xml:space="preserve">, </w:t>
      </w:r>
      <w:r w:rsidR="000F6F48">
        <w:t>está</w:t>
      </w:r>
      <w:r w:rsidR="00C54B48">
        <w:t xml:space="preserve"> associado ao histórico e ao volume de negociações desses ativos no Brasil, </w:t>
      </w:r>
      <w:r w:rsidR="000F6F48">
        <w:t>cujos dados de negociação só foram encontrados a partir de 2011, inclusive esses ativos passaram a ser amplamente negociados no país somente a partir de 2020</w:t>
      </w:r>
      <w:r w:rsidR="00B85D0C">
        <w:t xml:space="preserve">. </w:t>
      </w:r>
      <w:r w:rsidR="0033669F">
        <w:t>Naquele ano</w:t>
      </w:r>
      <w:r w:rsidR="000F6F48">
        <w:t xml:space="preserve">, investidores </w:t>
      </w:r>
      <w:r w:rsidR="00886CE8">
        <w:t xml:space="preserve">que </w:t>
      </w:r>
      <w:r w:rsidR="00FC1313">
        <w:t xml:space="preserve">anteriormente </w:t>
      </w:r>
      <w:r w:rsidR="000F6F48">
        <w:t>não</w:t>
      </w:r>
      <w:r w:rsidR="00886CE8">
        <w:t xml:space="preserve"> eram considerados </w:t>
      </w:r>
      <w:r w:rsidR="00B85D0C">
        <w:t xml:space="preserve">aptos </w:t>
      </w:r>
      <w:r w:rsidR="000F6F48">
        <w:t xml:space="preserve">(com menos de R$ 1 milhão investidos) passaram a poder </w:t>
      </w:r>
      <w:r w:rsidR="00B85D0C">
        <w:t>negociá-los na bolsa</w:t>
      </w:r>
      <w:r w:rsidR="006A3B17">
        <w:t xml:space="preserve">. </w:t>
      </w:r>
      <w:r w:rsidR="00B85D0C">
        <w:t>Ressalta-se, portanto, que a</w:t>
      </w:r>
      <w:r w:rsidR="005E5234">
        <w:t>s</w:t>
      </w:r>
      <w:r w:rsidR="00B85D0C">
        <w:t xml:space="preserve"> covariância</w:t>
      </w:r>
      <w:r w:rsidR="005E5234">
        <w:t>s</w:t>
      </w:r>
      <w:r w:rsidR="00B85D0C">
        <w:t xml:space="preserve"> entre os retornos </w:t>
      </w:r>
      <w:r w:rsidR="00BA06C1">
        <w:t>d</w:t>
      </w:r>
      <w:r w:rsidR="00B85D0C">
        <w:t>e</w:t>
      </w:r>
      <w:r w:rsidR="00BA06C1">
        <w:t xml:space="preserve"> A2</w:t>
      </w:r>
      <w:r w:rsidR="00B85D0C">
        <w:t xml:space="preserve"> </w:t>
      </w:r>
      <w:r w:rsidR="005E5234">
        <w:t xml:space="preserve">e </w:t>
      </w:r>
      <w:r w:rsidR="00B85D0C">
        <w:t xml:space="preserve">dos </w:t>
      </w:r>
      <w:r w:rsidR="00BA06C1">
        <w:t>demais</w:t>
      </w:r>
      <w:r w:rsidR="00B85D0C">
        <w:t xml:space="preserve"> ativos </w:t>
      </w:r>
      <w:r w:rsidR="005E5234">
        <w:t>foram calculadas</w:t>
      </w:r>
      <w:r w:rsidR="00B85D0C">
        <w:t xml:space="preserve"> somente no período de 2012 até 2021, bem como o desvio padrão d</w:t>
      </w:r>
      <w:r w:rsidR="00BA06C1">
        <w:t>e</w:t>
      </w:r>
      <w:r w:rsidR="00B85D0C">
        <w:t xml:space="preserve"> </w:t>
      </w:r>
      <w:r w:rsidR="00BA06C1">
        <w:t>A2</w:t>
      </w:r>
      <w:r w:rsidR="00B85D0C">
        <w:t>. Isso foi feito para aumentar a precisão dos cálculos, desconsiderando valores de retornos nulos.</w:t>
      </w:r>
      <w:r w:rsidR="00886CE8">
        <w:t xml:space="preserve"> Já </w:t>
      </w:r>
      <w:r w:rsidR="006A3B17">
        <w:t>a categoria A3</w:t>
      </w:r>
      <w:r w:rsidR="00B40812">
        <w:t xml:space="preserve"> </w:t>
      </w:r>
      <w:r w:rsidR="00886CE8">
        <w:t>apresenta</w:t>
      </w:r>
      <w:r w:rsidR="00B40812">
        <w:t xml:space="preserve"> a</w:t>
      </w:r>
      <w:r w:rsidR="00886CE8">
        <w:t xml:space="preserve"> menor variância</w:t>
      </w:r>
      <w:r w:rsidR="0087172B">
        <w:t xml:space="preserve"> (0,41%)</w:t>
      </w:r>
      <w:r w:rsidR="00886CE8">
        <w:t xml:space="preserve"> entre os ativos analisados, pois se t</w:t>
      </w:r>
      <w:r w:rsidR="00B40812">
        <w:t xml:space="preserve">rata de um indexador de títulos públicos, </w:t>
      </w:r>
      <w:r w:rsidR="0087172B">
        <w:t>possuindo</w:t>
      </w:r>
      <w:r w:rsidR="00B40812">
        <w:t xml:space="preserve"> essencialmente </w:t>
      </w:r>
      <w:r w:rsidR="0087172B">
        <w:t>menor</w:t>
      </w:r>
      <w:r w:rsidR="00B40812">
        <w:t xml:space="preserve"> variabilidade</w:t>
      </w:r>
      <w:r w:rsidR="0087172B">
        <w:t xml:space="preserve"> </w:t>
      </w:r>
      <w:r w:rsidR="00B40812">
        <w:t>do que os demais ativos no período selecionado.</w:t>
      </w:r>
    </w:p>
    <w:p w14:paraId="1DDFEBE2" w14:textId="32690FF9" w:rsidR="00CA71C6" w:rsidRDefault="00CA71C6" w:rsidP="00FA2CBB">
      <w:pPr>
        <w:pStyle w:val="Corpo-ABNT"/>
      </w:pPr>
    </w:p>
    <w:p w14:paraId="14506557" w14:textId="51218E45" w:rsidR="00CA71C6" w:rsidRDefault="00CA71C6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3</w:t>
        </w:r>
      </w:fldSimple>
      <w:r>
        <w:t xml:space="preserve"> - Matriz de Covariância Populacional</w:t>
      </w:r>
    </w:p>
    <w:tbl>
      <w:tblPr>
        <w:tblW w:w="638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60"/>
        <w:gridCol w:w="1220"/>
        <w:gridCol w:w="1900"/>
      </w:tblGrid>
      <w:tr w:rsidR="00E41248" w:rsidRPr="00E41248" w14:paraId="5D7D5FE1" w14:textId="77777777" w:rsidTr="00190EA5">
        <w:trPr>
          <w:trHeight w:val="340"/>
          <w:jc w:val="center"/>
        </w:trPr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CA98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41248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Ativos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15F0" w14:textId="3582360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A1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879C" w14:textId="32D26A79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A2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22F9" w14:textId="335CE029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A3</w:t>
            </w:r>
          </w:p>
        </w:tc>
      </w:tr>
      <w:tr w:rsidR="00E41248" w:rsidRPr="00E41248" w14:paraId="5D3C3AD5" w14:textId="77777777" w:rsidTr="004C118F">
        <w:trPr>
          <w:trHeight w:val="340"/>
          <w:jc w:val="center"/>
        </w:trPr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2823" w14:textId="6CA7B00D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A1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81AF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9" w:name="RANGE!B34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20,13%</w:t>
            </w:r>
            <w:bookmarkEnd w:id="9"/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EE8B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0" w:name="RANGE!C34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-3,97%</w:t>
            </w:r>
            <w:bookmarkEnd w:id="10"/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076A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1" w:name="RANGE!D34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-0,22%</w:t>
            </w:r>
            <w:bookmarkEnd w:id="11"/>
          </w:p>
        </w:tc>
      </w:tr>
      <w:tr w:rsidR="00E41248" w:rsidRPr="00E41248" w14:paraId="4F57B906" w14:textId="77777777" w:rsidTr="004C118F">
        <w:trPr>
          <w:trHeight w:val="34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6AA9E899" w14:textId="7B5FD0BE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4D3304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-3,97%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3AAD67B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2" w:name="RANGE!C35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9,41%</w:t>
            </w:r>
            <w:bookmarkEnd w:id="12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1BF2DEBD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3" w:name="RANGE!D35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-0,15%</w:t>
            </w:r>
            <w:bookmarkEnd w:id="13"/>
          </w:p>
        </w:tc>
      </w:tr>
      <w:tr w:rsidR="00E41248" w:rsidRPr="00E41248" w14:paraId="29B56335" w14:textId="77777777" w:rsidTr="004C118F">
        <w:trPr>
          <w:trHeight w:val="34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7361F624" w14:textId="2999726C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02CB08D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-0,22%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D7DD33D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-0,15%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7F1D7F9B" w14:textId="77777777" w:rsidR="00E41248" w:rsidRPr="00E41248" w:rsidRDefault="00E41248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4" w:name="RANGE!D36"/>
            <w:r w:rsidRPr="00E41248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0,41%</w:t>
            </w:r>
            <w:bookmarkEnd w:id="14"/>
          </w:p>
        </w:tc>
      </w:tr>
    </w:tbl>
    <w:p w14:paraId="2D059F20" w14:textId="647BCDB5" w:rsidR="00657EA0" w:rsidRPr="00AB3E60" w:rsidRDefault="00A512CE" w:rsidP="00AB3E60">
      <w:pPr>
        <w:pStyle w:val="Corpo-ABNT"/>
        <w:ind w:firstLine="0"/>
        <w:rPr>
          <w:sz w:val="20"/>
          <w:szCs w:val="18"/>
        </w:rPr>
      </w:pPr>
      <w:r>
        <w:rPr>
          <w:sz w:val="20"/>
          <w:szCs w:val="18"/>
        </w:rPr>
        <w:t>Fonte: elaboração própria.</w:t>
      </w:r>
      <w:r w:rsidR="00AB3E60">
        <w:rPr>
          <w:sz w:val="20"/>
          <w:szCs w:val="18"/>
        </w:rPr>
        <w:br w:type="page"/>
      </w:r>
    </w:p>
    <w:p w14:paraId="548241FF" w14:textId="50DFD30F" w:rsidR="00657EA0" w:rsidRDefault="00657EA0" w:rsidP="00657EA0">
      <w:pPr>
        <w:pStyle w:val="Ttulo1-ABNT"/>
      </w:pPr>
      <w:r>
        <w:lastRenderedPageBreak/>
        <w:t>4 CURVA DE UTILIDADE</w:t>
      </w:r>
    </w:p>
    <w:p w14:paraId="2CBED257" w14:textId="32F057A2" w:rsidR="00657EA0" w:rsidRDefault="00657EA0" w:rsidP="00657EA0">
      <w:pPr>
        <w:pStyle w:val="Corpo-ABNT"/>
      </w:pPr>
    </w:p>
    <w:p w14:paraId="56D1E6A9" w14:textId="7D2C3D99" w:rsidR="009C674A" w:rsidRDefault="007512BA" w:rsidP="004C4D74">
      <w:pPr>
        <w:pStyle w:val="Corpo-ABNT"/>
      </w:pPr>
      <w:r>
        <w:t>Para construir a curva de utilidade</w:t>
      </w:r>
      <w:r w:rsidR="009977C1">
        <w:t>,</w:t>
      </w:r>
      <w:r w:rsidR="002F4E17">
        <w:t xml:space="preserve"> considerou-se a Taxa DI como ativo livre de risco</w:t>
      </w:r>
      <w:r w:rsidR="009977C1">
        <w:t xml:space="preserve"> e as </w:t>
      </w:r>
      <w:r w:rsidR="00C708D6">
        <w:t>a</w:t>
      </w:r>
      <w:r w:rsidR="009977C1">
        <w:t>ções como ativo de risco</w:t>
      </w:r>
      <w:r w:rsidR="002F4E17">
        <w:t>. Sendo assim, alocações</w:t>
      </w:r>
      <w:r w:rsidR="009977C1">
        <w:t xml:space="preserve"> de 0% a 100% no ativo de risco</w:t>
      </w:r>
      <w:r w:rsidR="002A7315">
        <w:t xml:space="preserve"> foram </w:t>
      </w:r>
      <w:r w:rsidR="00A419B6">
        <w:t>criadas</w:t>
      </w:r>
      <w:r w:rsidR="009977C1">
        <w:t>, acrescentando cinco pontos percentuais</w:t>
      </w:r>
      <w:r w:rsidR="002A39A6">
        <w:t xml:space="preserve"> até atingir o valor máximo. </w:t>
      </w:r>
      <w:r w:rsidR="00E67B1E">
        <w:t xml:space="preserve">Para um retorno esperado </w:t>
      </w:r>
      <w:r w:rsidR="00BA06C1">
        <w:t>de A1</w:t>
      </w:r>
      <w:r w:rsidR="00E67B1E">
        <w:t xml:space="preserve"> de 22,39%, calculado pela média geométrica dos seus retornos anuais, conforme demonstrado na seção anterior, e uma taxa livre de risco de 11,65%, </w:t>
      </w:r>
      <w:r w:rsidR="00302005">
        <w:t>calculou-se o retorno esperado, a variância e a utilidade para cada uma das alocações, o que representa carteiras com retornos</w:t>
      </w:r>
      <w:r w:rsidR="002A7315">
        <w:t xml:space="preserve"> </w:t>
      </w:r>
      <w:r w:rsidR="00302005">
        <w:t>distintos, considerando um índice de aversão a risco de duas unidades.</w:t>
      </w:r>
      <w:r w:rsidR="002A7315">
        <w:t xml:space="preserve"> </w:t>
      </w:r>
      <w:r w:rsidR="001B2BE5">
        <w:t xml:space="preserve">Na carteira com alocação de </w:t>
      </w:r>
      <w:r w:rsidR="00263789">
        <w:t xml:space="preserve">25% no ativo de risco, </w:t>
      </w:r>
      <w:r w:rsidR="004C4D74">
        <w:t xml:space="preserve">obteve-se </w:t>
      </w:r>
      <w:r w:rsidR="005E5234">
        <w:t xml:space="preserve">a </w:t>
      </w:r>
      <w:r w:rsidR="004C4D74">
        <w:t>utilidade</w:t>
      </w:r>
      <w:r w:rsidR="001B2BE5">
        <w:t xml:space="preserve"> máxima</w:t>
      </w:r>
      <w:r w:rsidR="004C4D74">
        <w:t xml:space="preserve"> de 13,08%, uma variância de 1,26% e um retorno de 14,34%. </w:t>
      </w:r>
      <w:r w:rsidR="00A458D3">
        <w:t>Observa-se na</w:t>
      </w:r>
      <w:r w:rsidR="00983407">
        <w:t xml:space="preserve"> T</w:t>
      </w:r>
      <w:r w:rsidR="00A458D3">
        <w:t>abela</w:t>
      </w:r>
      <w:r w:rsidR="00983407">
        <w:t xml:space="preserve"> 4</w:t>
      </w:r>
      <w:r w:rsidR="00A458D3">
        <w:t xml:space="preserve"> </w:t>
      </w:r>
      <w:r w:rsidR="001B2BE5">
        <w:t>a</w:t>
      </w:r>
      <w:r w:rsidR="00A458D3">
        <w:t xml:space="preserve"> alocação,</w:t>
      </w:r>
      <w:r w:rsidR="001B2BE5">
        <w:t xml:space="preserve"> o retorno, </w:t>
      </w:r>
      <w:r w:rsidR="00A458D3">
        <w:t>a variância e a utilidade de cada carteira.</w:t>
      </w:r>
    </w:p>
    <w:p w14:paraId="194C50D5" w14:textId="77777777" w:rsidR="004C4D74" w:rsidRPr="00190EA5" w:rsidRDefault="004C4D74" w:rsidP="00190EA5">
      <w:pPr>
        <w:pStyle w:val="Corpo-ABNT"/>
      </w:pPr>
    </w:p>
    <w:p w14:paraId="47AB534F" w14:textId="6776563C" w:rsidR="00A458D3" w:rsidRDefault="00A458D3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4</w:t>
        </w:r>
      </w:fldSimple>
      <w:r>
        <w:t xml:space="preserve"> - Alocação, Retorno, Variância e Utilidade das Carteiras</w:t>
      </w:r>
    </w:p>
    <w:tbl>
      <w:tblPr>
        <w:tblW w:w="3742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907"/>
        <w:gridCol w:w="1030"/>
        <w:gridCol w:w="985"/>
      </w:tblGrid>
      <w:tr w:rsidR="00A458D3" w:rsidRPr="00AB3E60" w14:paraId="415230B2" w14:textId="77777777" w:rsidTr="00190EA5">
        <w:trPr>
          <w:trHeight w:val="340"/>
          <w:jc w:val="center"/>
        </w:trPr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973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Alocação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171D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Retorno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9B7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Variância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D53B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Utilidade</w:t>
            </w:r>
          </w:p>
        </w:tc>
      </w:tr>
      <w:tr w:rsidR="00A458D3" w:rsidRPr="00A458D3" w14:paraId="1266AA1C" w14:textId="77777777" w:rsidTr="00190EA5">
        <w:trPr>
          <w:trHeight w:val="340"/>
          <w:jc w:val="center"/>
        </w:trPr>
        <w:tc>
          <w:tcPr>
            <w:tcW w:w="9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FB9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0,00%</w:t>
            </w: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FBB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11,65%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75B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0,00%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21E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11,65%</w:t>
            </w:r>
          </w:p>
        </w:tc>
      </w:tr>
      <w:tr w:rsidR="00A458D3" w:rsidRPr="00A458D3" w14:paraId="24DB715D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798AC26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0710D539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12,19%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BD08DA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D6FE01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12,14%</w:t>
            </w:r>
          </w:p>
        </w:tc>
      </w:tr>
      <w:tr w:rsidR="00A458D3" w:rsidRPr="00A458D3" w14:paraId="5BF9849F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198C026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2C103099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12,72%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425194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0,20%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86FE6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12,52%</w:t>
            </w:r>
          </w:p>
        </w:tc>
      </w:tr>
      <w:tr w:rsidR="00A458D3" w:rsidRPr="00A458D3" w14:paraId="507A8240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E61BF33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56F0CF8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13,26%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F568399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0,45%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0373B3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12,81%</w:t>
            </w:r>
          </w:p>
        </w:tc>
      </w:tr>
      <w:tr w:rsidR="00A458D3" w:rsidRPr="00A458D3" w14:paraId="37666FA4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6E3C47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6AF5D72F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13,80%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44D15DD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0,81%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CBFC9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12,99%</w:t>
            </w:r>
          </w:p>
        </w:tc>
      </w:tr>
      <w:tr w:rsidR="004C4D74" w:rsidRPr="0090396B" w14:paraId="35DAD8BD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FD5B673" w14:textId="77777777" w:rsidR="00A458D3" w:rsidRPr="005E5234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5E5234">
              <w:rPr>
                <w:rFonts w:eastAsia="Times New Roman" w:cs="Arial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74C54BBE" w14:textId="77777777" w:rsidR="00A458D3" w:rsidRPr="005E5234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5E5234">
              <w:rPr>
                <w:rFonts w:eastAsia="Times New Roman" w:cs="Arial"/>
                <w:sz w:val="20"/>
                <w:szCs w:val="20"/>
                <w:lang w:eastAsia="pt-BR"/>
              </w:rPr>
              <w:t>14,34%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FF79C80" w14:textId="77777777" w:rsidR="00A458D3" w:rsidRPr="005E5234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5E5234">
              <w:rPr>
                <w:rFonts w:eastAsia="Times New Roman" w:cs="Arial"/>
                <w:sz w:val="20"/>
                <w:szCs w:val="20"/>
                <w:lang w:eastAsia="pt-BR"/>
              </w:rPr>
              <w:t>1,26%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3BCAAA" w14:textId="77777777" w:rsidR="00A458D3" w:rsidRPr="005E5234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5E5234">
              <w:rPr>
                <w:rFonts w:eastAsia="Times New Roman" w:cs="Arial"/>
                <w:sz w:val="20"/>
                <w:szCs w:val="20"/>
                <w:lang w:eastAsia="pt-BR"/>
              </w:rPr>
              <w:t>13,08%</w:t>
            </w:r>
          </w:p>
        </w:tc>
      </w:tr>
      <w:tr w:rsidR="00A458D3" w:rsidRPr="00A458D3" w14:paraId="408902C5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7B9A39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17C615B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14,87%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53C3EB0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1,81%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3DAFAC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13,06%</w:t>
            </w:r>
          </w:p>
        </w:tc>
      </w:tr>
      <w:tr w:rsidR="00A458D3" w:rsidRPr="00A458D3" w14:paraId="10A21179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33C1CA0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142316E5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15,41%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13210D5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2,47%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BC735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12,94%</w:t>
            </w:r>
          </w:p>
        </w:tc>
      </w:tr>
      <w:tr w:rsidR="00A458D3" w:rsidRPr="00A458D3" w14:paraId="24F2B4C6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34851744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70DA4A0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15,95%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5766A2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3,22%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183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12,73%</w:t>
            </w:r>
          </w:p>
        </w:tc>
      </w:tr>
      <w:tr w:rsidR="00A458D3" w:rsidRPr="00A458D3" w14:paraId="56BECC45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E0DD72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4403AC60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16,48%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BF8BFB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4,08%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DFDA1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12,41%</w:t>
            </w:r>
          </w:p>
        </w:tc>
      </w:tr>
      <w:tr w:rsidR="00A458D3" w:rsidRPr="00A458D3" w14:paraId="3F3CAD2D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70AF4F2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107C6E14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17,02%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0979FC1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5,03%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8623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11,99%</w:t>
            </w:r>
          </w:p>
        </w:tc>
      </w:tr>
      <w:tr w:rsidR="00A458D3" w:rsidRPr="00A458D3" w14:paraId="211A9839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5CC5EFB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5C648F89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17,56%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8E35822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6,09%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B8D043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11,47%</w:t>
            </w:r>
          </w:p>
        </w:tc>
      </w:tr>
      <w:tr w:rsidR="00A458D3" w:rsidRPr="00A458D3" w14:paraId="1D930197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44E7C2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21FEB06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18,10%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2C2220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7,25%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A052B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10,85%</w:t>
            </w:r>
          </w:p>
        </w:tc>
      </w:tr>
      <w:tr w:rsidR="00A458D3" w:rsidRPr="00A458D3" w14:paraId="118ED7A9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BB0CB0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3869CF31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18,63%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3E6A1C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8,50%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798FCF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10,13%</w:t>
            </w:r>
          </w:p>
        </w:tc>
      </w:tr>
      <w:tr w:rsidR="00A458D3" w:rsidRPr="00A458D3" w14:paraId="03955A40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FF4319B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461FDE86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19,17%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FA8A501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9,86%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CEE78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9,31%</w:t>
            </w:r>
          </w:p>
        </w:tc>
      </w:tr>
      <w:tr w:rsidR="00A458D3" w:rsidRPr="00A458D3" w14:paraId="7997C223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3B3F6CF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7A102775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19,71%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8C69F8D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11,32%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E3BB5D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8,38%</w:t>
            </w:r>
          </w:p>
        </w:tc>
      </w:tr>
      <w:tr w:rsidR="00A458D3" w:rsidRPr="00A458D3" w14:paraId="652EE273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DFFB35F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80,00%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65912AB0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20,24%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D1F805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12,88%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BAB14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7,36%</w:t>
            </w:r>
          </w:p>
        </w:tc>
      </w:tr>
      <w:tr w:rsidR="00A458D3" w:rsidRPr="00A458D3" w14:paraId="49F3F20A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2B23ADB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85,00%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1A88BEAD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20,78%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B07A18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14,54%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CC981A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6,24%</w:t>
            </w:r>
          </w:p>
        </w:tc>
      </w:tr>
      <w:tr w:rsidR="00A458D3" w:rsidRPr="00A458D3" w14:paraId="4E793423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E99463F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4928A5D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21,32%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76F29D5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16,30%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A4AC77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5,01%</w:t>
            </w:r>
          </w:p>
        </w:tc>
      </w:tr>
      <w:tr w:rsidR="00A458D3" w:rsidRPr="00A458D3" w14:paraId="0FBBAC5A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AD1F391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95,00%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0379B4C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21,86%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F190B7C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18,17%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DA820B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3,69%</w:t>
            </w:r>
          </w:p>
        </w:tc>
      </w:tr>
      <w:tr w:rsidR="00A458D3" w:rsidRPr="00A458D3" w14:paraId="082D1CF7" w14:textId="77777777" w:rsidTr="00190EA5">
        <w:trPr>
          <w:trHeight w:val="340"/>
          <w:jc w:val="center"/>
        </w:trPr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DCFAFB2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100,00%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14:paraId="1393FF95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22,39%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FC0A848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20,13%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4B1FE" w14:textId="77777777" w:rsidR="00A458D3" w:rsidRPr="00AB3E60" w:rsidRDefault="00A458D3" w:rsidP="00AB3E6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AB3E60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2,26%</w:t>
            </w:r>
          </w:p>
        </w:tc>
      </w:tr>
    </w:tbl>
    <w:p w14:paraId="285EA1F4" w14:textId="7E9AF8E2" w:rsidR="00FC1313" w:rsidRDefault="00A458D3" w:rsidP="00FC1313">
      <w:pPr>
        <w:rPr>
          <w:sz w:val="20"/>
          <w:szCs w:val="18"/>
        </w:rPr>
      </w:pPr>
      <w:r w:rsidRPr="00A458D3">
        <w:rPr>
          <w:sz w:val="20"/>
          <w:szCs w:val="18"/>
        </w:rPr>
        <w:t>Fonte: elaboração própria.</w:t>
      </w:r>
    </w:p>
    <w:p w14:paraId="2F14F09A" w14:textId="446E19D3" w:rsidR="00205777" w:rsidRDefault="00FC1313" w:rsidP="00205777">
      <w:pPr>
        <w:pStyle w:val="Corpo-ABNT"/>
      </w:pPr>
      <w:r w:rsidRPr="00FC1313">
        <w:lastRenderedPageBreak/>
        <w:t>A partir da tabela an</w:t>
      </w:r>
      <w:r>
        <w:t xml:space="preserve">terior, foi possível construir </w:t>
      </w:r>
      <w:r w:rsidR="004C4D74">
        <w:t>a</w:t>
      </w:r>
      <w:r>
        <w:t xml:space="preserve"> curva </w:t>
      </w:r>
      <w:r w:rsidR="00983407">
        <w:t>de</w:t>
      </w:r>
      <w:r>
        <w:t xml:space="preserve"> </w:t>
      </w:r>
      <w:r w:rsidR="00263789">
        <w:t>utilidade em função da alocação</w:t>
      </w:r>
      <w:r w:rsidR="00983407">
        <w:t>, conforme o Gráfico 1 a seguir,</w:t>
      </w:r>
      <w:r w:rsidR="00263789">
        <w:t xml:space="preserve"> </w:t>
      </w:r>
      <w:r w:rsidR="00983407">
        <w:t>para</w:t>
      </w:r>
      <w:r w:rsidR="00263789">
        <w:t xml:space="preserve"> um índice de aversão a risco de duas unidades.</w:t>
      </w:r>
    </w:p>
    <w:p w14:paraId="3B3B6C18" w14:textId="129ACB73" w:rsidR="00205777" w:rsidRDefault="00205777">
      <w:pPr>
        <w:spacing w:before="0" w:after="160" w:line="259" w:lineRule="auto"/>
      </w:pPr>
    </w:p>
    <w:p w14:paraId="4F3580A8" w14:textId="18CAFC91" w:rsidR="00403A91" w:rsidRDefault="00403A91" w:rsidP="00B53619">
      <w:pPr>
        <w:pStyle w:val="Legenda-ABNT"/>
      </w:pPr>
      <w:r>
        <w:t xml:space="preserve">Gráfico </w:t>
      </w:r>
      <w:fldSimple w:instr=" SEQ Gráfico \* ARABIC ">
        <w:r w:rsidR="008162CB">
          <w:rPr>
            <w:noProof/>
          </w:rPr>
          <w:t>1</w:t>
        </w:r>
      </w:fldSimple>
      <w:r>
        <w:t xml:space="preserve"> - Utilidade em Função da Alocação</w:t>
      </w:r>
    </w:p>
    <w:p w14:paraId="1946491F" w14:textId="10D89AAC" w:rsidR="00263789" w:rsidRPr="00FC1313" w:rsidRDefault="00403A91" w:rsidP="00CA09A7">
      <w:pPr>
        <w:pStyle w:val="Corpo-ABNT"/>
        <w:ind w:firstLine="0"/>
        <w:jc w:val="center"/>
      </w:pPr>
      <w:r>
        <w:rPr>
          <w:noProof/>
        </w:rPr>
        <w:drawing>
          <wp:inline distT="0" distB="0" distL="0" distR="0" wp14:anchorId="2ABB7C3E" wp14:editId="2382C862">
            <wp:extent cx="5040000" cy="2769624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69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1665D" w14:textId="20DB6C2B" w:rsidR="00657EA0" w:rsidRDefault="00205777" w:rsidP="00205777">
      <w:pPr>
        <w:pStyle w:val="Corpo-ABNT"/>
        <w:ind w:firstLine="0"/>
        <w:rPr>
          <w:sz w:val="20"/>
          <w:szCs w:val="18"/>
        </w:rPr>
      </w:pPr>
      <w:r w:rsidRPr="00205777">
        <w:rPr>
          <w:sz w:val="20"/>
          <w:szCs w:val="18"/>
        </w:rPr>
        <w:t>Fonte: elaboração própria.</w:t>
      </w:r>
    </w:p>
    <w:p w14:paraId="1CD164FF" w14:textId="67219DBC" w:rsidR="00205777" w:rsidRPr="00190EA5" w:rsidRDefault="00205777" w:rsidP="00190EA5">
      <w:pPr>
        <w:pStyle w:val="Corpo-ABNT"/>
      </w:pPr>
    </w:p>
    <w:p w14:paraId="0FAD258B" w14:textId="44E08B29" w:rsidR="00873318" w:rsidRDefault="00AD73C3" w:rsidP="00AD73C3">
      <w:pPr>
        <w:pStyle w:val="Corpo-ABNT"/>
      </w:pPr>
      <w:r>
        <w:t>Após maximizar a equação de utilidade</w:t>
      </w:r>
      <w:r w:rsidR="00085E62">
        <w:t xml:space="preserve"> em relação à alocação</w:t>
      </w:r>
      <w:r>
        <w:t>, considerand</w:t>
      </w:r>
      <w:r w:rsidR="00085E62">
        <w:t xml:space="preserve">o o retorno esperado </w:t>
      </w:r>
      <w:r w:rsidR="00BA06C1">
        <w:t>de A1 (</w:t>
      </w:r>
      <w:r w:rsidR="00085E62">
        <w:t>22,39%,</w:t>
      </w:r>
      <w:r w:rsidR="00BA06C1">
        <w:t>)</w:t>
      </w:r>
      <w:r w:rsidR="00085E62">
        <w:t xml:space="preserve"> a Taxa DI</w:t>
      </w:r>
      <w:r w:rsidR="00BA06C1">
        <w:t xml:space="preserve"> (11,65%)</w:t>
      </w:r>
      <w:r w:rsidR="00085E62">
        <w:t xml:space="preserve"> e o índice de aversão a risco</w:t>
      </w:r>
      <w:r w:rsidR="00BA06C1">
        <w:t xml:space="preserve"> (duas unidades)</w:t>
      </w:r>
      <w:r w:rsidR="00085E62">
        <w:t>, obteve-se uma alocação ótima no ativo de risco de 26,68%.</w:t>
      </w:r>
      <w:r w:rsidR="001B2BE5">
        <w:t xml:space="preserve"> Para esse nível de alocação, obteve-se um retorno de 14,52%, uma variância de 1,43%, um desvio padrão de 11,97% e uma utilidade de 13,08%</w:t>
      </w:r>
      <w:r w:rsidR="001A0701">
        <w:t xml:space="preserve">, que é </w:t>
      </w:r>
      <w:r w:rsidR="001B2BE5">
        <w:t xml:space="preserve">muito próxima da utilidade máxima </w:t>
      </w:r>
      <w:r w:rsidR="00637246">
        <w:t>d</w:t>
      </w:r>
      <w:r w:rsidR="001B2BE5">
        <w:t xml:space="preserve">a tabela anterior. </w:t>
      </w:r>
      <w:r w:rsidR="001B1DA8">
        <w:t xml:space="preserve">Abaixo, </w:t>
      </w:r>
      <w:r w:rsidR="00983407">
        <w:t xml:space="preserve">na Tabela 5, </w:t>
      </w:r>
      <w:r w:rsidR="001A0701">
        <w:t>estão listados os valores calculados.</w:t>
      </w:r>
    </w:p>
    <w:p w14:paraId="047B65E2" w14:textId="0D0040B5" w:rsidR="001A0701" w:rsidRDefault="001A0701" w:rsidP="00AD73C3">
      <w:pPr>
        <w:pStyle w:val="Corpo-ABNT"/>
      </w:pPr>
    </w:p>
    <w:p w14:paraId="4B33DD04" w14:textId="74B50CD5" w:rsidR="001A0701" w:rsidRDefault="001A0701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5</w:t>
        </w:r>
      </w:fldSimple>
      <w:r>
        <w:t xml:space="preserve"> - Carteira com a Alocação Ótima</w:t>
      </w:r>
    </w:p>
    <w:tbl>
      <w:tblPr>
        <w:tblW w:w="298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00"/>
      </w:tblGrid>
      <w:tr w:rsidR="00190EA5" w:rsidRPr="001A0701" w14:paraId="3EB217EA" w14:textId="77777777" w:rsidTr="00A419B6">
        <w:trPr>
          <w:trHeight w:val="340"/>
          <w:jc w:val="center"/>
        </w:trPr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0C71E" w14:textId="554EFBFD" w:rsidR="00190EA5" w:rsidRPr="00190EA5" w:rsidRDefault="00190EA5" w:rsidP="00A419B6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90EA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83932D" w14:textId="076BDDE9" w:rsidR="00190EA5" w:rsidRPr="00190EA5" w:rsidRDefault="00190EA5" w:rsidP="00A419B6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90EA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</w:t>
            </w:r>
          </w:p>
        </w:tc>
      </w:tr>
      <w:tr w:rsidR="001A0701" w:rsidRPr="001A0701" w14:paraId="0865E58F" w14:textId="77777777" w:rsidTr="00A419B6">
        <w:trPr>
          <w:trHeight w:val="340"/>
          <w:jc w:val="center"/>
        </w:trPr>
        <w:tc>
          <w:tcPr>
            <w:tcW w:w="17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B5BF" w14:textId="34FDC815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Alocação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307C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26,68%</w:t>
            </w:r>
          </w:p>
        </w:tc>
      </w:tr>
      <w:tr w:rsidR="001A0701" w:rsidRPr="001A0701" w14:paraId="14ECD015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2450A0" w14:textId="06F1A201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Retorno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435F460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14,52%</w:t>
            </w:r>
          </w:p>
        </w:tc>
      </w:tr>
      <w:tr w:rsidR="001A0701" w:rsidRPr="001A0701" w14:paraId="3D040A29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BF77ADC" w14:textId="7EE0A1B4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Variância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03143D5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1,43%</w:t>
            </w:r>
          </w:p>
        </w:tc>
      </w:tr>
      <w:tr w:rsidR="001A0701" w:rsidRPr="001A0701" w14:paraId="049E07D5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06A12E" w14:textId="0AA87014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625D32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11,97%</w:t>
            </w:r>
          </w:p>
        </w:tc>
      </w:tr>
      <w:tr w:rsidR="001A0701" w:rsidRPr="001A0701" w14:paraId="62B6647D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D9F207D" w14:textId="7AE06223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Utilidade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AE3866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13,08%</w:t>
            </w:r>
          </w:p>
        </w:tc>
      </w:tr>
      <w:tr w:rsidR="001A0701" w:rsidRPr="001A0701" w14:paraId="005DDD73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A39FB89" w14:textId="0D21E5BC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Prêmio de Risco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736E5D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2,87%</w:t>
            </w:r>
          </w:p>
        </w:tc>
      </w:tr>
      <w:tr w:rsidR="001A0701" w:rsidRPr="001A0701" w14:paraId="158222B5" w14:textId="77777777" w:rsidTr="00A419B6">
        <w:trPr>
          <w:trHeight w:val="34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C053B67" w14:textId="68770B13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Índice de Sharpe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C4A1DA" w14:textId="77777777" w:rsidR="001A0701" w:rsidRPr="001A0701" w:rsidRDefault="001A0701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A070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6,39%</w:t>
            </w:r>
          </w:p>
        </w:tc>
      </w:tr>
    </w:tbl>
    <w:p w14:paraId="4EDFCAEB" w14:textId="32EF0C2A" w:rsidR="00901B2D" w:rsidRDefault="001A0701" w:rsidP="001A0701">
      <w:pPr>
        <w:pStyle w:val="Corpo-ABNT"/>
        <w:ind w:firstLine="0"/>
        <w:rPr>
          <w:sz w:val="20"/>
          <w:szCs w:val="18"/>
        </w:rPr>
      </w:pPr>
      <w:r w:rsidRPr="001A0701">
        <w:rPr>
          <w:sz w:val="20"/>
          <w:szCs w:val="18"/>
        </w:rPr>
        <w:t>Fonte: elaboração própria.</w:t>
      </w:r>
    </w:p>
    <w:p w14:paraId="7703E0C4" w14:textId="422B0029" w:rsidR="001570BC" w:rsidRDefault="00E72FF0" w:rsidP="005027CD">
      <w:pPr>
        <w:pStyle w:val="Corpo-ABNT"/>
      </w:pPr>
      <w:r>
        <w:lastRenderedPageBreak/>
        <w:t>Ao isolar</w:t>
      </w:r>
      <w:r w:rsidR="00901B2D">
        <w:t xml:space="preserve"> o retorno esperado na equação de utilidade, foi</w:t>
      </w:r>
      <w:r w:rsidR="00CA09A7">
        <w:t xml:space="preserve"> possível</w:t>
      </w:r>
      <w:r w:rsidR="00901B2D">
        <w:t xml:space="preserve"> </w:t>
      </w:r>
      <w:r w:rsidR="00AE0271">
        <w:t>construir o gráfico d</w:t>
      </w:r>
      <w:r w:rsidR="009D3A46">
        <w:t>a curva de indiferença</w:t>
      </w:r>
      <w:r w:rsidR="00DD5F1F">
        <w:t xml:space="preserve"> </w:t>
      </w:r>
      <w:r w:rsidR="004D558C">
        <w:t>para diferentes níveis de risco</w:t>
      </w:r>
      <w:r w:rsidR="00DD5F1F">
        <w:t>.</w:t>
      </w:r>
      <w:r>
        <w:t xml:space="preserve"> S</w:t>
      </w:r>
      <w:r w:rsidR="00DD5F1F">
        <w:t>abendo que a utilidade sempre será de 13,08%, deseja-se encontrar</w:t>
      </w:r>
      <w:r>
        <w:t xml:space="preserve"> nessa curva</w:t>
      </w:r>
      <w:r w:rsidR="00DD5F1F">
        <w:t xml:space="preserve"> a combinação ótima entre risco e retorno</w:t>
      </w:r>
      <w:r w:rsidR="00AE0271">
        <w:t>.</w:t>
      </w:r>
      <w:r w:rsidR="00DD5F1F">
        <w:t xml:space="preserve"> Essa combinação</w:t>
      </w:r>
      <w:r w:rsidR="00036CF7">
        <w:t xml:space="preserve"> </w:t>
      </w:r>
      <w:r w:rsidR="00DD5F1F">
        <w:t>está no ponto em que</w:t>
      </w:r>
      <w:r w:rsidR="00036CF7">
        <w:t xml:space="preserve"> o desvio padrão é de 12% e o retorno esperado é de 14,52%. </w:t>
      </w:r>
      <w:r w:rsidR="00E801BC">
        <w:t>F</w:t>
      </w:r>
      <w:r w:rsidR="00AE0271">
        <w:t>oi adicionada no gráfico a reta CAL (</w:t>
      </w:r>
      <w:r w:rsidR="00AE0271" w:rsidRPr="00AE0271">
        <w:rPr>
          <w:i/>
          <w:iCs/>
        </w:rPr>
        <w:t xml:space="preserve">Capital </w:t>
      </w:r>
      <w:proofErr w:type="spellStart"/>
      <w:r w:rsidR="00AE0271" w:rsidRPr="00AE0271">
        <w:rPr>
          <w:i/>
          <w:iCs/>
        </w:rPr>
        <w:t>Allocation</w:t>
      </w:r>
      <w:proofErr w:type="spellEnd"/>
      <w:r w:rsidR="00AE0271" w:rsidRPr="00AE0271">
        <w:rPr>
          <w:i/>
          <w:iCs/>
        </w:rPr>
        <w:t xml:space="preserve"> </w:t>
      </w:r>
      <w:proofErr w:type="spellStart"/>
      <w:r w:rsidR="00AE0271" w:rsidRPr="00AE0271">
        <w:rPr>
          <w:i/>
          <w:iCs/>
        </w:rPr>
        <w:t>Line</w:t>
      </w:r>
      <w:proofErr w:type="spellEnd"/>
      <w:r w:rsidR="00AE0271">
        <w:t xml:space="preserve">), demonstrado </w:t>
      </w:r>
      <w:r w:rsidR="00E801BC">
        <w:t xml:space="preserve">o ponto de tangência na </w:t>
      </w:r>
      <w:r w:rsidR="00036CF7">
        <w:t>combinação</w:t>
      </w:r>
      <w:r w:rsidR="005755E6">
        <w:t xml:space="preserve"> ótima das variáveis</w:t>
      </w:r>
      <w:r w:rsidR="00183ED8">
        <w:t>.</w:t>
      </w:r>
      <w:r w:rsidR="000A3654">
        <w:t xml:space="preserve"> Neste ponto, a alocação no ativo de risco é de 26,75</w:t>
      </w:r>
      <w:r w:rsidR="00637246">
        <w:t>%</w:t>
      </w:r>
      <w:r w:rsidR="00A06940">
        <w:t xml:space="preserve">. </w:t>
      </w:r>
      <w:r w:rsidR="00693C4A">
        <w:t>Como as observações do desvio padrão no eixo horizontal não são contínuas, há diferenças entre</w:t>
      </w:r>
      <w:r w:rsidR="00A237B5">
        <w:t xml:space="preserve"> os </w:t>
      </w:r>
      <w:r w:rsidR="00A06940">
        <w:t>resultados da curva de indiferença e da maximização da equação de utilidade</w:t>
      </w:r>
      <w:r w:rsidR="00A237B5">
        <w:t>. Considerando somente duas casas decimais, o retorno se manteve o mesmo (14,52%), porém</w:t>
      </w:r>
      <w:r w:rsidR="00E801BC">
        <w:t>,</w:t>
      </w:r>
      <w:r w:rsidR="001570BC">
        <w:t xml:space="preserve"> o desvio padrão</w:t>
      </w:r>
      <w:r w:rsidR="00A237B5">
        <w:t xml:space="preserve"> </w:t>
      </w:r>
      <w:r w:rsidR="00311981">
        <w:t>e a alocação ficaram levemente acima dos resultados anteriores</w:t>
      </w:r>
      <w:r w:rsidR="00A237B5">
        <w:t>.</w:t>
      </w:r>
      <w:r w:rsidR="00693C4A">
        <w:t xml:space="preserve"> </w:t>
      </w:r>
      <w:r w:rsidR="00E801BC">
        <w:t>Na Tabela 6, são apresentadas as informações utilizadas para construir os gráficos.</w:t>
      </w:r>
    </w:p>
    <w:p w14:paraId="35F1DD5C" w14:textId="77777777" w:rsidR="005027CD" w:rsidRDefault="005027CD" w:rsidP="005027CD">
      <w:pPr>
        <w:pStyle w:val="Corpo-ABNT"/>
        <w:ind w:firstLine="0"/>
      </w:pPr>
    </w:p>
    <w:p w14:paraId="6D995AE2" w14:textId="574E5339" w:rsidR="001570BC" w:rsidRDefault="001570BC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6</w:t>
        </w:r>
      </w:fldSimple>
      <w:r>
        <w:t xml:space="preserve"> - Desvio Padrão, Retorno Esperado e Reta CAL</w:t>
      </w:r>
    </w:p>
    <w:tbl>
      <w:tblPr>
        <w:tblW w:w="514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33"/>
        <w:gridCol w:w="1655"/>
      </w:tblGrid>
      <w:tr w:rsidR="001570BC" w:rsidRPr="001570BC" w14:paraId="682DEFD8" w14:textId="77777777" w:rsidTr="00E72FF0">
        <w:trPr>
          <w:trHeight w:val="340"/>
          <w:jc w:val="center"/>
        </w:trPr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A893" w14:textId="7ABD16FD" w:rsidR="001570BC" w:rsidRPr="00A419B6" w:rsidRDefault="00A419B6" w:rsidP="00A419B6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FA2E" w14:textId="099C426B" w:rsidR="001570BC" w:rsidRPr="00A419B6" w:rsidRDefault="00A419B6" w:rsidP="00A419B6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Retorno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63F8" w14:textId="0C75A934" w:rsidR="001570BC" w:rsidRPr="00A419B6" w:rsidRDefault="00A419B6" w:rsidP="00A419B6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CAL</w:t>
            </w:r>
          </w:p>
        </w:tc>
      </w:tr>
      <w:tr w:rsidR="001570BC" w:rsidRPr="001570BC" w14:paraId="0ABC0076" w14:textId="77777777" w:rsidTr="00E72FF0">
        <w:trPr>
          <w:trHeight w:val="340"/>
          <w:jc w:val="center"/>
        </w:trPr>
        <w:tc>
          <w:tcPr>
            <w:tcW w:w="1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1EA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0,00%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601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13,08%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78B2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11,65%</w:t>
            </w:r>
          </w:p>
        </w:tc>
      </w:tr>
      <w:tr w:rsidR="001570BC" w:rsidRPr="001570BC" w14:paraId="5ADDC20C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96A6065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100DF01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13,12%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977FAD0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12,13%</w:t>
            </w:r>
          </w:p>
        </w:tc>
      </w:tr>
      <w:tr w:rsidR="001570BC" w:rsidRPr="001570BC" w14:paraId="786BD69F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86A20F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A7ED4E7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13,24%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EBA9ED3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12,61%</w:t>
            </w:r>
          </w:p>
        </w:tc>
      </w:tr>
      <w:tr w:rsidR="001570BC" w:rsidRPr="001570BC" w14:paraId="6BF7B9B5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5C158706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0E9D55C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13,44%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5AAFEA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13,09%</w:t>
            </w:r>
          </w:p>
        </w:tc>
      </w:tr>
      <w:tr w:rsidR="001570BC" w:rsidRPr="001570BC" w14:paraId="22F154D5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99C56AF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8,00%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DB629DB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13,72%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70706576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13,57%</w:t>
            </w:r>
          </w:p>
        </w:tc>
      </w:tr>
      <w:tr w:rsidR="001570BC" w:rsidRPr="001570BC" w14:paraId="21591A40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F5037B0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3751947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14,08%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E57976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14,04%</w:t>
            </w:r>
          </w:p>
        </w:tc>
      </w:tr>
      <w:tr w:rsidR="001570BC" w:rsidRPr="001570BC" w14:paraId="29CA66FF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7250C112" w14:textId="77777777" w:rsidR="001570BC" w:rsidRPr="00A419B6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sz w:val="20"/>
                <w:szCs w:val="20"/>
                <w:lang w:eastAsia="pt-BR"/>
              </w:rPr>
              <w:t>12,00%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1F0BB5BE" w14:textId="77777777" w:rsidR="001570BC" w:rsidRPr="00A419B6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sz w:val="20"/>
                <w:szCs w:val="20"/>
                <w:lang w:eastAsia="pt-BR"/>
              </w:rPr>
              <w:t>14,52%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F480A93" w14:textId="77777777" w:rsidR="001570BC" w:rsidRPr="00A419B6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A419B6">
              <w:rPr>
                <w:rFonts w:eastAsia="Times New Roman" w:cs="Arial"/>
                <w:sz w:val="20"/>
                <w:szCs w:val="20"/>
                <w:lang w:eastAsia="pt-BR"/>
              </w:rPr>
              <w:t>14,52%</w:t>
            </w:r>
          </w:p>
        </w:tc>
      </w:tr>
      <w:tr w:rsidR="001570BC" w:rsidRPr="001570BC" w14:paraId="4D5A3C34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54DE03F3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14,00%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644A6DC6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15,04%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6621F5F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15,00%</w:t>
            </w:r>
          </w:p>
        </w:tc>
      </w:tr>
      <w:tr w:rsidR="001570BC" w:rsidRPr="001570BC" w14:paraId="56E334A2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9C475AD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0E33F12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15,64%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48F76B7B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15,48%</w:t>
            </w:r>
          </w:p>
        </w:tc>
      </w:tr>
      <w:tr w:rsidR="001570BC" w:rsidRPr="001570BC" w14:paraId="4061B6AC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5671AB8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F78E5F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16,32%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C1A84B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15,96%</w:t>
            </w:r>
          </w:p>
        </w:tc>
      </w:tr>
      <w:tr w:rsidR="001570BC" w:rsidRPr="001570BC" w14:paraId="5B56C651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7FA9B0AF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EC1F5D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17,08%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C7BFAF2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16,44%</w:t>
            </w:r>
          </w:p>
        </w:tc>
      </w:tr>
      <w:tr w:rsidR="001570BC" w:rsidRPr="001570BC" w14:paraId="4BF37736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2B02F84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22,00%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2BFC8AE0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17,92%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268723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16,92%</w:t>
            </w:r>
          </w:p>
        </w:tc>
      </w:tr>
      <w:tr w:rsidR="001570BC" w:rsidRPr="001570BC" w14:paraId="526EFE9A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56311F6B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24,00%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58F2CA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18,84%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50B1DCC3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17,40%</w:t>
            </w:r>
          </w:p>
        </w:tc>
      </w:tr>
      <w:tr w:rsidR="001570BC" w:rsidRPr="001570BC" w14:paraId="0B896576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72A4B04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C8C8F99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19,84%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376DD4CC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17,88%</w:t>
            </w:r>
          </w:p>
        </w:tc>
      </w:tr>
      <w:tr w:rsidR="001570BC" w:rsidRPr="001570BC" w14:paraId="777DB16C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3106210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28,00%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532EF0F9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20,92%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4ADF66F5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18,35%</w:t>
            </w:r>
          </w:p>
        </w:tc>
      </w:tr>
      <w:tr w:rsidR="001570BC" w:rsidRPr="001570BC" w14:paraId="08295C7D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2C0C7612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51A5180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22,08%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DB587DA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18,83%</w:t>
            </w:r>
          </w:p>
        </w:tc>
      </w:tr>
      <w:tr w:rsidR="001570BC" w:rsidRPr="001570BC" w14:paraId="1093B72E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35CDD3EB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32,00%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3447B42A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23,32%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3DD78846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19,31%</w:t>
            </w:r>
          </w:p>
        </w:tc>
      </w:tr>
      <w:tr w:rsidR="001570BC" w:rsidRPr="001570BC" w14:paraId="522D5D2D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DE719B5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34,00%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75D1FEDB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24,64%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142B0A0D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19,79%</w:t>
            </w:r>
          </w:p>
        </w:tc>
      </w:tr>
      <w:tr w:rsidR="001570BC" w:rsidRPr="001570BC" w14:paraId="172454A8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315C79FD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36,00%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3C0B54D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26,04%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52F8355F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20,27%</w:t>
            </w:r>
          </w:p>
        </w:tc>
      </w:tr>
      <w:tr w:rsidR="001570BC" w:rsidRPr="001570BC" w14:paraId="3DC68BE4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7D06E05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38,00%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219B079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27,52%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E93F90E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20,75%</w:t>
            </w:r>
          </w:p>
        </w:tc>
      </w:tr>
      <w:tr w:rsidR="001570BC" w:rsidRPr="001570BC" w14:paraId="001FA383" w14:textId="77777777" w:rsidTr="00E72FF0">
        <w:trPr>
          <w:trHeight w:val="340"/>
          <w:jc w:val="center"/>
        </w:trPr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04F182C6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40,00%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14:paraId="40328A58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29,08%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14:paraId="6DF23672" w14:textId="77777777" w:rsidR="001570BC" w:rsidRPr="001570BC" w:rsidRDefault="001570BC" w:rsidP="00A419B6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70BC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21,23%</w:t>
            </w:r>
          </w:p>
        </w:tc>
      </w:tr>
    </w:tbl>
    <w:p w14:paraId="48ADAEB2" w14:textId="02ACE548" w:rsidR="004C118F" w:rsidRPr="00A06940" w:rsidRDefault="00CF0466" w:rsidP="00A06940">
      <w:pPr>
        <w:pStyle w:val="Corpo-ABNT"/>
        <w:ind w:firstLine="0"/>
        <w:rPr>
          <w:sz w:val="20"/>
          <w:szCs w:val="18"/>
        </w:rPr>
      </w:pPr>
      <w:r w:rsidRPr="00CF0466">
        <w:rPr>
          <w:sz w:val="20"/>
          <w:szCs w:val="18"/>
        </w:rPr>
        <w:t>Fonte: elaboração própria.</w:t>
      </w:r>
    </w:p>
    <w:p w14:paraId="7C417542" w14:textId="73A60962" w:rsidR="00901B2D" w:rsidRDefault="007E0F98" w:rsidP="00901B2D">
      <w:pPr>
        <w:pStyle w:val="Corpo-ABNT"/>
      </w:pPr>
      <w:r>
        <w:lastRenderedPageBreak/>
        <w:t xml:space="preserve">A reta CAL e a curva de indiferença </w:t>
      </w:r>
      <w:r w:rsidR="001570BC">
        <w:t xml:space="preserve">construídas a partir da tabela anterior </w:t>
      </w:r>
      <w:r>
        <w:t>podem ser visualizadas</w:t>
      </w:r>
      <w:r w:rsidR="00CA09A7">
        <w:t xml:space="preserve"> no Gráfico 2 a seguir.</w:t>
      </w:r>
    </w:p>
    <w:p w14:paraId="5FDDC0D1" w14:textId="133EBD86" w:rsidR="00205777" w:rsidRDefault="00205777" w:rsidP="00205777">
      <w:pPr>
        <w:pStyle w:val="Corpo-ABNT"/>
        <w:ind w:firstLine="0"/>
      </w:pPr>
    </w:p>
    <w:p w14:paraId="60C76745" w14:textId="204883BA" w:rsidR="00F663BB" w:rsidRDefault="00F663BB" w:rsidP="00B53619">
      <w:pPr>
        <w:pStyle w:val="Legenda-ABNT"/>
      </w:pPr>
      <w:r>
        <w:t xml:space="preserve">Gráfico </w:t>
      </w:r>
      <w:fldSimple w:instr=" SEQ Gráfico \* ARABIC ">
        <w:r w:rsidR="008162CB">
          <w:rPr>
            <w:noProof/>
          </w:rPr>
          <w:t>2</w:t>
        </w:r>
      </w:fldSimple>
      <w:r>
        <w:t xml:space="preserve"> - Reta CAL e Curva de Indiferença</w:t>
      </w:r>
    </w:p>
    <w:p w14:paraId="523FA861" w14:textId="72D6CBFB" w:rsidR="00F663BB" w:rsidRDefault="00F663BB" w:rsidP="00F663BB">
      <w:pPr>
        <w:pStyle w:val="Corpo-ABNT"/>
        <w:ind w:firstLine="0"/>
        <w:jc w:val="center"/>
      </w:pPr>
      <w:r>
        <w:rPr>
          <w:noProof/>
        </w:rPr>
        <w:drawing>
          <wp:inline distT="0" distB="0" distL="0" distR="0" wp14:anchorId="16B82568" wp14:editId="05C4E65E">
            <wp:extent cx="5040000" cy="2894489"/>
            <wp:effectExtent l="0" t="0" r="825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94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777BDF" w14:textId="539489DC" w:rsidR="00CF0466" w:rsidRPr="00CF0466" w:rsidRDefault="00F663BB" w:rsidP="00CF0466">
      <w:pPr>
        <w:pStyle w:val="Corpo-ABNT"/>
        <w:ind w:firstLine="0"/>
        <w:rPr>
          <w:sz w:val="20"/>
          <w:szCs w:val="18"/>
        </w:rPr>
      </w:pPr>
      <w:r w:rsidRPr="00F663BB">
        <w:rPr>
          <w:sz w:val="20"/>
          <w:szCs w:val="18"/>
        </w:rPr>
        <w:t>Fonte: elaboração própria.</w:t>
      </w:r>
      <w:r w:rsidR="00CF0466">
        <w:rPr>
          <w:sz w:val="20"/>
          <w:szCs w:val="18"/>
        </w:rPr>
        <w:br w:type="page"/>
      </w:r>
    </w:p>
    <w:p w14:paraId="159B63FE" w14:textId="5CC704C9" w:rsidR="00657EA0" w:rsidRDefault="00657EA0" w:rsidP="00657EA0">
      <w:pPr>
        <w:pStyle w:val="Ttulo1-ABNT"/>
      </w:pPr>
      <w:r>
        <w:lastRenderedPageBreak/>
        <w:t>5 MARKOWITZ – CARTEIRA COM DOIS ATIVOS DE RISCO</w:t>
      </w:r>
    </w:p>
    <w:p w14:paraId="2C777CA1" w14:textId="0479ADC5" w:rsidR="00657EA0" w:rsidRDefault="00657EA0" w:rsidP="00657EA0">
      <w:pPr>
        <w:pStyle w:val="Corpo-ABNT"/>
        <w:ind w:firstLine="0"/>
      </w:pPr>
    </w:p>
    <w:p w14:paraId="28C569E1" w14:textId="400C729A" w:rsidR="002E1D59" w:rsidRDefault="006132CC" w:rsidP="006132CC">
      <w:pPr>
        <w:pStyle w:val="Corpo-ABNT"/>
      </w:pPr>
      <w:r w:rsidRPr="006132CC">
        <w:t>Para construir</w:t>
      </w:r>
      <w:r>
        <w:t xml:space="preserve"> o modelo de otimização de Markowitz com dois ativos de risco,</w:t>
      </w:r>
      <w:r w:rsidR="00213AD3">
        <w:t xml:space="preserve"> </w:t>
      </w:r>
      <w:r w:rsidR="009D6BCF">
        <w:t>A1</w:t>
      </w:r>
      <w:r>
        <w:t xml:space="preserve"> e </w:t>
      </w:r>
      <w:r w:rsidR="009D6BCF">
        <w:t>A2</w:t>
      </w:r>
      <w:r>
        <w:t>,</w:t>
      </w:r>
      <w:r w:rsidR="00377881">
        <w:t xml:space="preserve"> inicialmente,</w:t>
      </w:r>
      <w:r>
        <w:t xml:space="preserve"> foram criad</w:t>
      </w:r>
      <w:r w:rsidR="00377881">
        <w:t>os</w:t>
      </w:r>
      <w:r>
        <w:t xml:space="preserve"> diferentes </w:t>
      </w:r>
      <w:r w:rsidR="00377881">
        <w:t xml:space="preserve">pesos entre </w:t>
      </w:r>
      <w:r w:rsidR="00213AD3">
        <w:t>os ativos</w:t>
      </w:r>
      <w:r w:rsidR="00377881">
        <w:t xml:space="preserve">, partido de 100% da parte alocada nos ativos de risco </w:t>
      </w:r>
      <w:r w:rsidR="008C11B0">
        <w:t>alocada em</w:t>
      </w:r>
      <w:r w:rsidR="00377881">
        <w:t xml:space="preserve"> A2 e reduzindo esse valor em 0,5 pontos percentuais até chegar em 100% dessa mesma parte alocada em A1</w:t>
      </w:r>
      <w:r w:rsidR="00EB5151">
        <w:t xml:space="preserve">. </w:t>
      </w:r>
      <w:r w:rsidR="008C11B0">
        <w:t xml:space="preserve">Depois disso, calculou-se a variância e o retorno esperado de cada combinação de carteira para </w:t>
      </w:r>
      <w:r w:rsidR="00A34A48">
        <w:t>obter os pontos do gráfico da fronteira eficiente. Dentre essas combinações, a que apresentou menor variância foi a carteira em que 35,5% da parte alocada nos ativos de risco estava alocada em A1 e 64,50% dessa parte estava alocada em A2.</w:t>
      </w:r>
      <w:r w:rsidR="0074706E">
        <w:t xml:space="preserve"> O retorno obtido para essa carteira foi de 18,84%, a variância foi de 4,64%, o desvio padrão foi de 21,53% e o IS foi de 26,02%.</w:t>
      </w:r>
      <w:r w:rsidR="007168E5">
        <w:t xml:space="preserve"> </w:t>
      </w:r>
    </w:p>
    <w:p w14:paraId="4B0C00CF" w14:textId="115230E7" w:rsidR="00CF0466" w:rsidRDefault="007168E5" w:rsidP="006132CC">
      <w:pPr>
        <w:pStyle w:val="Corpo-ABNT"/>
      </w:pPr>
      <w:r>
        <w:t>Utilizando um retorno mínimo e</w:t>
      </w:r>
      <w:r w:rsidR="002F363B">
        <w:t xml:space="preserve">xigido de 13,24% (retorno esperado de A3), obteve-se um peso de 35,7% para A1 e de 64,3% para A2, tanto pela ferramenta </w:t>
      </w:r>
      <w:r w:rsidR="002F363B" w:rsidRPr="002F363B">
        <w:rPr>
          <w:i/>
          <w:iCs/>
        </w:rPr>
        <w:t>Solver</w:t>
      </w:r>
      <w:r w:rsidR="002F363B">
        <w:rPr>
          <w:i/>
          <w:iCs/>
        </w:rPr>
        <w:t xml:space="preserve"> </w:t>
      </w:r>
      <w:r w:rsidR="002F363B">
        <w:t xml:space="preserve">do </w:t>
      </w:r>
      <w:r w:rsidR="002F363B" w:rsidRPr="002F363B">
        <w:rPr>
          <w:i/>
          <w:iCs/>
        </w:rPr>
        <w:t>Excel</w:t>
      </w:r>
      <w:r w:rsidR="002F363B">
        <w:t xml:space="preserve"> quanto pela minimização da equação de variância em relação a um dos pesos. Dessa forma, o retorno da carteira de mínima variância foi de 18,86%</w:t>
      </w:r>
      <w:r w:rsidR="000B349E">
        <w:t>, a variância e o desvio padrão se mantiveram os mesmos em comparação com a combinação de carteira de menor variância</w:t>
      </w:r>
      <w:r w:rsidR="001857D3">
        <w:t xml:space="preserve"> encontrada anteriormente</w:t>
      </w:r>
      <w:r w:rsidR="000B349E">
        <w:t>, considerando duas casas decimais, e o IS foi de 26,07%.</w:t>
      </w:r>
    </w:p>
    <w:p w14:paraId="192ABFE6" w14:textId="4FB99B4D" w:rsidR="00B32747" w:rsidRDefault="000E2F33" w:rsidP="006132CC">
      <w:pPr>
        <w:pStyle w:val="Corpo-ABNT"/>
      </w:pPr>
      <w:r>
        <w:t>Substituindo a equação do retorno e da variância da carteira</w:t>
      </w:r>
      <w:r w:rsidR="00B32747">
        <w:t xml:space="preserve"> </w:t>
      </w:r>
      <w:r>
        <w:t xml:space="preserve">nas variáveis da equação do IS e derivando a equação obtida em relação a um dos pesos dos ativos, obteve-se a carteira de risco ótima, com um peso de 47,83% </w:t>
      </w:r>
      <w:r w:rsidR="002B5CCF">
        <w:t>para</w:t>
      </w:r>
      <w:r>
        <w:t xml:space="preserve"> A1 e um peso de 52,17% </w:t>
      </w:r>
      <w:r w:rsidR="002B5CCF">
        <w:t>para</w:t>
      </w:r>
      <w:r>
        <w:t xml:space="preserve"> A2. O retorno</w:t>
      </w:r>
      <w:r w:rsidR="00311981">
        <w:t xml:space="preserve"> esperado</w:t>
      </w:r>
      <w:r>
        <w:t xml:space="preserve"> dessa carteira resultou em 19,52%, a variância em 5,19%, o desvio padrão em 22,77% e o IS em 27,57%.</w:t>
      </w:r>
      <w:r w:rsidR="00ED2B21">
        <w:t xml:space="preserve"> </w:t>
      </w:r>
      <w:r w:rsidR="00165BB7">
        <w:t>Os valores obtidos podem ser visualizados abaixo na Tabela 7.</w:t>
      </w:r>
    </w:p>
    <w:p w14:paraId="697A4DBE" w14:textId="140573F4" w:rsidR="00165BB7" w:rsidRDefault="00165BB7" w:rsidP="00165BB7">
      <w:pPr>
        <w:pStyle w:val="Corpo-ABNT"/>
        <w:ind w:firstLine="0"/>
      </w:pPr>
    </w:p>
    <w:p w14:paraId="2147184E" w14:textId="55EBF6F5" w:rsidR="00165BB7" w:rsidRDefault="00165BB7" w:rsidP="00B53619">
      <w:pPr>
        <w:pStyle w:val="Legenda-ABNT"/>
      </w:pPr>
      <w:r>
        <w:t xml:space="preserve">Tabela </w:t>
      </w:r>
      <w:fldSimple w:instr=" SEQ Tabela \* ARABIC ">
        <w:r w:rsidR="00E54E9A">
          <w:rPr>
            <w:noProof/>
          </w:rPr>
          <w:t>7</w:t>
        </w:r>
      </w:fldSimple>
      <w:r>
        <w:t xml:space="preserve"> - Carteira de Mínima Variância e Carteira Ótima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1"/>
        <w:gridCol w:w="972"/>
        <w:gridCol w:w="972"/>
        <w:gridCol w:w="962"/>
        <w:gridCol w:w="1100"/>
        <w:gridCol w:w="1537"/>
        <w:gridCol w:w="1786"/>
      </w:tblGrid>
      <w:tr w:rsidR="00165BB7" w:rsidRPr="00311981" w14:paraId="72BB50F1" w14:textId="77777777" w:rsidTr="00311981">
        <w:trPr>
          <w:trHeight w:val="356"/>
          <w:jc w:val="center"/>
        </w:trPr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AD3C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Carteira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CBFC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Peso A1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5FAE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Peso A2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DF2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Retorno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60F2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Variância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EA32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688A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Índice de Sharpe</w:t>
            </w:r>
          </w:p>
        </w:tc>
      </w:tr>
      <w:tr w:rsidR="00165BB7" w:rsidRPr="00165BB7" w14:paraId="4DAF938C" w14:textId="77777777" w:rsidTr="00311981">
        <w:trPr>
          <w:trHeight w:val="356"/>
          <w:jc w:val="center"/>
        </w:trPr>
        <w:tc>
          <w:tcPr>
            <w:tcW w:w="17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3373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Menor Variância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8D08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35,50%</w:t>
            </w: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45F9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64,50%</w:t>
            </w:r>
          </w:p>
        </w:tc>
        <w:tc>
          <w:tcPr>
            <w:tcW w:w="9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21AC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18,84%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9082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4,64%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C0F0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21,53%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9EBE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26,02%</w:t>
            </w:r>
          </w:p>
        </w:tc>
      </w:tr>
      <w:tr w:rsidR="00165BB7" w:rsidRPr="00165BB7" w14:paraId="33F2C84C" w14:textId="77777777" w:rsidTr="00311981">
        <w:trPr>
          <w:trHeight w:val="356"/>
          <w:jc w:val="center"/>
        </w:trPr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63BC485C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Solver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4930DDD8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35,70%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72BB7AF0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64,30%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1D68305E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18,86%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1143E45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4,64%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0A5B8C7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21,53%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14:paraId="30AE90B9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26,07%</w:t>
            </w:r>
          </w:p>
        </w:tc>
      </w:tr>
      <w:tr w:rsidR="00165BB7" w:rsidRPr="00165BB7" w14:paraId="72FD3938" w14:textId="77777777" w:rsidTr="00311981">
        <w:trPr>
          <w:trHeight w:val="356"/>
          <w:jc w:val="center"/>
        </w:trPr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03FAE334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Derivada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4AEB0254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35,70%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34C53273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64,30%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0C2D28C4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18,86%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B81A984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4,64%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850FD46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21,53%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14:paraId="56115BD7" w14:textId="77777777" w:rsidR="00165BB7" w:rsidRPr="00165BB7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65BB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26,07%</w:t>
            </w:r>
          </w:p>
        </w:tc>
      </w:tr>
      <w:tr w:rsidR="00311981" w:rsidRPr="00311981" w14:paraId="67BE42C3" w14:textId="77777777" w:rsidTr="00311981">
        <w:trPr>
          <w:trHeight w:val="356"/>
          <w:jc w:val="center"/>
        </w:trPr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77890BAE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Carteira Ótima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5F92199B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47,83%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02ED31D8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52,17%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609DD979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19,52%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ACE508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5,19%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DDB27DD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22,77%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14:paraId="3B953FD3" w14:textId="77777777" w:rsidR="00165BB7" w:rsidRPr="00311981" w:rsidRDefault="00165BB7" w:rsidP="00311981">
            <w:pPr>
              <w:spacing w:before="0"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11981">
              <w:rPr>
                <w:rFonts w:eastAsia="Times New Roman" w:cs="Arial"/>
                <w:sz w:val="20"/>
                <w:szCs w:val="20"/>
                <w:lang w:eastAsia="pt-BR"/>
              </w:rPr>
              <w:t>27,57%</w:t>
            </w:r>
          </w:p>
        </w:tc>
      </w:tr>
    </w:tbl>
    <w:p w14:paraId="4FC60C9E" w14:textId="0E08A89C" w:rsidR="0049347A" w:rsidRDefault="00165BB7" w:rsidP="00BC698E">
      <w:pPr>
        <w:pStyle w:val="Corpo-ABNT"/>
        <w:ind w:firstLine="0"/>
        <w:rPr>
          <w:sz w:val="20"/>
          <w:szCs w:val="18"/>
        </w:rPr>
      </w:pPr>
      <w:r w:rsidRPr="00165BB7">
        <w:rPr>
          <w:sz w:val="20"/>
          <w:szCs w:val="18"/>
        </w:rPr>
        <w:t>Fonte: elaboração própria.</w:t>
      </w:r>
      <w:r w:rsidR="0049347A">
        <w:rPr>
          <w:sz w:val="20"/>
          <w:szCs w:val="18"/>
        </w:rPr>
        <w:br w:type="page"/>
      </w:r>
    </w:p>
    <w:p w14:paraId="505A9F54" w14:textId="539ABF9E" w:rsidR="008162CB" w:rsidRDefault="00BC698E" w:rsidP="008162CB">
      <w:pPr>
        <w:pStyle w:val="Corpo-ABNT"/>
      </w:pPr>
      <w:r w:rsidRPr="00F2124C">
        <w:lastRenderedPageBreak/>
        <w:t>A partir do retorno esperado da carteira ótima, foi possível criar a reta CAL com alocações no</w:t>
      </w:r>
      <w:r w:rsidR="007445EB" w:rsidRPr="00F2124C">
        <w:t>s</w:t>
      </w:r>
      <w:r w:rsidRPr="00F2124C">
        <w:t xml:space="preserve"> ativo</w:t>
      </w:r>
      <w:r w:rsidR="007445EB" w:rsidRPr="00F2124C">
        <w:t>s</w:t>
      </w:r>
      <w:r w:rsidRPr="00F2124C">
        <w:t xml:space="preserve"> de risco de 0% a 200%</w:t>
      </w:r>
      <w:r w:rsidR="007445EB" w:rsidRPr="00F2124C">
        <w:t>, alterando essas alocações em 0,5 pontos percentuais. Quando 100% do capital disponível é alocado nos ativos de risco, o retorno</w:t>
      </w:r>
      <w:r w:rsidR="00E25015" w:rsidRPr="00F2124C">
        <w:t xml:space="preserve"> esperado</w:t>
      </w:r>
      <w:r w:rsidR="007445EB" w:rsidRPr="00F2124C">
        <w:t xml:space="preserve"> </w:t>
      </w:r>
      <w:r w:rsidR="00E25015" w:rsidRPr="00F2124C">
        <w:t>e</w:t>
      </w:r>
      <w:r w:rsidR="007445EB" w:rsidRPr="00F2124C">
        <w:t xml:space="preserve"> o risco da carteira </w:t>
      </w:r>
      <w:r w:rsidR="00E25015" w:rsidRPr="00F2124C">
        <w:t>são</w:t>
      </w:r>
      <w:r w:rsidR="007445EB" w:rsidRPr="00F2124C">
        <w:t xml:space="preserve"> equivalente</w:t>
      </w:r>
      <w:r w:rsidR="00E25015" w:rsidRPr="00F2124C">
        <w:t>s</w:t>
      </w:r>
      <w:r w:rsidR="007445EB" w:rsidRPr="00F2124C">
        <w:t xml:space="preserve"> ao retorno</w:t>
      </w:r>
      <w:r w:rsidR="00E25015" w:rsidRPr="00F2124C">
        <w:t xml:space="preserve"> esperado</w:t>
      </w:r>
      <w:r w:rsidR="007445EB" w:rsidRPr="00F2124C">
        <w:t xml:space="preserve"> e ao risco da carteira ótima. As alocações acima de 100% demonstram </w:t>
      </w:r>
      <w:r w:rsidR="00E25015" w:rsidRPr="00F2124C">
        <w:t>quais seriam as</w:t>
      </w:r>
      <w:r w:rsidR="007445EB" w:rsidRPr="00F2124C">
        <w:t xml:space="preserve"> combinações de risco e retorno</w:t>
      </w:r>
      <w:r w:rsidR="00E25015" w:rsidRPr="00F2124C">
        <w:t xml:space="preserve"> esperado dessa carteira caso um capital maior do que o disponível fosse aplicado nos ativos em análise.</w:t>
      </w:r>
      <w:r w:rsidR="00F2124C">
        <w:t xml:space="preserve"> No Gráfico 3 a seguir, é apresentada a fronteira eficiente das carteiras com </w:t>
      </w:r>
      <w:r w:rsidR="0009732B">
        <w:t>pesos diferentes, conforme citado anteriormente, e a reta CAL.</w:t>
      </w:r>
      <w:r w:rsidR="00A5267E">
        <w:t xml:space="preserve"> Ressalta-se que a reta chega mais próxima de tangenciar a fronteira no ponto em que o peso em A1 é 48% e o peso em A2 é 52%. Essa combinação de pesos dá um retorno de 19,53% e um desvio padrão ou risco de 22,81%</w:t>
      </w:r>
      <w:r w:rsidR="002119EC">
        <w:t xml:space="preserve">, valores muito próximos daqueles obtidos para a carteira ótima. No entanto, como as combinações de pesos </w:t>
      </w:r>
      <w:r w:rsidR="008162CB">
        <w:t>definidas</w:t>
      </w:r>
      <w:r w:rsidR="002119EC">
        <w:t xml:space="preserve"> são números discretos, a fronteira eficiente não atinge </w:t>
      </w:r>
      <w:r w:rsidR="00394600">
        <w:t xml:space="preserve">exatamente </w:t>
      </w:r>
      <w:r w:rsidR="002119EC">
        <w:t>os valores da carteira ótima.</w:t>
      </w:r>
    </w:p>
    <w:p w14:paraId="69BB1347" w14:textId="12BCB4E2" w:rsidR="008162CB" w:rsidRDefault="008162CB" w:rsidP="008162CB">
      <w:pPr>
        <w:pStyle w:val="Corpo-ABNT"/>
        <w:ind w:firstLine="0"/>
      </w:pPr>
    </w:p>
    <w:p w14:paraId="3C06FC51" w14:textId="2EBDF39B" w:rsidR="008162CB" w:rsidRDefault="008162CB" w:rsidP="00B53619">
      <w:pPr>
        <w:pStyle w:val="Legenda-ABNT"/>
      </w:pPr>
      <w:r>
        <w:t xml:space="preserve">Gráfico </w:t>
      </w:r>
      <w:fldSimple w:instr=" SEQ Gráfico \* ARABIC ">
        <w:r>
          <w:rPr>
            <w:noProof/>
          </w:rPr>
          <w:t>3</w:t>
        </w:r>
      </w:fldSimple>
      <w:r>
        <w:t xml:space="preserve"> - Reta CAL e Fronteira Eficiente</w:t>
      </w:r>
    </w:p>
    <w:p w14:paraId="6C73F593" w14:textId="39F05F49" w:rsidR="008162CB" w:rsidRDefault="00631B9A" w:rsidP="008162CB">
      <w:pPr>
        <w:pStyle w:val="Corpo-ABNT"/>
        <w:ind w:firstLine="0"/>
        <w:jc w:val="center"/>
      </w:pPr>
      <w:r>
        <w:rPr>
          <w:noProof/>
        </w:rPr>
        <w:drawing>
          <wp:inline distT="0" distB="0" distL="0" distR="0" wp14:anchorId="2469FF26" wp14:editId="3E92780C">
            <wp:extent cx="5040000" cy="2686276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86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E3F8B" w14:textId="0B540429" w:rsidR="008162CB" w:rsidRDefault="008162CB" w:rsidP="008162CB">
      <w:pPr>
        <w:pStyle w:val="Corpo-ABNT"/>
        <w:ind w:firstLine="0"/>
        <w:rPr>
          <w:sz w:val="20"/>
          <w:szCs w:val="18"/>
        </w:rPr>
      </w:pPr>
      <w:r w:rsidRPr="008162CB">
        <w:rPr>
          <w:sz w:val="20"/>
          <w:szCs w:val="18"/>
        </w:rPr>
        <w:t>Fonte: elaboração própria.</w:t>
      </w:r>
    </w:p>
    <w:p w14:paraId="31304614" w14:textId="23FD350D" w:rsidR="002146EC" w:rsidRPr="00631B9A" w:rsidRDefault="002146EC" w:rsidP="00631B9A">
      <w:pPr>
        <w:pStyle w:val="Corpo-ABNT"/>
      </w:pPr>
    </w:p>
    <w:p w14:paraId="75135D44" w14:textId="5BCAD6B7" w:rsidR="005073B1" w:rsidRDefault="002146EC" w:rsidP="002146EC">
      <w:pPr>
        <w:pStyle w:val="Corpo-ABNT"/>
      </w:pPr>
      <w:r>
        <w:t xml:space="preserve">Por fim, </w:t>
      </w:r>
      <w:r w:rsidR="00A86A3C">
        <w:t xml:space="preserve">maximizando a equação de utilidade, incluindo na equação o retorno </w:t>
      </w:r>
      <w:r w:rsidR="005073B1">
        <w:t>mínimo de 13,24%, um índice de aversão a risco de quatro unidades</w:t>
      </w:r>
      <w:r w:rsidR="00631B9A">
        <w:t xml:space="preserve"> e</w:t>
      </w:r>
      <w:r w:rsidR="005073B1">
        <w:t xml:space="preserve"> a variância e o retorno esperado da carteira ótima,</w:t>
      </w:r>
      <w:r w:rsidR="00A86A3C">
        <w:t xml:space="preserve"> </w:t>
      </w:r>
      <w:r w:rsidR="00631B9A">
        <w:t xml:space="preserve">encontrou-se </w:t>
      </w:r>
      <w:r w:rsidR="00BB3B7D">
        <w:t>um</w:t>
      </w:r>
      <w:r w:rsidR="00631B9A">
        <w:t>a</w:t>
      </w:r>
      <w:r w:rsidR="00A86A3C">
        <w:t xml:space="preserve"> </w:t>
      </w:r>
      <w:r w:rsidR="005073B1">
        <w:t>alocação</w:t>
      </w:r>
      <w:r w:rsidR="00BB3B7D">
        <w:t xml:space="preserve"> de 30,27%</w:t>
      </w:r>
      <w:r w:rsidR="005073B1">
        <w:t xml:space="preserve"> </w:t>
      </w:r>
      <w:r w:rsidR="00BB3B7D">
        <w:t xml:space="preserve">nos ativos de risco </w:t>
      </w:r>
      <w:r w:rsidR="005073B1">
        <w:t xml:space="preserve">para a </w:t>
      </w:r>
      <w:r w:rsidR="00A86A3C">
        <w:t>carteira ótima completa</w:t>
      </w:r>
      <w:r w:rsidR="005073B1">
        <w:t>. O retorno esperado e o desvio padrão dessa carteira resultaram em 15,14% e 6,89%, respectivamente.</w:t>
      </w:r>
      <w:r w:rsidR="00E54E9A">
        <w:t xml:space="preserve"> Esses </w:t>
      </w:r>
      <w:r w:rsidR="00BB3B7D">
        <w:t>valores</w:t>
      </w:r>
      <w:r w:rsidR="00E54E9A">
        <w:t xml:space="preserve"> podem ser observados abaixo na Tabela 8.</w:t>
      </w:r>
    </w:p>
    <w:p w14:paraId="705D470C" w14:textId="457B7ACA" w:rsidR="00E54E9A" w:rsidRDefault="00E54E9A" w:rsidP="00E54E9A">
      <w:pPr>
        <w:pStyle w:val="Corpo-ABNT"/>
        <w:ind w:firstLine="0"/>
      </w:pPr>
    </w:p>
    <w:p w14:paraId="3FC7273A" w14:textId="729A9C64" w:rsidR="00E54E9A" w:rsidRDefault="00E54E9A" w:rsidP="00B53619">
      <w:pPr>
        <w:pStyle w:val="Legenda-ABNT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Carteira </w:t>
      </w:r>
      <w:r w:rsidR="00BB3B7D">
        <w:t>Ó</w:t>
      </w:r>
      <w:r>
        <w:t>tima Completa</w:t>
      </w:r>
    </w:p>
    <w:tbl>
      <w:tblPr>
        <w:tblW w:w="2609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1107"/>
      </w:tblGrid>
      <w:tr w:rsidR="00BB3B7D" w:rsidRPr="00E54E9A" w14:paraId="4CEAD820" w14:textId="77777777" w:rsidTr="00BB3B7D">
        <w:trPr>
          <w:trHeight w:val="340"/>
          <w:jc w:val="center"/>
        </w:trPr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20BD8F" w14:textId="303D774C" w:rsidR="00BB3B7D" w:rsidRPr="00BB3B7D" w:rsidRDefault="00BB3B7D" w:rsidP="00BB3B7D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B3B7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14E6E6" w14:textId="044555E9" w:rsidR="00BB3B7D" w:rsidRPr="00BB3B7D" w:rsidRDefault="00BB3B7D" w:rsidP="00BB3B7D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B3B7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</w:t>
            </w:r>
          </w:p>
        </w:tc>
      </w:tr>
      <w:tr w:rsidR="00E54E9A" w:rsidRPr="00E54E9A" w14:paraId="1C45195B" w14:textId="77777777" w:rsidTr="00BB3B7D">
        <w:trPr>
          <w:trHeight w:val="340"/>
          <w:jc w:val="center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98C8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Retorno Mínimo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0BEB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bookmarkStart w:id="15" w:name="RANGE!M12"/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13,24%</w:t>
            </w:r>
            <w:bookmarkEnd w:id="15"/>
          </w:p>
        </w:tc>
      </w:tr>
      <w:tr w:rsidR="00E54E9A" w:rsidRPr="00E54E9A" w14:paraId="4F10F564" w14:textId="77777777" w:rsidTr="00BB3B7D">
        <w:trPr>
          <w:trHeight w:val="340"/>
          <w:jc w:val="center"/>
        </w:trPr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1EA6983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Aversão a Risco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38DE9BEF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E54E9A" w:rsidRPr="00E54E9A" w14:paraId="27AF105D" w14:textId="77777777" w:rsidTr="00BB3B7D">
        <w:trPr>
          <w:trHeight w:val="340"/>
          <w:jc w:val="center"/>
        </w:trPr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58A2E7CD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Alocação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CA38194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30,27%</w:t>
            </w:r>
          </w:p>
        </w:tc>
      </w:tr>
      <w:tr w:rsidR="00E54E9A" w:rsidRPr="00E54E9A" w14:paraId="634F2AEF" w14:textId="77777777" w:rsidTr="00BB3B7D">
        <w:trPr>
          <w:trHeight w:val="340"/>
          <w:jc w:val="center"/>
        </w:trPr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02139488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Retorno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4435E997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15,14%</w:t>
            </w:r>
          </w:p>
        </w:tc>
      </w:tr>
      <w:tr w:rsidR="00E54E9A" w:rsidRPr="00E54E9A" w14:paraId="3C59E513" w14:textId="77777777" w:rsidTr="00BB3B7D">
        <w:trPr>
          <w:trHeight w:val="340"/>
          <w:jc w:val="center"/>
        </w:trPr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F2F04F0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14:paraId="79DD5D86" w14:textId="77777777" w:rsidR="00E54E9A" w:rsidRPr="00E54E9A" w:rsidRDefault="00E54E9A" w:rsidP="00BB3B7D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E54E9A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6,89%</w:t>
            </w:r>
          </w:p>
        </w:tc>
      </w:tr>
    </w:tbl>
    <w:p w14:paraId="2D2272B9" w14:textId="306EA310" w:rsidR="00E54E9A" w:rsidRPr="00E54E9A" w:rsidRDefault="00E54E9A" w:rsidP="00E54E9A">
      <w:pPr>
        <w:pStyle w:val="Corpo-ABNT"/>
        <w:ind w:firstLine="0"/>
        <w:rPr>
          <w:sz w:val="20"/>
          <w:szCs w:val="18"/>
        </w:rPr>
      </w:pPr>
      <w:r w:rsidRPr="00E54E9A">
        <w:rPr>
          <w:sz w:val="20"/>
          <w:szCs w:val="18"/>
        </w:rPr>
        <w:t>Fonte: elaboração própria.</w:t>
      </w:r>
    </w:p>
    <w:sectPr w:rsidR="00E54E9A" w:rsidRPr="00E54E9A" w:rsidSect="000A0D0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CD9"/>
    <w:multiLevelType w:val="hybridMultilevel"/>
    <w:tmpl w:val="D340B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1C51"/>
    <w:multiLevelType w:val="multilevel"/>
    <w:tmpl w:val="F72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475F"/>
    <w:multiLevelType w:val="hybridMultilevel"/>
    <w:tmpl w:val="6D806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1D7"/>
    <w:multiLevelType w:val="hybridMultilevel"/>
    <w:tmpl w:val="5D68F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7581"/>
    <w:multiLevelType w:val="hybridMultilevel"/>
    <w:tmpl w:val="9FC4C2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53E0"/>
    <w:multiLevelType w:val="hybridMultilevel"/>
    <w:tmpl w:val="9918A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7298B"/>
    <w:multiLevelType w:val="hybridMultilevel"/>
    <w:tmpl w:val="E49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11736">
    <w:abstractNumId w:val="6"/>
  </w:num>
  <w:num w:numId="2" w16cid:durableId="1799566519">
    <w:abstractNumId w:val="1"/>
  </w:num>
  <w:num w:numId="3" w16cid:durableId="1499687934">
    <w:abstractNumId w:val="2"/>
  </w:num>
  <w:num w:numId="4" w16cid:durableId="1568108187">
    <w:abstractNumId w:val="3"/>
  </w:num>
  <w:num w:numId="5" w16cid:durableId="1186862959">
    <w:abstractNumId w:val="4"/>
  </w:num>
  <w:num w:numId="6" w16cid:durableId="531840603">
    <w:abstractNumId w:val="5"/>
  </w:num>
  <w:num w:numId="7" w16cid:durableId="192063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C7"/>
    <w:rsid w:val="00035A3A"/>
    <w:rsid w:val="00036CF7"/>
    <w:rsid w:val="000411D7"/>
    <w:rsid w:val="00047AEE"/>
    <w:rsid w:val="00071456"/>
    <w:rsid w:val="00080A2B"/>
    <w:rsid w:val="00085E62"/>
    <w:rsid w:val="00091447"/>
    <w:rsid w:val="00091F5A"/>
    <w:rsid w:val="00093654"/>
    <w:rsid w:val="0009732B"/>
    <w:rsid w:val="000A0D0C"/>
    <w:rsid w:val="000A16B0"/>
    <w:rsid w:val="000A3654"/>
    <w:rsid w:val="000B2EBD"/>
    <w:rsid w:val="000B349E"/>
    <w:rsid w:val="000B3E3D"/>
    <w:rsid w:val="000C31B8"/>
    <w:rsid w:val="000C743D"/>
    <w:rsid w:val="000D7450"/>
    <w:rsid w:val="000E2F33"/>
    <w:rsid w:val="000F6F48"/>
    <w:rsid w:val="00102BFA"/>
    <w:rsid w:val="001119DC"/>
    <w:rsid w:val="00132F1A"/>
    <w:rsid w:val="001401EF"/>
    <w:rsid w:val="001570BC"/>
    <w:rsid w:val="00165BB7"/>
    <w:rsid w:val="001751C4"/>
    <w:rsid w:val="00183ED8"/>
    <w:rsid w:val="001857D3"/>
    <w:rsid w:val="00190EA5"/>
    <w:rsid w:val="0019729F"/>
    <w:rsid w:val="001A0701"/>
    <w:rsid w:val="001A4A1D"/>
    <w:rsid w:val="001B1DA8"/>
    <w:rsid w:val="001B2BE5"/>
    <w:rsid w:val="001B53A1"/>
    <w:rsid w:val="001D673B"/>
    <w:rsid w:val="001E42ED"/>
    <w:rsid w:val="001E5808"/>
    <w:rsid w:val="001E61EB"/>
    <w:rsid w:val="001E7DD2"/>
    <w:rsid w:val="001F3806"/>
    <w:rsid w:val="001F68B0"/>
    <w:rsid w:val="00205777"/>
    <w:rsid w:val="002119EC"/>
    <w:rsid w:val="00213AD3"/>
    <w:rsid w:val="002146EC"/>
    <w:rsid w:val="00222620"/>
    <w:rsid w:val="00224645"/>
    <w:rsid w:val="002511C7"/>
    <w:rsid w:val="0025201E"/>
    <w:rsid w:val="002575A3"/>
    <w:rsid w:val="00263789"/>
    <w:rsid w:val="00275D1F"/>
    <w:rsid w:val="00277029"/>
    <w:rsid w:val="002A39A6"/>
    <w:rsid w:val="002A4731"/>
    <w:rsid w:val="002A7315"/>
    <w:rsid w:val="002A741B"/>
    <w:rsid w:val="002B5CCF"/>
    <w:rsid w:val="002C7CB0"/>
    <w:rsid w:val="002D1553"/>
    <w:rsid w:val="002D7EBD"/>
    <w:rsid w:val="002E1D59"/>
    <w:rsid w:val="002E7230"/>
    <w:rsid w:val="002E7B99"/>
    <w:rsid w:val="002F363B"/>
    <w:rsid w:val="002F4E17"/>
    <w:rsid w:val="003001D5"/>
    <w:rsid w:val="0030150D"/>
    <w:rsid w:val="00302005"/>
    <w:rsid w:val="003054F5"/>
    <w:rsid w:val="0030745C"/>
    <w:rsid w:val="00311981"/>
    <w:rsid w:val="003158CF"/>
    <w:rsid w:val="00326520"/>
    <w:rsid w:val="00336377"/>
    <w:rsid w:val="0033669F"/>
    <w:rsid w:val="00344B0B"/>
    <w:rsid w:val="00350077"/>
    <w:rsid w:val="003539F4"/>
    <w:rsid w:val="0035415D"/>
    <w:rsid w:val="00356862"/>
    <w:rsid w:val="00364AC5"/>
    <w:rsid w:val="00377881"/>
    <w:rsid w:val="00382A4E"/>
    <w:rsid w:val="00394600"/>
    <w:rsid w:val="00396A36"/>
    <w:rsid w:val="003A631D"/>
    <w:rsid w:val="003A6DB7"/>
    <w:rsid w:val="003E0924"/>
    <w:rsid w:val="003F1FF1"/>
    <w:rsid w:val="003F6541"/>
    <w:rsid w:val="00403A91"/>
    <w:rsid w:val="0040640A"/>
    <w:rsid w:val="00442866"/>
    <w:rsid w:val="00451645"/>
    <w:rsid w:val="00454482"/>
    <w:rsid w:val="00480B7A"/>
    <w:rsid w:val="00482471"/>
    <w:rsid w:val="0049347A"/>
    <w:rsid w:val="004A2D76"/>
    <w:rsid w:val="004A5766"/>
    <w:rsid w:val="004C118F"/>
    <w:rsid w:val="004C4D74"/>
    <w:rsid w:val="004C64A1"/>
    <w:rsid w:val="004C65D7"/>
    <w:rsid w:val="004D44A5"/>
    <w:rsid w:val="004D558C"/>
    <w:rsid w:val="004D6388"/>
    <w:rsid w:val="004E00B1"/>
    <w:rsid w:val="004F3F33"/>
    <w:rsid w:val="005027CD"/>
    <w:rsid w:val="005073B1"/>
    <w:rsid w:val="00510AD3"/>
    <w:rsid w:val="00511277"/>
    <w:rsid w:val="005143AB"/>
    <w:rsid w:val="00520394"/>
    <w:rsid w:val="00521E26"/>
    <w:rsid w:val="00521FB2"/>
    <w:rsid w:val="00546354"/>
    <w:rsid w:val="005463FF"/>
    <w:rsid w:val="005538EC"/>
    <w:rsid w:val="00554706"/>
    <w:rsid w:val="005723DE"/>
    <w:rsid w:val="005755E6"/>
    <w:rsid w:val="005768BA"/>
    <w:rsid w:val="00581BBD"/>
    <w:rsid w:val="0058271D"/>
    <w:rsid w:val="00594A1C"/>
    <w:rsid w:val="005967C2"/>
    <w:rsid w:val="00596CAA"/>
    <w:rsid w:val="005B24F5"/>
    <w:rsid w:val="005C7EF9"/>
    <w:rsid w:val="005E1F6B"/>
    <w:rsid w:val="005E5234"/>
    <w:rsid w:val="006132CC"/>
    <w:rsid w:val="00621A55"/>
    <w:rsid w:val="00631B9A"/>
    <w:rsid w:val="00634F74"/>
    <w:rsid w:val="00637246"/>
    <w:rsid w:val="006515F5"/>
    <w:rsid w:val="006563A0"/>
    <w:rsid w:val="00657EA0"/>
    <w:rsid w:val="00660923"/>
    <w:rsid w:val="00662DFE"/>
    <w:rsid w:val="00681B10"/>
    <w:rsid w:val="00693C4A"/>
    <w:rsid w:val="006A0999"/>
    <w:rsid w:val="006A3B17"/>
    <w:rsid w:val="006B4282"/>
    <w:rsid w:val="006B5BBF"/>
    <w:rsid w:val="006C0DFB"/>
    <w:rsid w:val="006D2FC7"/>
    <w:rsid w:val="006F45D4"/>
    <w:rsid w:val="007168E5"/>
    <w:rsid w:val="0073410A"/>
    <w:rsid w:val="007445EB"/>
    <w:rsid w:val="0074706E"/>
    <w:rsid w:val="007512BA"/>
    <w:rsid w:val="0076144C"/>
    <w:rsid w:val="0076217E"/>
    <w:rsid w:val="0078015B"/>
    <w:rsid w:val="007A1FD4"/>
    <w:rsid w:val="007B18EC"/>
    <w:rsid w:val="007B2713"/>
    <w:rsid w:val="007C279A"/>
    <w:rsid w:val="007D1EF3"/>
    <w:rsid w:val="007E0F98"/>
    <w:rsid w:val="007F3687"/>
    <w:rsid w:val="00811044"/>
    <w:rsid w:val="008162CB"/>
    <w:rsid w:val="00832BDE"/>
    <w:rsid w:val="008331BF"/>
    <w:rsid w:val="0083790A"/>
    <w:rsid w:val="00840A73"/>
    <w:rsid w:val="00841691"/>
    <w:rsid w:val="00842C58"/>
    <w:rsid w:val="0086173E"/>
    <w:rsid w:val="0087172B"/>
    <w:rsid w:val="00871AF7"/>
    <w:rsid w:val="00873318"/>
    <w:rsid w:val="00886CE8"/>
    <w:rsid w:val="008A67C0"/>
    <w:rsid w:val="008C11B0"/>
    <w:rsid w:val="008D1D65"/>
    <w:rsid w:val="008D259C"/>
    <w:rsid w:val="008F12C5"/>
    <w:rsid w:val="008F32C1"/>
    <w:rsid w:val="0090157C"/>
    <w:rsid w:val="00901B2D"/>
    <w:rsid w:val="0090396B"/>
    <w:rsid w:val="00906B0B"/>
    <w:rsid w:val="00911036"/>
    <w:rsid w:val="009434DC"/>
    <w:rsid w:val="00947AA3"/>
    <w:rsid w:val="00973333"/>
    <w:rsid w:val="00983407"/>
    <w:rsid w:val="009977C1"/>
    <w:rsid w:val="009A0911"/>
    <w:rsid w:val="009A4372"/>
    <w:rsid w:val="009C674A"/>
    <w:rsid w:val="009D0BDC"/>
    <w:rsid w:val="009D3A46"/>
    <w:rsid w:val="009D6BCF"/>
    <w:rsid w:val="009E290F"/>
    <w:rsid w:val="009F215D"/>
    <w:rsid w:val="00A000A0"/>
    <w:rsid w:val="00A06940"/>
    <w:rsid w:val="00A1033D"/>
    <w:rsid w:val="00A1040F"/>
    <w:rsid w:val="00A237B5"/>
    <w:rsid w:val="00A34A48"/>
    <w:rsid w:val="00A419B6"/>
    <w:rsid w:val="00A458D3"/>
    <w:rsid w:val="00A512CE"/>
    <w:rsid w:val="00A5267E"/>
    <w:rsid w:val="00A530A6"/>
    <w:rsid w:val="00A531DD"/>
    <w:rsid w:val="00A72355"/>
    <w:rsid w:val="00A85820"/>
    <w:rsid w:val="00A86A3C"/>
    <w:rsid w:val="00A94EB9"/>
    <w:rsid w:val="00A9562F"/>
    <w:rsid w:val="00AA358F"/>
    <w:rsid w:val="00AB3E60"/>
    <w:rsid w:val="00AB5FB1"/>
    <w:rsid w:val="00AC3C1B"/>
    <w:rsid w:val="00AD73C3"/>
    <w:rsid w:val="00AE0271"/>
    <w:rsid w:val="00AE11EE"/>
    <w:rsid w:val="00B16B33"/>
    <w:rsid w:val="00B2408A"/>
    <w:rsid w:val="00B24737"/>
    <w:rsid w:val="00B32747"/>
    <w:rsid w:val="00B3500C"/>
    <w:rsid w:val="00B40812"/>
    <w:rsid w:val="00B51CC2"/>
    <w:rsid w:val="00B53619"/>
    <w:rsid w:val="00B536BE"/>
    <w:rsid w:val="00B54848"/>
    <w:rsid w:val="00B85D0C"/>
    <w:rsid w:val="00B927FA"/>
    <w:rsid w:val="00B930F1"/>
    <w:rsid w:val="00BA01BA"/>
    <w:rsid w:val="00BA06C1"/>
    <w:rsid w:val="00BA66E0"/>
    <w:rsid w:val="00BB3B7D"/>
    <w:rsid w:val="00BC698E"/>
    <w:rsid w:val="00BE7727"/>
    <w:rsid w:val="00BF03C8"/>
    <w:rsid w:val="00C54B48"/>
    <w:rsid w:val="00C5697B"/>
    <w:rsid w:val="00C708D6"/>
    <w:rsid w:val="00C720C2"/>
    <w:rsid w:val="00CA09A7"/>
    <w:rsid w:val="00CA2F01"/>
    <w:rsid w:val="00CA71C6"/>
    <w:rsid w:val="00CB2375"/>
    <w:rsid w:val="00CC52E4"/>
    <w:rsid w:val="00CD2250"/>
    <w:rsid w:val="00CD3CB8"/>
    <w:rsid w:val="00CD7F0B"/>
    <w:rsid w:val="00CE66F6"/>
    <w:rsid w:val="00CF0466"/>
    <w:rsid w:val="00CF7850"/>
    <w:rsid w:val="00D225E2"/>
    <w:rsid w:val="00D22BBE"/>
    <w:rsid w:val="00D350BC"/>
    <w:rsid w:val="00D3622D"/>
    <w:rsid w:val="00D63552"/>
    <w:rsid w:val="00D74C8E"/>
    <w:rsid w:val="00D82CE6"/>
    <w:rsid w:val="00D83D2F"/>
    <w:rsid w:val="00DB69B6"/>
    <w:rsid w:val="00DB7A2C"/>
    <w:rsid w:val="00DD5F1F"/>
    <w:rsid w:val="00DD6298"/>
    <w:rsid w:val="00DE3916"/>
    <w:rsid w:val="00DE4151"/>
    <w:rsid w:val="00DF6D60"/>
    <w:rsid w:val="00DF7D80"/>
    <w:rsid w:val="00E1762F"/>
    <w:rsid w:val="00E25015"/>
    <w:rsid w:val="00E25864"/>
    <w:rsid w:val="00E26C11"/>
    <w:rsid w:val="00E275D5"/>
    <w:rsid w:val="00E37CC8"/>
    <w:rsid w:val="00E41248"/>
    <w:rsid w:val="00E54E9A"/>
    <w:rsid w:val="00E67B1E"/>
    <w:rsid w:val="00E72FF0"/>
    <w:rsid w:val="00E801BC"/>
    <w:rsid w:val="00E81E18"/>
    <w:rsid w:val="00EA26C5"/>
    <w:rsid w:val="00EB1C46"/>
    <w:rsid w:val="00EB5151"/>
    <w:rsid w:val="00EC374F"/>
    <w:rsid w:val="00ED2B21"/>
    <w:rsid w:val="00ED2B3C"/>
    <w:rsid w:val="00F14D24"/>
    <w:rsid w:val="00F206B4"/>
    <w:rsid w:val="00F2124C"/>
    <w:rsid w:val="00F22AF8"/>
    <w:rsid w:val="00F37545"/>
    <w:rsid w:val="00F42ED4"/>
    <w:rsid w:val="00F47695"/>
    <w:rsid w:val="00F56073"/>
    <w:rsid w:val="00F6159E"/>
    <w:rsid w:val="00F63A38"/>
    <w:rsid w:val="00F663BB"/>
    <w:rsid w:val="00F85C7F"/>
    <w:rsid w:val="00FA2CBB"/>
    <w:rsid w:val="00FA5442"/>
    <w:rsid w:val="00FC1313"/>
    <w:rsid w:val="00FC23E1"/>
    <w:rsid w:val="00FC25D0"/>
    <w:rsid w:val="00FC3CD3"/>
    <w:rsid w:val="00FD3856"/>
    <w:rsid w:val="00FD47C8"/>
    <w:rsid w:val="00FE14A0"/>
    <w:rsid w:val="00F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8EEB"/>
  <w15:chartTrackingRefBased/>
  <w15:docId w15:val="{E26BD9EE-06DE-4A4B-BDD2-34560B03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C7"/>
    <w:pPr>
      <w:spacing w:before="60" w:after="6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511C7"/>
    <w:pPr>
      <w:keepNext/>
      <w:keepLines/>
      <w:spacing w:before="840" w:after="84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1C7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364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Ttulo1-ABNT">
    <w:name w:val="Título1 - ABNT"/>
    <w:basedOn w:val="Ttulo1"/>
    <w:next w:val="Corpo-ABNT"/>
    <w:link w:val="Ttulo1-ABNTChar"/>
    <w:qFormat/>
    <w:rsid w:val="00CF7850"/>
    <w:pPr>
      <w:spacing w:before="0" w:after="0"/>
    </w:pPr>
    <w:rPr>
      <w:b/>
      <w:bCs/>
    </w:rPr>
  </w:style>
  <w:style w:type="paragraph" w:customStyle="1" w:styleId="Corpo-ABNT">
    <w:name w:val="Corpo - ABNT"/>
    <w:basedOn w:val="Normal"/>
    <w:link w:val="Corpo-ABNTChar"/>
    <w:qFormat/>
    <w:rsid w:val="00A1033D"/>
    <w:pPr>
      <w:spacing w:before="0" w:after="0"/>
      <w:ind w:firstLine="709"/>
    </w:pPr>
  </w:style>
  <w:style w:type="character" w:customStyle="1" w:styleId="Ttulo1-ABNTChar">
    <w:name w:val="Título1 - ABNT Char"/>
    <w:basedOn w:val="Ttulo1Char"/>
    <w:link w:val="Ttulo1-ABNT"/>
    <w:rsid w:val="00CF7850"/>
    <w:rPr>
      <w:rFonts w:ascii="Arial" w:eastAsiaTheme="majorEastAsia" w:hAnsi="Arial" w:cstheme="majorBidi"/>
      <w:b/>
      <w:bCs/>
      <w:sz w:val="24"/>
      <w:szCs w:val="32"/>
    </w:rPr>
  </w:style>
  <w:style w:type="paragraph" w:customStyle="1" w:styleId="Referncia-ABNT">
    <w:name w:val="Referência - ABNT"/>
    <w:basedOn w:val="Corpo-ABNT"/>
    <w:link w:val="Referncia-ABNTChar"/>
    <w:rsid w:val="002575A3"/>
    <w:pPr>
      <w:ind w:firstLine="0"/>
    </w:pPr>
  </w:style>
  <w:style w:type="character" w:customStyle="1" w:styleId="Corpo-ABNTChar">
    <w:name w:val="Corpo - ABNT Char"/>
    <w:basedOn w:val="Fontepargpadro"/>
    <w:link w:val="Corpo-ABNT"/>
    <w:rsid w:val="00A1033D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0D7450"/>
    <w:rPr>
      <w:color w:val="0563C1" w:themeColor="hyperlink"/>
      <w:u w:val="single"/>
    </w:rPr>
  </w:style>
  <w:style w:type="character" w:customStyle="1" w:styleId="Referncia-ABNTChar">
    <w:name w:val="Referência - ABNT Char"/>
    <w:basedOn w:val="Corpo-ABNTChar"/>
    <w:link w:val="Referncia-ABNT"/>
    <w:rsid w:val="002575A3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0D74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A0D0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C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71AF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-ABNT">
    <w:name w:val="Legenda - ABNT"/>
    <w:basedOn w:val="Legenda"/>
    <w:next w:val="Normal"/>
    <w:link w:val="Legenda-ABNTChar"/>
    <w:qFormat/>
    <w:rsid w:val="00D350BC"/>
    <w:pPr>
      <w:keepNext/>
      <w:spacing w:after="0"/>
      <w:jc w:val="center"/>
    </w:pPr>
    <w:rPr>
      <w:b/>
      <w:i w:val="0"/>
      <w:color w:val="auto"/>
      <w:sz w:val="20"/>
    </w:rPr>
  </w:style>
  <w:style w:type="character" w:customStyle="1" w:styleId="LegendaChar">
    <w:name w:val="Legenda Char"/>
    <w:basedOn w:val="Fontepargpadro"/>
    <w:link w:val="Legenda"/>
    <w:uiPriority w:val="35"/>
    <w:rsid w:val="00D350BC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Legenda-ABNTChar">
    <w:name w:val="Legenda - ABNT Char"/>
    <w:basedOn w:val="LegendaChar"/>
    <w:link w:val="Legenda-ABNT"/>
    <w:rsid w:val="00D350BC"/>
    <w:rPr>
      <w:rFonts w:ascii="Arial" w:hAnsi="Arial"/>
      <w:b/>
      <w:i w:val="0"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5291-BAFE-413C-806E-39623DD5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10</Pages>
  <Words>2174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Fantinel</dc:creator>
  <cp:keywords/>
  <dc:description/>
  <cp:lastModifiedBy>Raoni Fantinel</cp:lastModifiedBy>
  <cp:revision>48</cp:revision>
  <cp:lastPrinted>2022-02-16T15:20:00Z</cp:lastPrinted>
  <dcterms:created xsi:type="dcterms:W3CDTF">2022-02-26T17:55:00Z</dcterms:created>
  <dcterms:modified xsi:type="dcterms:W3CDTF">2022-04-20T01:47:00Z</dcterms:modified>
</cp:coreProperties>
</file>