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*   check existance of ddxtf (could have been dropped in former run)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LV_DDXTF_NAME = 'DDXTF'.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CALL FUNCTION 'DB_EXISTS_TABLE'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EXPORTING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TABNAME = LV_DDXTF_NAME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IMPORTING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SUBRC   = LV_DDXTF_EX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EXCEPTIONS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OTHERS  = 1.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CALL FUNCTION 'DD_GET_NAMETAB'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EXPORTING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TABNAME   = LV_TABNAME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TABLES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X031L_TAB = LT_X031L.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CALL FUNCTION 'DD_DROP_TABLE'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EXPORTING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TABNAME = LV_TABNAME.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CALL FUNCTION 'DD_CREATE_TABLE'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EXPORTING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TABNAME         = LV_TABNAME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TAB_IND_CONTROL = 'A'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KEYFIELDS       = 'X'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IMPORTING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SUBRC           = LV_SUBRC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TABLES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X031L_TAB       = LT_X031L.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COMMIT WORK.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