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B21B6"/>
          <w:sz w:val="72"/>
          <w:szCs w:val="72"/>
        </w:rPr>
        <w:t xml:space="preserve">✦  AURA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891B2"/>
          <w:sz w:val="28"/>
          <w:szCs w:val="28"/>
        </w:rPr>
        <w:t xml:space="preserve">by N7Tech</w:t>
      </w:r>
    </w:p>
    <w:p>
      <w:pPr>
        <w:pBdr>
          <w:bottom w:val="single" w:color="5B21B6" w:sz="6" w:space="4"/>
        </w:pBd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Gestão Financeira Inteligente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Documento de Projeto — MVP+ com Firebase e Inteligência Artificial</w:t>
      </w:r>
    </w:p>
    <w:p>
      <w:pPr>
        <w:spacing w:after="0" w:before="4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Disciplina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Engenharia de Software com 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Produto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Aura — Assistente Financeiro Inteligente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Glassmorfismo + Dark Mode Minimalista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Infraestrutura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Firebase Spark Plan (100% gratuito)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Maio de 2025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Sumário</w:t>
      </w:r>
    </w:p>
    <w:p>
      <w:pPr>
        <w:pBdr>
          <w:bottom w:val="single" w:color="5B21B6" w:sz="6" w:space="4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1.  Visão Geral do Produto — Aura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3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2.  Infraestrutura Firebase — Mapeamento Estratégico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4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3.  Diferenciais Competitivos Implementados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5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891B2"/>
          <w:sz w:val="22"/>
          <w:szCs w:val="22"/>
        </w:rPr>
        <w:t xml:space="preserve">   3.1  AI Insights Engine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5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891B2"/>
          <w:sz w:val="22"/>
          <w:szCs w:val="22"/>
        </w:rPr>
        <w:t xml:space="preserve">   3.2  Smart Receipt Vault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6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891B2"/>
          <w:sz w:val="22"/>
          <w:szCs w:val="22"/>
        </w:rPr>
        <w:t xml:space="preserve">   3.3  One-Click Tax Export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7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0891B2"/>
          <w:sz w:val="22"/>
          <w:szCs w:val="22"/>
        </w:rPr>
        <w:t xml:space="preserve">   3.4  Granular Privacy Mode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8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4.  Reflexão Acadêmica — Questão 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9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5.  Reflexão Acadêmica — Questão B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11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Visão Geral do Produto — Aura</w:t>
      </w:r>
    </w:p>
    <w:p>
      <w:pPr>
        <w:pBdr>
          <w:bottom w:val="single" w:color="5B21B6" w:sz="6" w:space="4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Aura</w:t>
      </w:r>
      <w:r>
        <w:rPr>
          <w:rFonts w:ascii="Arial" w:cs="Arial" w:eastAsia="Arial" w:hAnsi="Arial"/>
          <w:sz w:val="22"/>
          <w:szCs w:val="22"/>
        </w:rPr>
        <w:t xml:space="preserve"> é um ecossistema de gestão financeira pessoal inteligente e intuitivo desenvolvido pela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N7Tech</w:t>
      </w:r>
      <w:r>
        <w:rPr>
          <w:rFonts w:ascii="Arial" w:cs="Arial" w:eastAsia="Arial" w:hAnsi="Arial"/>
          <w:sz w:val="22"/>
          <w:szCs w:val="22"/>
        </w:rPr>
        <w:t xml:space="preserve">. Surgido como evolução de uma prática de engenharia reversa, o produto transcende a referência original ao incorporar recursos de inteligência artificial, proteção de privacidade e automação fiscal — funcionalidades ausentes em ferramentas convencionais do mercado.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design adota o estilo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Glassmorfismo em Dark Mode Minimalista</w:t>
      </w:r>
      <w:r>
        <w:rPr>
          <w:rFonts w:ascii="Arial" w:cs="Arial" w:eastAsia="Arial" w:hAnsi="Arial"/>
          <w:sz w:val="22"/>
          <w:szCs w:val="22"/>
        </w:rPr>
        <w:t xml:space="preserve">: fundos profundos em tons de azul escuro (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#080B14</w:t>
      </w:r>
      <w:r>
        <w:rPr>
          <w:rFonts w:ascii="Arial" w:cs="Arial" w:eastAsia="Arial" w:hAnsi="Arial"/>
          <w:sz w:val="22"/>
          <w:szCs w:val="22"/>
        </w:rPr>
        <w:t xml:space="preserve">), cartões translúcidos com </w:t>
      </w:r>
      <w:r>
        <w:rPr>
          <w:rFonts w:ascii="Courier New" w:cs="Courier New" w:eastAsia="Courier New" w:hAnsi="Courier New"/>
          <w:color w:val="0891B2"/>
          <w:sz w:val="20"/>
          <w:szCs w:val="20"/>
        </w:rPr>
        <w:t xml:space="preserve">backdrop-filter: blur</w:t>
      </w:r>
      <w:r>
        <w:rPr>
          <w:rFonts w:ascii="Arial" w:cs="Arial" w:eastAsia="Arial" w:hAnsi="Arial"/>
          <w:sz w:val="22"/>
          <w:szCs w:val="22"/>
        </w:rPr>
        <w:t xml:space="preserve">, bordas suaves e uma paleta de acentos violeta–ciano que transmite tecnologia premium e reduz a fadiga visual.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3FF" w:sz="1"/>
              <w:left w:val="thick" w:color="5B21B6" w:sz="18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Filosofia do Produto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"Não replicar — superar." O Aura parte da referência existente como fundação arquitetônica e constrói sobre ela uma proposta de valor inédita: a convergência entre finanças pessoais, inteligência artificial preditiva e privacidade granular em um único produto acessível e gratuito na infraestrutura.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Infraestrutura Firebase — Mapeamento Estratégico</w:t>
      </w:r>
    </w:p>
    <w:p>
      <w:pPr>
        <w:pBdr>
          <w:bottom w:val="single" w:color="0891B2" w:sz="6" w:space="4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Aura utiliza exclusivamente o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Firebase Spark Plan (gratuito)</w:t>
      </w:r>
      <w:r>
        <w:rPr>
          <w:rFonts w:ascii="Arial" w:cs="Arial" w:eastAsia="Arial" w:hAnsi="Arial"/>
          <w:sz w:val="22"/>
          <w:szCs w:val="22"/>
        </w:rPr>
        <w:t xml:space="preserve"> como infraestrutura, garantindo escalabilidade sem custos iniciais. A tabela abaixo apresenta o mapeamento estratégico de cada serviço no contexto do produto: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Serviço</w:t>
            </w:r>
          </w:p>
        </w:tc>
        <w:tc>
          <w:tcPr>
            <w:tcW w:type="dxa" w:w="36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oferece (Grátis)</w:t>
            </w:r>
          </w:p>
        </w:tc>
        <w:tc>
          <w:tcPr>
            <w:tcW w:type="dxa" w:w="4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 Estratégico no Aura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Login seguro com Google e e-mail/senha; até 50k usuários ativos/mês.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Garante ambiente financeiro isolado por usuário; base para salvar histórico e preferências.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Banco NoSQL em tempo real; 1 GB de armazenamento e 50k leituras/dia.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Armazena coleções de usuários, transações e metas; alimenta gráficos em tempo real.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 GB de armazenamento de arquivos binários.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Usado pelo Smart Receipt Vault para guardar imagens de recibos com criptografia AES-256.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Remote Config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Ilimitado — altere configurações sem novo deploy.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Gerencia Feature Flags para ativar/desativar AI Insights por grupos de usuários em beta.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Eventos ilimitados e dashboards em tempo real.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Rastreia uso dos 4 diferenciais (ex: toggle_privacy_mode) para priorizar desenvolvimento.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HTTPS automático, SSL gratuito, 10 GB transferência/mês.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Publica o front-end com domínio seguro — essencial para um app financeiro.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Diferenciais Competitivos Implementados</w:t>
      </w:r>
    </w:p>
    <w:p>
      <w:pPr>
        <w:pBdr>
          <w:bottom w:val="single" w:color="059669" w:sz="6" w:space="4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Aura implementa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4 recursos funcionais inéditos</w:t>
      </w:r>
      <w:r>
        <w:rPr>
          <w:rFonts w:ascii="Arial" w:cs="Arial" w:eastAsia="Arial" w:hAnsi="Arial"/>
          <w:sz w:val="22"/>
          <w:szCs w:val="22"/>
        </w:rPr>
        <w:t xml:space="preserve"> em relação à ferramenta de referência. Todos estão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100% operacionais</w:t>
      </w:r>
      <w:r>
        <w:rPr>
          <w:rFonts w:ascii="Arial" w:cs="Arial" w:eastAsia="Arial" w:hAnsi="Arial"/>
          <w:sz w:val="22"/>
          <w:szCs w:val="22"/>
        </w:rPr>
        <w:t xml:space="preserve"> no MVP entregue e agregam valor real ao usuário final, cobrindo as dimensões de inteligência, segurança, compliance fiscal e privacidade.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3.1   ✦  AI Insights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3FF" w:sz="1"/>
              <w:left w:val="thick" w:color="5B21B6" w:sz="18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Diferencial 1 — Inteligência Artificial Preditiva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em tempo real com a </w:t>
            </w: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API Claude (Anthropic)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para análise preditiva do padrão financeiro do usuário. Diferente de planilhas estáticas, o Aura lê o histórico de transações e gera insights categorizados automaticamente.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Como funciona: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usuário clica em "Atualizar Análise" no painel de AI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transações do período são serializadas em JSON e enviadas ao modelo claude-sonnet-4-20250514 via chamada à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modelo retorna 3 insights categorizados em: Alerta (padrão de gasto anormal), Dica (recomendação de economia) e Previsão (projeção de metas).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insight exibe o nível de confiança percentual e o motivo estatístico da análise.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sistema de fallback com dados de demonstração garante funcionamento mesmo sem conexão com a API.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Exemplo de insight gerado: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BEB" w:sz="1"/>
              <w:left w:val="thick" w:color="B45309" w:sz="18"/>
              <w:bottom w:val="single" w:color="FFFBEB" w:sz="1"/>
              <w:right w:val="single" w:color="FFFB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Alerta · Confiança: 91%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"Seus gastos com Lazer cresceram 34% em relação à média dos últimos 3 meses. Neste ritmo, você pode ultrapassar o orçamento previsto em R$ 420 ainda este mês."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Tecnologias: </w:t>
      </w:r>
      <w:r>
        <w:rPr>
          <w:rFonts w:ascii="Arial" w:cs="Arial" w:eastAsia="Arial" w:hAnsi="Arial"/>
          <w:sz w:val="22"/>
          <w:szCs w:val="22"/>
        </w:rPr>
        <w:t xml:space="preserve">Anthropic Claude API · Fetch API · JSON parsing com fallback · Firebase Analytics (rastreamento de cliques)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  🗂  Smart Receipt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CFEFF" w:sz="1"/>
              <w:left w:val="thick" w:color="0891B2" w:sz="18"/>
              <w:bottom w:val="single" w:color="ECFEFF" w:sz="1"/>
              <w:right w:val="single" w:color="ECFEFF" w:sz="1"/>
            </w:tcBorders>
            <w:shd w:fill="ECF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Diferencial 2 — Armazenamento Seguro de Comprovantes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upload e processamento automático de notas fiscais e recibos. O usuário fotografa ou faz upload do comprovante; o sistema extrai os dados via OCR e armazena o arquivo original de forma segura, associando-o à transação correspondente no Firestore.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Fluxo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clica ou arrasta um arquivo (PDF, PNG, JPG) na área de drop do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arquivo é enviado ao Firebase Cloud Storage em um bucket isolado por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serviço de OCR extrai: estabelecimento, data, valor total e itens categorizados.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metadados extraídos são salvos no Firestore, com referência ao arquivo no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comprovante aparece na lista com badge "OCR ✓" e selo de criptografia AES-256.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geração do Tax Export, os recibos são automaticamente associados às transações dedutíveis.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Cada arquivo é armazenado com criptografia AES-256 em repouso. As regras de segurança do Firebase Storage garantem que apenas o proprietário autenticado acesse seus comprovantes. Nenhum dado fiscal trafega sem HTTPS.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Tecnologias: </w:t>
      </w:r>
      <w:r>
        <w:rPr>
          <w:rFonts w:ascii="Arial" w:cs="Arial" w:eastAsia="Arial" w:hAnsi="Arial"/>
          <w:sz w:val="22"/>
          <w:szCs w:val="22"/>
        </w:rPr>
        <w:t xml:space="preserve">Firebase Cloud Storage · Firestore References · OCR Engine · Firebase Security Rules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3.3   ⬇  One-Click Tax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CFDF5" w:sz="1"/>
              <w:left w:val="thick" w:color="059669" w:sz="18"/>
              <w:bottom w:val="single" w:color="ECFDF5" w:sz="1"/>
              <w:right w:val="single" w:color="ECFDF5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Diferencial 3 — Relatório Fiscal Automatizado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Gerador avançado de relatórios que compila automaticamente todas as transações do período em formatos prontos para a declaração de Imposto de Renda — PDF completo e CSV compatível com o programa da Receita Federal (IR 2025).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Funcionalidades do módulo: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Consolida todas as transações do período selecionado (mensal ou anual).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 e destaca automaticamente despesas potencialmente dedutíveis (saúde, educação, dependentes).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 sumário com total de receitas, despesas e saldo líquido por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 em PDF formatado para impressão ou em CSV tabulado compatível com planilhas e o programa do 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Inclui timestamp de geração e assinatura digital do relatório para fins de auditoria.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51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1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Ideal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PDF Completo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formatado com gráficos e categorias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Declaração com contador/advogado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CSV / Excel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tabulados prontos para importação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IR 2025 da Receita Federal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Tecnologias: </w:t>
      </w:r>
      <w:r>
        <w:rPr>
          <w:rFonts w:ascii="Arial" w:cs="Arial" w:eastAsia="Arial" w:hAnsi="Arial"/>
          <w:sz w:val="22"/>
          <w:szCs w:val="22"/>
        </w:rPr>
        <w:t xml:space="preserve">Blob API · FileReader · Firebase Firestore (queries de período) · Smart Receipt Vault (dados OCR integrados)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E123C"/>
          <w:sz w:val="26"/>
          <w:szCs w:val="26"/>
        </w:rPr>
        <w:t xml:space="preserve">3.4   🔒  Granular Privacy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1F2" w:sz="1"/>
              <w:left w:val="thick" w:color="BE123C" w:sz="18"/>
              <w:bottom w:val="single" w:color="FFF1F2" w:sz="1"/>
              <w:right w:val="single" w:color="FFF1F2" w:sz="1"/>
            </w:tcBorders>
            <w:shd w:fill="FFF1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Diferencial 4 — Proteção Visual de Dados Sensíveis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 modo "cofre" ativado por botão que instantaneamente aplica desfoque (blur) em todos os valores numéricos visíveis na tela — saldos, receitas, despesas e metas —, permitindo que o usuário consulte o aplicativo em locais públicos sem expor seu patrimônio.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BE123C"/>
          <w:sz w:val="22"/>
          <w:szCs w:val="22"/>
        </w:rPr>
        <w:t xml:space="preserve">Especificações técnicas: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Ativado por um único clique no botão "Modo Privado" na barra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 CSS filter: blur(8px) via classe dinâmica em todos os elementos marcados com a classe .privacy-target.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 total: KPIs do dashboard (saldo, receitas, despesas), valores nas transações e metas financeiras.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ícone do botão alterna entre 🔓 (desativado) e 🔒 (ativado) com feedback visual imediato.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Uma notificação toast confirma a ativação/desativação do modo para 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estado do modo pode ser persistido no Firebase Remote Config para sincronização entre dispositivos.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Impacto para o usuário: </w:t>
      </w:r>
      <w:r>
        <w:rPr>
          <w:rFonts w:ascii="Arial" w:cs="Arial" w:eastAsia="Arial" w:hAnsi="Arial"/>
          <w:sz w:val="22"/>
          <w:szCs w:val="22"/>
        </w:rPr>
        <w:t xml:space="preserve">Consultar o saldo no transporte público, em reuniões ou com familiares sem constrangimento ou exposição de dados financeiros — uma necessidade real e subatendida pelo mercado de aplicativos de finanças pessoais.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Tecnologias: </w:t>
      </w:r>
      <w:r>
        <w:rPr>
          <w:rFonts w:ascii="Arial" w:cs="Arial" w:eastAsia="Arial" w:hAnsi="Arial"/>
          <w:sz w:val="22"/>
          <w:szCs w:val="22"/>
        </w:rPr>
        <w:t xml:space="preserve">CSS Custom Classes · JavaScript DOM Manipulation · Firebase Remote Config (persistência de preferência) · Firebase Analytics (evento toggle_privacy_mode)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Reflexão Acadêmica — Questão A</w:t>
      </w:r>
    </w:p>
    <w:p>
      <w:pPr>
        <w:pBdr>
          <w:bottom w:val="single" w:color="5B21B6" w:sz="6" w:space="4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A Formação do Desenvolvedor na Era da IA: quais competências são indispensáveis?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Ao realizar a engenharia reversa sem acesso direto ao código-fonte, o desenvolvedor realoca o esforço da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escrita sintática</w:t>
      </w:r>
      <w:r>
        <w:rPr>
          <w:rFonts w:ascii="Arial" w:cs="Arial" w:eastAsia="Arial" w:hAnsi="Arial"/>
          <w:sz w:val="22"/>
          <w:szCs w:val="22"/>
        </w:rPr>
        <w:t xml:space="preserve"> para 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descrição lógica e funcional</w:t>
      </w:r>
      <w:r>
        <w:rPr>
          <w:rFonts w:ascii="Arial" w:cs="Arial" w:eastAsia="Arial" w:hAnsi="Arial"/>
          <w:sz w:val="22"/>
          <w:szCs w:val="22"/>
        </w:rPr>
        <w:t xml:space="preserve">. Esse deslocamento cognitivo não representa uma desvantagem — ao contrário, é a manifestação prática de como o </w:t>
      </w: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Desenvolvimento Assistido por IA</w:t>
      </w:r>
      <w:r>
        <w:rPr>
          <w:rFonts w:ascii="Arial" w:cs="Arial" w:eastAsia="Arial" w:hAnsi="Arial"/>
          <w:sz w:val="22"/>
          <w:szCs w:val="22"/>
        </w:rPr>
        <w:t xml:space="preserve"> está redefinindo o papel do engenheiro de software.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profissional que apenas escreve código sintático torna-se progressivamente substituível. O que permanece insubstituível é a capacidade de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orquestrar, validar e garantir a qualidade</w:t>
      </w:r>
      <w:r>
        <w:rPr>
          <w:rFonts w:ascii="Arial" w:cs="Arial" w:eastAsia="Arial" w:hAnsi="Arial"/>
          <w:sz w:val="22"/>
          <w:szCs w:val="22"/>
        </w:rPr>
        <w:t xml:space="preserve"> do código gerado. Nesse contexto, duas competências tornam-se criticamente indispensáveis: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5B21B6" w:sz="1"/>
              <w:left w:val="thick" w:color="5B21B6" w:sz="16"/>
              <w:bottom w:val="single" w:color="5B21B6" w:sz="1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① Engenharia de Prompt e Decomposição Lógica</w:t>
            </w:r>
          </w:p>
          <w:p>
            <w:pPr>
              <w:spacing w:after="0" w:before="0" w:line="330" w:lineRule="auto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Competência </w:t>
            </w: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técnica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O desenvolvedor precisa saber quebrar um problema de negócio complexo em micro-instruções lógicas perfeitas. A IA escreve o código; o humano orquestra a arquitetura, define as regras de negócio e os fluxos de dados, e valida se a solução é segura, performática e escalável.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
Sem essa habilidade, o profissional produzirá prompts genéricos que resultam em código genérico — funcional na superfície, mas frágil sob carga real.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0891B2" w:sz="1"/>
              <w:left w:val="thick" w:color="0891B2" w:sz="16"/>
              <w:bottom w:val="single" w:color="0891B2" w:sz="1"/>
              <w:right w:val="none" w:color="FFFFFF" w:sz="0"/>
            </w:tcBorders>
            <w:shd w:fill="ECFE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② Pensamento Crítico e Code Review Avançado</w:t>
            </w:r>
          </w:p>
          <w:p>
            <w:pPr>
              <w:spacing w:after="0" w:before="0" w:line="330" w:lineRule="auto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Competência </w:t>
            </w: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comportamental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Assumir a postura de "Auditor de Código". A IA pode gerar soluções que funcionam na superfície, mas que contêm vulnerabilidades de segurança ou complexidade algorítmica inadequada (Big-O notation ruim).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
O profissional deve ter o olhar treinado para validar, refatorar e garantir que a solução atende aos padrões de qualidade — entendendo o porquê de cada linha implementada, não apenas aceitando o output.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Análise aprofundada — Competência 1: Engenharia de Prompt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 engenharia de prompt é muito mais do que formular perguntas bem estruturadas. Trata-se de uma habilidade composta por três camadas: (a)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decomposição do problema</w:t>
      </w:r>
      <w:r>
        <w:rPr>
          <w:rFonts w:ascii="Arial" w:cs="Arial" w:eastAsia="Arial" w:hAnsi="Arial"/>
          <w:sz w:val="22"/>
          <w:szCs w:val="22"/>
        </w:rPr>
        <w:t xml:space="preserve"> — traduzir uma regra de negócio ambígua em requisitos técnicos precisos; (b)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contextualização arquitetural</w:t>
      </w:r>
      <w:r>
        <w:rPr>
          <w:rFonts w:ascii="Arial" w:cs="Arial" w:eastAsia="Arial" w:hAnsi="Arial"/>
          <w:sz w:val="22"/>
          <w:szCs w:val="22"/>
        </w:rPr>
        <w:t xml:space="preserve"> — fornecer ao modelo o contexto necessário para gerar código alinhado à stack e aos padrões do projeto; e (c)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iteração inteligente</w:t>
      </w:r>
      <w:r>
        <w:rPr>
          <w:rFonts w:ascii="Arial" w:cs="Arial" w:eastAsia="Arial" w:hAnsi="Arial"/>
          <w:sz w:val="22"/>
          <w:szCs w:val="22"/>
        </w:rPr>
        <w:t xml:space="preserve"> — saber identificar quando a resposta da IA está no caminho errado e como reorientá-la sem perder o estado da conversa.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Um engenheiro júnior que domina apenas a sintaxe de Python ou JavaScript, mas não consegue descrever com precisão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"um endpoint REST que valida um JWT, consulta o Firestore e retorna dados paginados com tratamento de erros"</w:t>
      </w:r>
      <w:r>
        <w:rPr>
          <w:rFonts w:ascii="Arial" w:cs="Arial" w:eastAsia="Arial" w:hAnsi="Arial"/>
          <w:sz w:val="22"/>
          <w:szCs w:val="22"/>
        </w:rPr>
        <w:t xml:space="preserve">, produzirá código de baixa qualidade independentemente da ferramenta que utilizar.</w:t>
      </w:r>
    </w:p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Análise aprofundada — Competência 2: Pensamento Crítico e Code Review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segundo eixo de competência é de natureza comportamental: a disposição e capacidade de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questionar o output da IA</w:t>
      </w:r>
      <w:r>
        <w:rPr>
          <w:rFonts w:ascii="Arial" w:cs="Arial" w:eastAsia="Arial" w:hAnsi="Arial"/>
          <w:sz w:val="22"/>
          <w:szCs w:val="22"/>
        </w:rPr>
        <w:t xml:space="preserve">. Modelos como o Gemini ou Claude podem gerar código que passa nos testes unitários mas falha em produção sob condições de concorrência, ou que resolve o problema pedido mas ignora edge cases críticos para o domínio financeiro.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profissional que adota a postura de "auditor" — revisando cada geração com o olhar de segurança, performance e manutenibilidade — transforma a IA em um multiplicador de produtividade em vez de um gerador de dívida técnica. Isso requer: conhecimento sólido de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padrões de segurança (OWASP)</w:t>
      </w:r>
      <w:r>
        <w:rPr>
          <w:rFonts w:ascii="Arial" w:cs="Arial" w:eastAsia="Arial" w:hAnsi="Arial"/>
          <w:sz w:val="22"/>
          <w:szCs w:val="22"/>
        </w:rPr>
        <w:t xml:space="preserve">, entendimento de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complexidade algorítmica</w:t>
      </w:r>
      <w:r>
        <w:rPr>
          <w:rFonts w:ascii="Arial" w:cs="Arial" w:eastAsia="Arial" w:hAnsi="Arial"/>
          <w:sz w:val="22"/>
          <w:szCs w:val="22"/>
        </w:rPr>
        <w:t xml:space="preserve"> e sensibilidade para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arquitetura de software</w:t>
      </w:r>
      <w:r>
        <w:rPr>
          <w:rFonts w:ascii="Arial" w:cs="Arial" w:eastAsia="Arial" w:hAnsi="Arial"/>
          <w:sz w:val="22"/>
          <w:szCs w:val="22"/>
        </w:rPr>
        <w:t xml:space="preserve"> — competências que nenhuma ferramenta generativa substitui sozinha.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F3FF" w:sz="1"/>
              <w:left w:val="thick" w:color="5B21B6" w:sz="18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Síntese — O Novo Perfil do Desenvolvedor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desenvolvedor que não se tornará obsoleto não é o que escreve mais código, mas o que </w:t>
            </w: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dirige a IA com precisão e valida o resultado com rigor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O futuro da profissão está em quem combina visão sistêmica, comunicação lógica precisa e senso crítico apurado — não em quem memoriza mais APIs.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Reflexão Acadêmica — Questão B</w:t>
      </w:r>
    </w:p>
    <w:p>
      <w:pPr>
        <w:pBdr>
          <w:bottom w:val="single" w:color="B45309" w:sz="6" w:space="4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Originalidade vs. Plágio Digital: onde está o limite?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Parte 1 — O ponto de ruptura ético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 engenharia reversa assistida por IA é, em sua forma mais nobre, uma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ferramenta de aprendizado e prototipagem</w:t>
      </w:r>
      <w:r>
        <w:rPr>
          <w:rFonts w:ascii="Arial" w:cs="Arial" w:eastAsia="Arial" w:hAnsi="Arial"/>
          <w:sz w:val="22"/>
          <w:szCs w:val="22"/>
        </w:rPr>
        <w:t xml:space="preserve"> — análoga ao ato de um arquiteto estudar um edifício existente para compreender técnicas estruturais e aplicá-las em projetos próprios. O problema emerge quando o produto resultante não é uma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evolução</w:t>
      </w:r>
      <w:r>
        <w:rPr>
          <w:rFonts w:ascii="Arial" w:cs="Arial" w:eastAsia="Arial" w:hAnsi="Arial"/>
          <w:sz w:val="22"/>
          <w:szCs w:val="22"/>
        </w:rPr>
        <w:t xml:space="preserve">, mas uma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cópia com etiqueta trocada.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 linha entre aprendizado e plágio digital é cruzada quando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três condições simultâneas</w:t>
      </w:r>
      <w:r>
        <w:rPr>
          <w:rFonts w:ascii="Arial" w:cs="Arial" w:eastAsia="Arial" w:hAnsi="Arial"/>
          <w:sz w:val="22"/>
          <w:szCs w:val="22"/>
        </w:rPr>
        <w:t xml:space="preserve"> estão presentes: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Identidade clonada: </w:t>
      </w:r>
      <w:r>
        <w:rPr>
          <w:rFonts w:ascii="Arial" w:cs="Arial" w:eastAsia="Arial" w:hAnsi="Arial"/>
          <w:sz w:val="22"/>
          <w:szCs w:val="22"/>
        </w:rPr>
        <w:t xml:space="preserve">A interface, paleta de cores, estrutura de navegação e marca visual do software de referência são replicadas sem transformação significativa.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Ausência de valor aditivo: </w:t>
      </w:r>
      <w:r>
        <w:rPr>
          <w:rFonts w:ascii="Arial" w:cs="Arial" w:eastAsia="Arial" w:hAnsi="Arial"/>
          <w:sz w:val="22"/>
          <w:szCs w:val="22"/>
        </w:rPr>
        <w:t xml:space="preserve">Nenhuma funcionalidade nova, nicho diferente ou proposta de valor inédita é acrescentada ao produto derivado.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Intenção comercial direta: </w:t>
      </w:r>
      <w:r>
        <w:rPr>
          <w:rFonts w:ascii="Arial" w:cs="Arial" w:eastAsia="Arial" w:hAnsi="Arial"/>
          <w:sz w:val="22"/>
          <w:szCs w:val="22"/>
        </w:rPr>
        <w:t xml:space="preserve">O software clonado é lançado no mesmo mercado do original, visando capturar sua base de usuários por similaridade — e não por superioridade técnica ou inovação.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 prática permanece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legítima e eticamente defensável</w:t>
      </w:r>
      <w:r>
        <w:rPr>
          <w:rFonts w:ascii="Arial" w:cs="Arial" w:eastAsia="Arial" w:hAnsi="Arial"/>
          <w:sz w:val="22"/>
          <w:szCs w:val="22"/>
        </w:rPr>
        <w:t xml:space="preserve"> quando a referência serve apenas como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"fundação arquitetônica"</w:t>
      </w:r>
      <w:r>
        <w:rPr>
          <w:rFonts w:ascii="Arial" w:cs="Arial" w:eastAsia="Arial" w:hAnsi="Arial"/>
          <w:sz w:val="22"/>
          <w:szCs w:val="22"/>
        </w:rPr>
        <w:t xml:space="preserve"> — o ponto de partida para compreender padrões de UX, fluxos de dados ou modelos de negócio — sobre a qual se constrói uma proposta de valor genuinamente diferenciada. Assim como a engenharia mecânica aprende com motores existentes para criar novos modelos, a engenharia de software aprende com produtos existentes para criar novas soluções.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Parte 2 — Diretriz ética proposta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BEB" w:sz="1"/>
              <w:left w:val="thick" w:color="B45309" w:sz="18"/>
              <w:bottom w:val="single" w:color="FFFBEB" w:sz="1"/>
              <w:right w:val="single" w:color="FFFB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⚖  O Princípio da Transformação Aditiva</w:t>
            </w:r>
          </w:p>
          <w:p>
            <w:pPr>
              <w:spacing w:after="0" w:before="0" w:line="3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 utilizar ferramentas generativas de IA para dissecar e aprender com um produto existente, o novo software resultante deve, obrigatoriamente: </w:t>
            </w: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(a) transformar a interface central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adotando uma identidade visual autoral — e </w:t>
            </w: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(b) adicionar ao menos 30% de novas funcionalidades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voltadas para um nicho ou dor diferente daquele atendido pela referência.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Esta diretriz opera em dois planos complementares: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B45309" w:sz="1"/>
              <w:left w:val="thick" w:color="B45309" w:sz="16"/>
              <w:bottom w:val="single" w:color="B45309" w:sz="1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Plano do Desenvolvedor Individual</w:t>
            </w:r>
          </w:p>
          <w:p>
            <w:pPr>
              <w:spacing w:after="0" w:before="0" w:line="33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Antes de publicar um produto baseado em engenharia reversa, o desenvolvedor deve documentar: (1) quais elementos foram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aprendidos mas não copiados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(2) quais funcionalidades são </w:t>
            </w: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inéditas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e (3) qual </w:t>
            </w: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nicho ou problema específico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novo produto resolve de forma diferente. Essa documentação funciona como um "diário de inovação" — evidência de transformação aditiva genuína.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5B21B6" w:sz="1"/>
              <w:left w:val="thick" w:color="5B21B6" w:sz="16"/>
              <w:bottom w:val="single" w:color="5B21B6" w:sz="1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Plano da Empresa e Ecossistema</w:t>
            </w:r>
          </w:p>
          <w:p>
            <w:pPr>
              <w:spacing w:after="0" w:before="0" w:line="33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Empresas podem adotar o Princípio como parte de seus </w:t>
            </w: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acordos de licença e políticas de desenvolvimento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Plataformas de IA generativa podem incorporar "selos de originalidade" que verificam, via análise semântica e visual, o grau de divergência entre o produto gerado e referências conhecidas — protegendo a inovação original sem criar barreiras ao avanço das ferramentas generativas.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Aplicação prática no projeto Aura: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projeto é um caso concreto de aplicação do Princípio da Transformação Aditiva. A ferramenta de referência foi utilizada como ponto de partida para compreensão de fluxos financeiros básicos (entrada/saída, categorias, metas). O Aura, contudo, (a) adotou uma identidade visual completamente original — Glassmorfismo em Dark Mode —, inexistente na referência, e (b) implementou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4 funcionalidades inéditas</w:t>
      </w:r>
      <w:r>
        <w:rPr>
          <w:rFonts w:ascii="Arial" w:cs="Arial" w:eastAsia="Arial" w:hAnsi="Arial"/>
          <w:sz w:val="22"/>
          <w:szCs w:val="22"/>
        </w:rPr>
        <w:t xml:space="preserve">: AI Insights Engine, Smart Receipt Vault, One-Click Tax Export e Granular Privacy Mode — nenhuma delas presente no produto de origem.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 resultado é um produto que não compete com a referência por similaridade, mas a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supera por inovação</w:t>
      </w:r>
      <w:r>
        <w:rPr>
          <w:rFonts w:ascii="Arial" w:cs="Arial" w:eastAsia="Arial" w:hAnsi="Arial"/>
          <w:sz w:val="22"/>
          <w:szCs w:val="22"/>
        </w:rPr>
        <w:t xml:space="preserve"> — demonstrando que a IA, quando utilizada com ética e criatividade, é um catalisador para a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diversidade do mercado</w:t>
      </w:r>
      <w:r>
        <w:rPr>
          <w:rFonts w:ascii="Arial" w:cs="Arial" w:eastAsia="Arial" w:hAnsi="Arial"/>
          <w:sz w:val="22"/>
          <w:szCs w:val="22"/>
        </w:rPr>
        <w:t xml:space="preserve">, e não um mecanismo de replicação.</w:t>
      </w:r>
    </w:p>
    <w:p>
      <w:pPr>
        <w:spacing w:after="0" w:before="120"/>
      </w:pPr>
      <w:r>
        <w:t xml:space="preserve"/>
      </w:r>
    </w:p>
    <w:p>
      <w:pPr>
        <w:pBdr>
          <w:bottom w:val="single" w:color="5B21B6" w:sz="6" w:space="4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✦  Aura by N7Tech  ·  Documento de Projeto MVP+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Maio de 2025  ·  Engenharia de Software com Inteligência Artificial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0"/>
    </w:pPr>
    <w:r>
      <w:rPr>
        <w:rFonts w:ascii="Arial" w:cs="Arial" w:eastAsia="Arial" w:hAnsi="Arial"/>
        <w:color w:val="64748B"/>
        <w:sz w:val="18"/>
        <w:szCs w:val="18"/>
      </w:rPr>
      <w:t xml:space="preserve">Documento Acadêmico — Engenharia de Software com IA    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6" w:space="4"/>
      </w:pBdr>
      <w:spacing w:after="0"/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Aura · Gestão Financeira Inteligente    </w:t>
    </w:r>
    <w:r>
      <w:rPr>
        <w:rFonts w:ascii="Arial" w:cs="Arial" w:eastAsia="Arial" w:hAnsi="Arial"/>
        <w:color w:val="64748B"/>
        <w:sz w:val="18"/>
        <w:szCs w:val="18"/>
      </w:rPr>
      <w:t xml:space="preserve">by N7Tech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891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2026-05-16T01:18:37.128Z</dcterms:created>
  <dcterms:modified xsi:type="dcterms:W3CDTF">2026-05-16T01:18:37.128Z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