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5.png" ContentType="image/png"/>
  <Override PartName="/word/media/rId278.png" ContentType="image/png"/>
  <Override PartName="/word/media/rId201.jpg" ContentType="image/jpeg"/>
  <Override PartName="/word/media/rId171.jpg" ContentType="image/jpeg"/>
  <Override PartName="/word/media/rId216.jpg" ContentType="image/jpeg"/>
  <Override PartName="/word/media/rId221.jpg" ContentType="image/jpeg"/>
  <Override PartName="/word/media/rId190.jpg" ContentType="image/jpeg"/>
  <Override PartName="/word/media/rId259.png" ContentType="image/png"/>
  <Override PartName="/word/media/rId271.png" ContentType="image/png"/>
  <Override PartName="/word/media/rId228.png" ContentType="image/png"/>
  <Override PartName="/word/media/rId309.png" ContentType="image/png"/>
  <Override PartName="/word/media/rId129.png" ContentType="image/png"/>
  <Override PartName="/word/media/rId32.jpg" ContentType="image/jpeg"/>
  <Override PartName="/word/media/rId196.jpg" ContentType="image/jpeg"/>
  <Override PartName="/word/media/rId211.jpg" ContentType="image/jpeg"/>
  <Override PartName="/word/media/rId182.jpg" ContentType="image/jpeg"/>
  <Override PartName="/word/media/rId148.png" ContentType="image/png"/>
  <Override PartName="/word/media/rId125.png" ContentType="image/pn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2025-12-31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X300cdd69596dfa1bdecb0b646eecc4ada168638"/>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r>
        <w:t xml:space="preserve"> </w:t>
      </w:r>
      <m:oMath>
        <m:r>
          <m:t>H</m:t>
        </m:r>
        <m:r>
          <m:t>C</m:t>
        </m:r>
        <m:r>
          <m:rPr>
            <m:sty m:val="p"/>
          </m:rPr>
          <m:t>=</m:t>
        </m:r>
        <m:r>
          <m:t>H</m:t>
        </m:r>
        <m:r>
          <m:t>T</m:t>
        </m:r>
        <m:r>
          <m:rPr>
            <m:sty m:val="p"/>
          </m:rPr>
          <m:t>+</m:t>
        </m:r>
        <m:r>
          <m:t>H</m:t>
        </m:r>
        <m:r>
          <m:t>M</m:t>
        </m:r>
        <m:r>
          <m:rPr>
            <m:sty m:val="p"/>
          </m:rPr>
          <m:t>+</m:t>
        </m:r>
        <m:r>
          <m:t>H</m:t>
        </m:r>
        <m:r>
          <m:t>O</m:t>
        </m:r>
      </m:oMath>
      <w:r>
        <w:t xml:space="preserve">.</w:t>
      </w:r>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kpi"/>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66" w:name="ciclo-pdca"/>
    <w:p>
      <w:pPr>
        <w:pStyle w:val="Heading1"/>
      </w:pPr>
      <w:r>
        <w:t xml:space="preserve">8. ciclo-pdca</w:t>
      </w:r>
    </w:p>
    <w:bookmarkEnd w:id="166"/>
    <w:bookmarkStart w:id="167" w:name="plan-crtl-opera"/>
    <w:p>
      <w:pPr>
        <w:pStyle w:val="Heading1"/>
      </w:pPr>
      <w:r>
        <w:t xml:space="preserve">9. plan-crtl-opera</w:t>
      </w:r>
    </w:p>
    <w:bookmarkEnd w:id="167"/>
    <w:bookmarkStart w:id="168" w:name="caixa-ferramentas"/>
    <w:p>
      <w:pPr>
        <w:pStyle w:val="Heading1"/>
      </w:pPr>
      <w:r>
        <w:t xml:space="preserve">10. caixa-ferramentas</w:t>
      </w:r>
    </w:p>
    <w:bookmarkEnd w:id="168"/>
    <w:bookmarkStart w:id="288" w:name="chap-perfuracao"/>
    <w:p>
      <w:pPr>
        <w:pStyle w:val="Heading1"/>
      </w:pPr>
      <w:r>
        <w:t xml:space="preserve">11. Ciclo de Perfuração e Desmonte de Rocha (Drilling and Blasting Cycle)</w:t>
      </w:r>
    </w:p>
    <w:bookmarkStart w:id="227" w:name="fundamentos-técnicos-e-geométricos"/>
    <w:p>
      <w:pPr>
        <w:pStyle w:val="Heading2"/>
      </w:pPr>
      <w:r>
        <w:t xml:space="preserve">11.1 Fundamentos Técnicos e Geométricos</w:t>
      </w:r>
    </w:p>
    <w:bookmarkStart w:id="176"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69"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29"/>
        </w:numPr>
      </w:pPr>
      <w:r>
        <w:rPr>
          <w:b/>
          <w:bCs/>
        </w:rPr>
        <w:t xml:space="preserve">Mecanismo:</w:t>
      </w:r>
      <w:r>
        <w:t xml:space="preserve"> </w:t>
      </w:r>
      <w:r>
        <w:t xml:space="preserve">A potência de percussão é o produto da energia de impacto pela frequência.</w:t>
      </w:r>
    </w:p>
    <w:p>
      <w:pPr>
        <w:numPr>
          <w:ilvl w:val="0"/>
          <w:numId w:val="1129"/>
        </w:numPr>
      </w:pPr>
      <w:r>
        <w:rPr>
          <w:b/>
          <w:bCs/>
        </w:rPr>
        <w:t xml:space="preserve">Vantagem:</w:t>
      </w:r>
      <w:r>
        <w:t xml:space="preserve"> </w:t>
      </w:r>
      <w:r>
        <w:t xml:space="preserve">Alto ROP em rochas rasas e sólidas.</w:t>
      </w:r>
    </w:p>
    <w:p>
      <w:pPr>
        <w:numPr>
          <w:ilvl w:val="0"/>
          <w:numId w:val="1129"/>
        </w:numPr>
      </w:pPr>
      <w:r>
        <w:rPr>
          <w:b/>
          <w:bCs/>
        </w:rPr>
        <w:t xml:space="preserve">Desvantagem:</w:t>
      </w:r>
      <w:r>
        <w:t xml:space="preserve"> </w:t>
      </w:r>
      <w:r>
        <w:t xml:space="preserve">Perda de energia (~5%) em cada junta de haste.</w:t>
      </w:r>
    </w:p>
    <w:bookmarkEnd w:id="169"/>
    <w:bookmarkStart w:id="170"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0"/>
        </w:numPr>
      </w:pPr>
      <w:r>
        <w:rPr>
          <w:b/>
          <w:bCs/>
        </w:rPr>
        <w:t xml:space="preserve">Vantagem:</w:t>
      </w:r>
      <w:r>
        <w:t xml:space="preserve"> </w:t>
      </w:r>
      <w:r>
        <w:t xml:space="preserve">Mantém o ROP constante em furos profundos e garante maior precisão (menor desvio).</w:t>
      </w:r>
    </w:p>
    <w:p>
      <w:pPr>
        <w:numPr>
          <w:ilvl w:val="0"/>
          <w:numId w:val="1130"/>
        </w:numPr>
      </w:pPr>
      <w:r>
        <w:rPr>
          <w:b/>
          <w:bCs/>
        </w:rPr>
        <w:t xml:space="preserve">Desvantagem:</w:t>
      </w:r>
      <w:r>
        <w:t xml:space="preserve"> </w:t>
      </w:r>
      <w:r>
        <w:t xml:space="preserve">Exige maior suporte para afiação de bits e diâmetros mínimos elevados.</w:t>
      </w:r>
    </w:p>
    <w:bookmarkEnd w:id="170"/>
    <w:bookmarkStart w:id="175"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1"/>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1"/>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74" w:name="fig-metodo_perfuracao"/>
          <w:p>
            <w:pPr>
              <w:pStyle w:val="Compact"/>
              <w:jc w:val="center"/>
            </w:pPr>
            <w:r>
              <w:drawing>
                <wp:inline>
                  <wp:extent cx="5334000" cy="2911822"/>
                  <wp:effectExtent b="0" l="0" r="0" t="0"/>
                  <wp:docPr descr="" title="" id="172" name="Picture"/>
                  <a:graphic>
                    <a:graphicData uri="http://schemas.openxmlformats.org/drawingml/2006/picture">
                      <pic:pic>
                        <pic:nvPicPr>
                          <pic:cNvPr descr="chapters/../images/fig-metodo-perfura-gimini.jpg" id="173" name="Picture"/>
                          <pic:cNvPicPr>
                            <a:picLocks noChangeArrowheads="1" noChangeAspect="1"/>
                          </pic:cNvPicPr>
                        </pic:nvPicPr>
                        <pic:blipFill>
                          <a:blip r:embed="rId17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74"/>
        </w:tc>
      </w:tr>
    </w:tbl>
    <w:bookmarkEnd w:id="175"/>
    <w:bookmarkEnd w:id="176"/>
    <w:bookmarkStart w:id="186"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77"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2"/>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77"/>
    <w:bookmarkStart w:id="178"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3"/>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78"/>
    <w:bookmarkStart w:id="179"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4"/>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79"/>
    <w:bookmarkStart w:id="180"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5"/>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80"/>
    <w:bookmarkStart w:id="181"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6"/>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81"/>
    <w:bookmarkStart w:id="185"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7"/>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83" name="Picture"/>
            <a:graphic>
              <a:graphicData uri="http://schemas.openxmlformats.org/drawingml/2006/picture">
                <pic:pic>
                  <pic:nvPicPr>
                    <pic:cNvPr descr="images/fig-parametros-bancad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85"/>
    <w:bookmarkEnd w:id="186"/>
    <w:bookmarkStart w:id="195"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87"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8"/>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8"/>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87"/>
    <w:bookmarkStart w:id="188"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39"/>
        </w:numPr>
      </w:pPr>
      <w:r>
        <w:rPr>
          <w:b/>
          <w:bCs/>
        </w:rPr>
        <w:t xml:space="preserve">Característica Operacional:</w:t>
      </w:r>
      <w:r>
        <w:t xml:space="preserve"> </w:t>
      </w:r>
      <w:r>
        <w:t xml:space="preserve">Assim como na malha quadrada, permite uma perfuração rápida e manobras lineares simples.</w:t>
      </w:r>
    </w:p>
    <w:p>
      <w:pPr>
        <w:numPr>
          <w:ilvl w:val="0"/>
          <w:numId w:val="1139"/>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88"/>
    <w:bookmarkStart w:id="189"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0"/>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0"/>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189"/>
    <w:bookmarkStart w:id="194"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1"/>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1"/>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193" w:name="fig-tipos-malha"/>
          <w:p>
            <w:pPr>
              <w:pStyle w:val="Compact"/>
              <w:jc w:val="center"/>
            </w:pPr>
            <w:r>
              <w:drawing>
                <wp:inline>
                  <wp:extent cx="5334000" cy="2911822"/>
                  <wp:effectExtent b="0" l="0" r="0" t="0"/>
                  <wp:docPr descr="" title="" id="191" name="Picture"/>
                  <a:graphic>
                    <a:graphicData uri="http://schemas.openxmlformats.org/drawingml/2006/picture">
                      <pic:pic>
                        <pic:nvPicPr>
                          <pic:cNvPr descr="chapters/../images/fig-tipos-malha-gimini.jpg" id="192" name="Picture"/>
                          <pic:cNvPicPr>
                            <a:picLocks noChangeArrowheads="1" noChangeAspect="1"/>
                          </pic:cNvPicPr>
                        </pic:nvPicPr>
                        <pic:blipFill>
                          <a:blip r:embed="rId19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193"/>
        </w:tc>
      </w:tr>
    </w:tbl>
    <w:bookmarkEnd w:id="194"/>
    <w:bookmarkEnd w:id="195"/>
    <w:bookmarkStart w:id="210"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00"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2"/>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2"/>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2"/>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2"/>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199" w:name="fig-faces-bits"/>
          <w:p>
            <w:pPr>
              <w:pStyle w:val="Compact"/>
              <w:jc w:val="center"/>
            </w:pPr>
            <w:r>
              <w:drawing>
                <wp:inline>
                  <wp:extent cx="5334000" cy="2911822"/>
                  <wp:effectExtent b="0" l="0" r="0" t="0"/>
                  <wp:docPr descr="" title="" id="197" name="Picture"/>
                  <a:graphic>
                    <a:graphicData uri="http://schemas.openxmlformats.org/drawingml/2006/picture">
                      <pic:pic>
                        <pic:nvPicPr>
                          <pic:cNvPr descr="images/fig-faces-bits.jpg" id="198" name="Picture"/>
                          <pic:cNvPicPr>
                            <a:picLocks noChangeArrowheads="1" noChangeAspect="1"/>
                          </pic:cNvPicPr>
                        </pic:nvPicPr>
                        <pic:blipFill>
                          <a:blip r:embed="rId19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199"/>
        </w:tc>
      </w:tr>
    </w:tbl>
    <w:bookmarkEnd w:id="200"/>
    <w:bookmarkStart w:id="205"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3"/>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3"/>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04" w:name="fig-haste-perfuracao"/>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haste-perfuracao.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04"/>
        </w:tc>
      </w:tr>
    </w:tbl>
    <w:bookmarkEnd w:id="205"/>
    <w:bookmarkStart w:id="209"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rafas\AppData\Local\Programs\Quarto\share\formats\docx\note.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4"/>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4"/>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4"/>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09"/>
    <w:bookmarkEnd w:id="210"/>
    <w:bookmarkStart w:id="226"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15"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14" w:name="fig-malha-perfuracao"/>
          <w:p>
            <w:pPr>
              <w:pStyle w:val="Compact"/>
              <w:jc w:val="center"/>
            </w:pPr>
            <w:r>
              <w:drawing>
                <wp:inline>
                  <wp:extent cx="5334000" cy="2911822"/>
                  <wp:effectExtent b="0" l="0" r="0" t="0"/>
                  <wp:docPr descr="" title="" id="212" name="Picture"/>
                  <a:graphic>
                    <a:graphicData uri="http://schemas.openxmlformats.org/drawingml/2006/picture">
                      <pic:pic>
                        <pic:nvPicPr>
                          <pic:cNvPr descr="images/fig-malha-perfura-gimini.jpg" id="213" name="Picture"/>
                          <pic:cNvPicPr>
                            <a:picLocks noChangeArrowheads="1" noChangeAspect="1"/>
                          </pic:cNvPicPr>
                        </pic:nvPicPr>
                        <pic:blipFill>
                          <a:blip r:embed="rId21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14"/>
        </w:tc>
      </w:tr>
    </w:tbl>
    <w:bookmarkEnd w:id="215"/>
    <w:bookmarkStart w:id="220"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5"/>
        </w:numPr>
      </w:pPr>
      <w:r>
        <w:rPr>
          <w:b/>
          <w:bCs/>
        </w:rPr>
        <w:t xml:space="preserve">Zonas de Tampão:</w:t>
      </w:r>
      <w:r>
        <w:t xml:space="preserve"> </w:t>
      </w:r>
      <w:r>
        <w:t xml:space="preserve">A redução para 3,6 m (indicada pela área tracejada) foca na fragmentação da parte superior do furo.</w:t>
      </w:r>
    </w:p>
    <w:p>
      <w:pPr>
        <w:numPr>
          <w:ilvl w:val="0"/>
          <w:numId w:val="1145"/>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19" w:name="fig-reducao-tampao-perfuracao"/>
          <w:p>
            <w:pPr>
              <w:pStyle w:val="Compact"/>
              <w:jc w:val="center"/>
            </w:pPr>
            <w:r>
              <w:drawing>
                <wp:inline>
                  <wp:extent cx="5334000" cy="2911822"/>
                  <wp:effectExtent b="0" l="0" r="0" t="0"/>
                  <wp:docPr descr="" title="" id="217" name="Picture"/>
                  <a:graphic>
                    <a:graphicData uri="http://schemas.openxmlformats.org/drawingml/2006/picture">
                      <pic:pic>
                        <pic:nvPicPr>
                          <pic:cNvPr descr="chapters/../images/fig-reducao-tampao-perfura-gimini.jpg" id="218" name="Picture"/>
                          <pic:cNvPicPr>
                            <a:picLocks noChangeArrowheads="1" noChangeAspect="1"/>
                          </pic:cNvPicPr>
                        </pic:nvPicPr>
                        <pic:blipFill>
                          <a:blip r:embed="rId21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19"/>
        </w:tc>
      </w:tr>
    </w:tbl>
    <w:bookmarkEnd w:id="220"/>
    <w:bookmarkStart w:id="225"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6"/>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6"/>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6"/>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24" w:name="fig-sequencia-analise-granulometrica"/>
          <w:p>
            <w:pPr>
              <w:pStyle w:val="Compact"/>
              <w:jc w:val="center"/>
            </w:pPr>
            <w:r>
              <w:drawing>
                <wp:inline>
                  <wp:extent cx="5334000" cy="2911822"/>
                  <wp:effectExtent b="0" l="0" r="0" t="0"/>
                  <wp:docPr descr="" title="" id="222" name="Picture"/>
                  <a:graphic>
                    <a:graphicData uri="http://schemas.openxmlformats.org/drawingml/2006/picture">
                      <pic:pic>
                        <pic:nvPicPr>
                          <pic:cNvPr descr="chapters/../images/fig-sequencia-analise-granulo-gimini.jpg" id="223" name="Picture"/>
                          <pic:cNvPicPr>
                            <a:picLocks noChangeArrowheads="1" noChangeAspect="1"/>
                          </pic:cNvPicPr>
                        </pic:nvPicPr>
                        <pic:blipFill>
                          <a:blip r:embed="rId22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24"/>
        </w:tc>
      </w:tr>
    </w:tbl>
    <w:bookmarkEnd w:id="225"/>
    <w:bookmarkEnd w:id="226"/>
    <w:bookmarkEnd w:id="227"/>
    <w:bookmarkStart w:id="247"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7"/>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7"/>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7"/>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7"/>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7"/>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31" w:name="fig-cicl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images/fig-ciclo-perfuracao-gimini.pn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31"/>
        </w:tc>
      </w:tr>
    </w:tbl>
    <w:bookmarkStart w:id="235"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32"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32"/>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33"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8"/>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8"/>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8"/>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33"/>
    <w:bookmarkStart w:id="234"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49"/>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49"/>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49"/>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34"/>
    <w:bookmarkEnd w:id="235"/>
    <w:bookmarkStart w:id="237"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36"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36"/>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0"/>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0"/>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37"/>
    <w:bookmarkStart w:id="243"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1"/>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1"/>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1"/>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38"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38"/>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39"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39"/>
    <w:bookmarkStart w:id="242" w:name="análise-de-causa-raiz"/>
    <w:p>
      <w:pPr>
        <w:pStyle w:val="Heading4"/>
      </w:pPr>
      <w:r>
        <w:t xml:space="preserve">11.2.3.2 Análise de Causa Raiz</w:t>
      </w:r>
    </w:p>
    <w:p>
      <w:pPr>
        <w:numPr>
          <w:ilvl w:val="0"/>
          <w:numId w:val="1152"/>
        </w:numPr>
      </w:pPr>
      <w:r>
        <w:rPr>
          <w:b/>
          <w:bCs/>
        </w:rPr>
        <w:t xml:space="preserve">Ciclo 1 (Ociosidade Crítica):</w:t>
      </w:r>
      <w:r>
        <w:t xml:space="preserve"> </w:t>
      </w:r>
      <w:r>
        <w:t xml:space="preserve">Diferença de ~47 minutos. O tempo foi consumido por:</w:t>
      </w:r>
    </w:p>
    <w:p>
      <w:pPr>
        <w:numPr>
          <w:ilvl w:val="1"/>
          <w:numId w:val="1153"/>
        </w:numPr>
      </w:pPr>
      <w:r>
        <w:rPr>
          <w:i/>
          <w:iCs/>
        </w:rPr>
        <w:t xml:space="preserve">Shift Change (1.13 min):</w:t>
      </w:r>
      <w:r>
        <w:t xml:space="preserve"> </w:t>
      </w:r>
      <w:r>
        <w:t xml:space="preserve">Troca de turno rápida.</w:t>
      </w:r>
    </w:p>
    <w:p>
      <w:pPr>
        <w:numPr>
          <w:ilvl w:val="1"/>
          <w:numId w:val="1153"/>
        </w:numPr>
      </w:pPr>
      <w:r>
        <w:rPr>
          <w:i/>
          <w:iCs/>
        </w:rPr>
        <w:t xml:space="preserve">Operator Talk/Lecture (45.6 min):</w:t>
      </w:r>
      <w:r>
        <w:t xml:space="preserve"> </w:t>
      </w:r>
      <w:r>
        <w:t xml:space="preserve">Palestra operacional.</w:t>
      </w:r>
    </w:p>
    <w:p>
      <w:pPr>
        <w:numPr>
          <w:ilvl w:val="1"/>
          <w:numId w:val="1153"/>
        </w:numPr>
      </w:pPr>
      <w:r>
        <w:rPr>
          <w:b/>
          <w:bCs/>
        </w:rPr>
        <w:t xml:space="preserve">Insight:</w:t>
      </w:r>
      <w:r>
        <w:t xml:space="preserve"> </w:t>
      </w:r>
      <w:r>
        <w:t xml:space="preserve">O baixo rendimento não foi mecânico ou geológico, mas uma decisão de gestão (treinamento).</w:t>
      </w:r>
    </w:p>
    <w:p>
      <w:pPr>
        <w:numPr>
          <w:ilvl w:val="0"/>
          <w:numId w:val="1152"/>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2"/>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Users\rafas\AppData\Local\Programs\Quarto\share\formats\docx\tip.png" id="2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42"/>
    <w:bookmarkEnd w:id="243"/>
    <w:bookmarkStart w:id="246"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4"/>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4"/>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4"/>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45"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44"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44"/>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5"/>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5"/>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5"/>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45"/>
    <w:bookmarkEnd w:id="246"/>
    <w:bookmarkEnd w:id="247"/>
    <w:bookmarkStart w:id="269"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50"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48"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48"/>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49"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3007"/>
              <w:gridCol w:w="1303"/>
              <w:gridCol w:w="2105"/>
              <w:gridCol w:w="1503"/>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49"/>
          <w:p/>
        </w:tc>
      </w:tr>
    </w:tbl>
    <w:bookmarkEnd w:id="250"/>
    <w:bookmarkStart w:id="251"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6"/>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6"/>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51"/>
    <w:bookmarkStart w:id="252"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7"/>
        </w:numPr>
      </w:pPr>
      <m:oMath>
        <m:r>
          <m:t>R</m:t>
        </m:r>
        <m:r>
          <m:t>O</m:t>
        </m:r>
        <m:r>
          <m:t>P</m:t>
        </m:r>
      </m:oMath>
      <w:r>
        <w:t xml:space="preserve">: Taxa de Penetração Líquida (m/h).</w:t>
      </w:r>
    </w:p>
    <w:p>
      <w:pPr>
        <w:numPr>
          <w:ilvl w:val="0"/>
          <w:numId w:val="1157"/>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52"/>
    <w:bookmarkStart w:id="255"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8"/>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rafas\AppData\Local\Programs\Quarto\share\formats\docx\tip.png" id="2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55"/>
    <w:bookmarkStart w:id="257"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6"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56"/>
          <w:p/>
        </w:tc>
      </w:tr>
    </w:tbl>
    <w:bookmarkEnd w:id="257"/>
    <w:bookmarkStart w:id="258"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59"/>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59"/>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59"/>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58"/>
    <w:bookmarkStart w:id="263"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fases-breakdown"/>
          <w:p>
            <w:pPr>
              <w:pStyle w:val="Compact"/>
              <w:jc w:val="center"/>
            </w:pPr>
            <w:r>
              <w:drawing>
                <wp:inline>
                  <wp:extent cx="4620126" cy="3696101"/>
                  <wp:effectExtent b="0" l="0" r="0" t="0"/>
                  <wp:docPr descr="" title="" id="260" name="Picture"/>
                  <a:graphic>
                    <a:graphicData uri="http://schemas.openxmlformats.org/drawingml/2006/picture">
                      <pic:pic>
                        <pic:nvPicPr>
                          <pic:cNvPr descr="chapters/ciclo1-perfuracao_files/figure-docx/fig-fases-breakdown-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62"/>
        </w:tc>
      </w:tr>
    </w:tbl>
    <w:bookmarkEnd w:id="263"/>
    <w:bookmarkStart w:id="268"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64" w:name="estrutura-dos-eixos-e-composição"/>
    <w:p>
      <w:pPr>
        <w:pStyle w:val="Heading4"/>
      </w:pPr>
      <w:r>
        <w:t xml:space="preserve">11.3.8.1 Estrutura dos Eixos e Composição</w:t>
      </w:r>
    </w:p>
    <w:p>
      <w:pPr>
        <w:numPr>
          <w:ilvl w:val="0"/>
          <w:numId w:val="1160"/>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0"/>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64"/>
    <w:bookmarkStart w:id="265" w:name="Xa2dc0c04db64871d1442c7a5dff720088f71861"/>
    <w:p>
      <w:pPr>
        <w:pStyle w:val="Heading4"/>
      </w:pPr>
      <w:r>
        <w:t xml:space="preserve">11.3.8.2 Dinâmica das Camadas (Componentes do Ciclo)</w:t>
      </w:r>
    </w:p>
    <w:p>
      <w:pPr>
        <w:numPr>
          <w:ilvl w:val="0"/>
          <w:numId w:val="1161"/>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1"/>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1"/>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1"/>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65"/>
    <w:bookmarkStart w:id="266" w:name="Xdd8423bc0e2811c42e4fe2f39a6a1a6f79aa04f"/>
    <w:p>
      <w:pPr>
        <w:pStyle w:val="Heading4"/>
      </w:pPr>
      <w:r>
        <w:t xml:space="preserve">11.3.8.3 Diagnóstico de Variabilidade e Integridade</w:t>
      </w:r>
    </w:p>
    <w:p>
      <w:pPr>
        <w:numPr>
          <w:ilvl w:val="0"/>
          <w:numId w:val="1162"/>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2"/>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66"/>
    <w:bookmarkStart w:id="267"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67"/>
    <w:bookmarkEnd w:id="268"/>
    <w:bookmarkEnd w:id="269"/>
    <w:bookmarkStart w:id="276"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75"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3"/>
        </w:numPr>
      </w:pPr>
      <w:r>
        <w:rPr>
          <w:b/>
          <w:bCs/>
        </w:rPr>
        <w:t xml:space="preserve">Anonimização Total:</w:t>
      </w:r>
      <w:r>
        <w:t xml:space="preserve"> </w:t>
      </w:r>
      <w:r>
        <w:t xml:space="preserve">A localização geográfica real da jazida é protegida.</w:t>
      </w:r>
    </w:p>
    <w:p>
      <w:pPr>
        <w:numPr>
          <w:ilvl w:val="0"/>
          <w:numId w:val="1163"/>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3"/>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70"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70"/>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74" w:name="fig-mapa-perfuracao"/>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mapa-perfuracao-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74"/>
        </w:tc>
      </w:tr>
    </w:tbl>
    <w:bookmarkEnd w:id="275"/>
    <w:bookmarkEnd w:id="276"/>
    <w:bookmarkStart w:id="277"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77"/>
    <w:bookmarkStart w:id="281"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rafas\AppData\Local\Programs\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81"/>
    <w:bookmarkStart w:id="287" w:name="exemplos-adicionais"/>
    <w:p>
      <w:pPr>
        <w:pStyle w:val="Heading2"/>
      </w:pPr>
      <w:r>
        <w:t xml:space="preserve">11.7 Exemplos Adicionais</w:t>
      </w:r>
    </w:p>
    <w:bookmarkStart w:id="282"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82"/>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86"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83"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4"/>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4"/>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4"/>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83"/>
    <w:bookmarkStart w:id="284"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5"/>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5"/>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5"/>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84"/>
    <w:bookmarkStart w:id="285"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6"/>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6"/>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6"/>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85"/>
    <w:bookmarkEnd w:id="286"/>
    <w:bookmarkEnd w:id="287"/>
    <w:bookmarkEnd w:id="288"/>
    <w:bookmarkStart w:id="307" w:name="chap-carregamento"/>
    <w:p>
      <w:pPr>
        <w:pStyle w:val="Heading1"/>
      </w:pPr>
      <w:r>
        <w:t xml:space="preserve">12. A Identidade Fundamental do Carregamento</w:t>
      </w:r>
    </w:p>
    <w:bookmarkStart w:id="293" w:name="chap-ciclo-carregamento"/>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292" w:name="fig-ciclo-posicionamento-carga"/>
          <w:p>
            <w:pPr>
              <w:pStyle w:val="Compact"/>
              <w:jc w:val="center"/>
            </w:pPr>
            <w:r>
              <w:drawing>
                <wp:inline>
                  <wp:extent cx="5334000" cy="1952476"/>
                  <wp:effectExtent b="0" l="0" r="0" t="0"/>
                  <wp:docPr descr="" title="" id="290" name="Picture"/>
                  <a:graphic>
                    <a:graphicData uri="http://schemas.openxmlformats.org/drawingml/2006/picture">
                      <pic:pic>
                        <pic:nvPicPr>
                          <pic:cNvPr descr="images/fig_processo_posicionamento_carga.png" id="291" name="Picture"/>
                          <pic:cNvPicPr>
                            <a:picLocks noChangeArrowheads="1" noChangeAspect="1"/>
                          </pic:cNvPicPr>
                        </pic:nvPicPr>
                        <pic:blipFill>
                          <a:blip r:embed="rId289"/>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292"/>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293"/>
    <w:bookmarkStart w:id="294"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294"/>
    <w:bookmarkStart w:id="295"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295"/>
    <w:bookmarkStart w:id="298"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297"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296"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296"/>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297"/>
    <w:bookmarkEnd w:id="298"/>
    <w:bookmarkStart w:id="306"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299"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299"/>
    <w:bookmarkStart w:id="300"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00"/>
    <w:bookmarkStart w:id="301"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01"/>
    <w:bookmarkStart w:id="302"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02"/>
    <w:bookmarkStart w:id="303"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03"/>
    <w:bookmarkStart w:id="304"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04"/>
    <w:bookmarkStart w:id="305"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05"/>
    <w:bookmarkEnd w:id="306"/>
    <w:bookmarkEnd w:id="307"/>
    <w:bookmarkStart w:id="329" w:name="chap-transporte"/>
    <w:p>
      <w:pPr>
        <w:pStyle w:val="Heading1"/>
      </w:pPr>
      <w:r>
        <w:t xml:space="preserve">13. A Jornada de 7 Eventos e o Ciclo de Transporte</w:t>
      </w:r>
    </w:p>
    <w:bookmarkStart w:id="308"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08"/>
    <w:bookmarkStart w:id="314"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12" w:name="fig-ciclo-transporte"/>
          <w:p>
            <w:pPr>
              <w:pStyle w:val="Compact"/>
              <w:jc w:val="center"/>
            </w:pPr>
            <w:r>
              <w:drawing>
                <wp:inline>
                  <wp:extent cx="5334000" cy="2564286"/>
                  <wp:effectExtent b="0" l="0" r="0" t="0"/>
                  <wp:docPr descr="" title="" id="310" name="Picture"/>
                  <a:graphic>
                    <a:graphicData uri="http://schemas.openxmlformats.org/drawingml/2006/picture">
                      <pic:pic>
                        <pic:nvPicPr>
                          <pic:cNvPr descr="images/fig-ciclo-transporte.png" id="311" name="Picture"/>
                          <pic:cNvPicPr>
                            <a:picLocks noChangeArrowheads="1" noChangeAspect="1"/>
                          </pic:cNvPicPr>
                        </pic:nvPicPr>
                        <pic:blipFill>
                          <a:blip r:embed="rId309"/>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12"/>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6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6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6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6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6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6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6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13"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13"/>
    <w:bookmarkEnd w:id="314"/>
    <w:bookmarkStart w:id="316"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15"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15"/>
          <w:p/>
        </w:tc>
      </w:tr>
    </w:tbl>
    <w:bookmarkEnd w:id="316"/>
    <w:bookmarkStart w:id="318"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17"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17"/>
    <w:bookmarkEnd w:id="318"/>
    <w:bookmarkStart w:id="325"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19"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0"/>
        </w:numPr>
      </w:pPr>
      <m:oMath>
        <m:r>
          <m:t>N</m:t>
        </m:r>
        <m:d>
          <m:dPr>
            <m:begChr m:val="("/>
            <m:sepChr m:val=""/>
            <m:endChr m:val=")"/>
            <m:grow/>
          </m:dPr>
          <m:e>
            <m:r>
              <m:t>t</m:t>
            </m:r>
          </m:e>
        </m:d>
      </m:oMath>
      <w:r>
        <w:t xml:space="preserve">: número total de ciclos no período.</w:t>
      </w:r>
    </w:p>
    <w:bookmarkEnd w:id="319"/>
    <w:bookmarkStart w:id="320"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20"/>
    <w:bookmarkStart w:id="321"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21"/>
    <w:bookmarkStart w:id="322"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22"/>
    <w:bookmarkStart w:id="323"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23"/>
    <w:bookmarkStart w:id="324"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24"/>
    <w:bookmarkEnd w:id="325"/>
    <w:bookmarkStart w:id="326"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26"/>
    <w:bookmarkStart w:id="327"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27"/>
    <w:bookmarkStart w:id="328"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8"/>
    <w:bookmarkEnd w:id="329"/>
    <w:bookmarkStart w:id="330" w:name="plan-crtl-opera-1"/>
    <w:p>
      <w:pPr>
        <w:pStyle w:val="Heading1"/>
      </w:pPr>
      <w:r>
        <w:t xml:space="preserve">14. plan-crtl-opera</w:t>
      </w:r>
    </w:p>
    <w:bookmarkEnd w:id="330"/>
    <w:bookmarkStart w:id="331" w:name="plan-crtl-manut"/>
    <w:p>
      <w:pPr>
        <w:pStyle w:val="Heading1"/>
      </w:pPr>
      <w:r>
        <w:t xml:space="preserve">15. plan-crtl-manut</w:t>
      </w:r>
    </w:p>
    <w:bookmarkEnd w:id="331"/>
    <w:bookmarkStart w:id="332" w:name="confiabilidade"/>
    <w:p>
      <w:pPr>
        <w:pStyle w:val="Heading1"/>
      </w:pPr>
      <w:r>
        <w:t xml:space="preserve">16. confiabilidade</w:t>
      </w:r>
    </w:p>
    <w:bookmarkEnd w:id="332"/>
    <w:bookmarkStart w:id="342"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334"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333"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333"/>
          <w:p/>
        </w:tc>
      </w:tr>
    </w:tbl>
    <w:bookmarkEnd w:id="334"/>
    <w:bookmarkStart w:id="336"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335"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335"/>
          <w:p/>
        </w:tc>
      </w:tr>
    </w:tbl>
    <w:bookmarkEnd w:id="336"/>
    <w:bookmarkStart w:id="339"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337"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337"/>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338"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338"/>
          <w:p/>
        </w:tc>
      </w:tr>
    </w:tbl>
    <w:bookmarkEnd w:id="339"/>
    <w:bookmarkStart w:id="341"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0"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340"/>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341"/>
    <w:bookmarkEnd w:id="342"/>
    <w:bookmarkStart w:id="347"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43"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43"/>
    <w:bookmarkStart w:id="344"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44"/>
    <w:bookmarkStart w:id="346"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45" w:name="notas-de-notação-matemática"/>
    <w:p>
      <w:pPr>
        <w:pStyle w:val="Heading3"/>
      </w:pPr>
      <w:r>
        <w:t xml:space="preserve">B.3.1 Notas de Notação Matemática</w:t>
      </w:r>
    </w:p>
    <w:p>
      <w:pPr>
        <w:numPr>
          <w:ilvl w:val="0"/>
          <w:numId w:val="117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45"/>
    <w:bookmarkEnd w:id="346"/>
    <w:bookmarkEnd w:id="347"/>
    <w:bookmarkStart w:id="355"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48"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5"/>
        </w:numPr>
      </w:pPr>
      <w:r>
        <w:rPr>
          <w:b/>
          <w:bCs/>
        </w:rPr>
        <w:t xml:space="preserve">DF</w:t>
      </w:r>
      <w:r>
        <w:t xml:space="preserve">: Disponibilidade Física.</w:t>
      </w:r>
    </w:p>
    <w:p>
      <w:pPr>
        <w:numPr>
          <w:ilvl w:val="0"/>
          <w:numId w:val="1175"/>
        </w:numPr>
      </w:pPr>
      <w:r>
        <w:rPr>
          <w:b/>
          <w:bCs/>
        </w:rPr>
        <w:t xml:space="preserve">UF</w:t>
      </w:r>
      <w:r>
        <w:t xml:space="preserve">: Utilização Física.</w:t>
      </w:r>
    </w:p>
    <w:p>
      <w:pPr>
        <w:numPr>
          <w:ilvl w:val="0"/>
          <w:numId w:val="1175"/>
        </w:numPr>
      </w:pPr>
      <w:r>
        <w:rPr>
          <w:b/>
          <w:bCs/>
        </w:rPr>
        <w:t xml:space="preserve">HT</w:t>
      </w:r>
      <w:r>
        <w:t xml:space="preserve">: Horas Trabalhadas (</w:t>
      </w:r>
      <w:r>
        <w:rPr>
          <w:i/>
          <w:iCs/>
        </w:rPr>
        <w:t xml:space="preserve">Work Hours</w:t>
      </w:r>
      <w:r>
        <w:t xml:space="preserve">).</w:t>
      </w:r>
    </w:p>
    <w:p>
      <w:pPr>
        <w:numPr>
          <w:ilvl w:val="0"/>
          <w:numId w:val="1175"/>
        </w:numPr>
      </w:pPr>
      <w:r>
        <w:rPr>
          <w:b/>
          <w:bCs/>
        </w:rPr>
        <w:t xml:space="preserve">HM</w:t>
      </w:r>
      <w:r>
        <w:t xml:space="preserve">: Horas de Manutenção.</w:t>
      </w:r>
    </w:p>
    <w:p>
      <w:pPr>
        <w:numPr>
          <w:ilvl w:val="0"/>
          <w:numId w:val="117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48"/>
    <w:bookmarkStart w:id="349"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6"/>
        </w:numPr>
      </w:pPr>
      <m:oMath>
        <m:sSub>
          <m:e>
            <m:r>
              <m:t>L</m:t>
            </m:r>
          </m:e>
          <m:sub>
            <m:r>
              <m:t>i</m:t>
            </m:r>
          </m:sub>
        </m:sSub>
      </m:oMath>
      <w:r>
        <w:t xml:space="preserve">: Profundidade Perfurada Líquida em metros.</w:t>
      </w:r>
    </w:p>
    <w:p>
      <w:pPr>
        <w:numPr>
          <w:ilvl w:val="0"/>
          <w:numId w:val="117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6"/>
        </w:numPr>
      </w:pPr>
      <m:oMath>
        <m:r>
          <m:t>R</m:t>
        </m:r>
        <m:r>
          <m:t>O</m:t>
        </m:r>
        <m:r>
          <m:t>P</m:t>
        </m:r>
      </m:oMath>
      <w:r>
        <w:t xml:space="preserve">: Taxa de Penetração Líquida (</w:t>
      </w:r>
      <w:r>
        <w:rPr>
          <w:i/>
          <w:iCs/>
        </w:rPr>
        <w:t xml:space="preserve">Rate of Penetration</w:t>
      </w:r>
      <w:r>
        <w:t xml:space="preserve">).</w:t>
      </w:r>
    </w:p>
    <w:bookmarkEnd w:id="349"/>
    <w:bookmarkStart w:id="350"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50"/>
    <w:bookmarkStart w:id="354"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8"/>
        </w:numPr>
      </w:pPr>
      <m:oMath>
        <m:r>
          <m:t>V</m:t>
        </m:r>
        <m:sSub>
          <m:e>
            <m:r>
              <m:t>v</m:t>
            </m:r>
          </m:e>
          <m:sub>
            <m:r>
              <m:t>j</m:t>
            </m:r>
          </m:sub>
        </m:sSub>
      </m:oMath>
      <w:r>
        <w:t xml:space="preserve">: Tempo de Viagem Vazio (</w:t>
      </w:r>
      <w:r>
        <w:rPr>
          <w:i/>
          <w:iCs/>
        </w:rPr>
        <w:t xml:space="preserve">Travel Empty</w:t>
      </w:r>
      <w:r>
        <w:t xml:space="preserve">).</w:t>
      </w:r>
    </w:p>
    <w:p>
      <w:pPr>
        <w:numPr>
          <w:ilvl w:val="0"/>
          <w:numId w:val="1178"/>
        </w:numPr>
      </w:pPr>
      <m:oMath>
        <m:r>
          <m:t>F</m:t>
        </m:r>
        <m:sSub>
          <m:e>
            <m:r>
              <m:t>c</m:t>
            </m:r>
          </m:e>
          <m:sub>
            <m:r>
              <m:t>j</m:t>
            </m:r>
          </m:sub>
        </m:sSub>
      </m:oMath>
      <w:r>
        <w:t xml:space="preserve">: Tempo de Fila para Carregar (</w:t>
      </w:r>
      <w:r>
        <w:rPr>
          <w:i/>
          <w:iCs/>
        </w:rPr>
        <w:t xml:space="preserve">Queue at Load</w:t>
      </w:r>
      <w:r>
        <w:t xml:space="preserve">).</w:t>
      </w:r>
    </w:p>
    <w:p>
      <w:pPr>
        <w:numPr>
          <w:ilvl w:val="0"/>
          <w:numId w:val="117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8"/>
        </w:numPr>
      </w:pPr>
      <m:oMath>
        <m:sSub>
          <m:e>
            <m:r>
              <m:t>C</m:t>
            </m:r>
          </m:e>
          <m:sub>
            <m:r>
              <m:t>j</m:t>
            </m:r>
          </m:sub>
        </m:sSub>
      </m:oMath>
      <w:r>
        <w:t xml:space="preserve">: Tempo de Carregamento (</w:t>
      </w:r>
      <w:r>
        <w:rPr>
          <w:i/>
          <w:iCs/>
        </w:rPr>
        <w:t xml:space="preserve">Loading Time</w:t>
      </w:r>
      <w:r>
        <w:t xml:space="preserve">).</w:t>
      </w:r>
    </w:p>
    <w:p>
      <w:pPr>
        <w:numPr>
          <w:ilvl w:val="0"/>
          <w:numId w:val="1178"/>
        </w:numPr>
      </w:pPr>
      <m:oMath>
        <m:r>
          <m:t>V</m:t>
        </m:r>
        <m:sSub>
          <m:e>
            <m:r>
              <m:t>c</m:t>
            </m:r>
          </m:e>
          <m:sub>
            <m:r>
              <m:t>j</m:t>
            </m:r>
          </m:sub>
        </m:sSub>
      </m:oMath>
      <w:r>
        <w:t xml:space="preserve">: Tempo de Viagem Cheio (</w:t>
      </w:r>
      <w:r>
        <w:rPr>
          <w:i/>
          <w:iCs/>
        </w:rPr>
        <w:t xml:space="preserve">Travel Full</w:t>
      </w:r>
      <w:r>
        <w:t xml:space="preserve">).</w:t>
      </w:r>
    </w:p>
    <w:p>
      <w:pPr>
        <w:numPr>
          <w:ilvl w:val="0"/>
          <w:numId w:val="1178"/>
        </w:numPr>
      </w:pPr>
      <m:oMath>
        <m:r>
          <m:t>F</m:t>
        </m:r>
        <m:sSub>
          <m:e>
            <m:r>
              <m:t>b</m:t>
            </m:r>
          </m:e>
          <m:sub>
            <m:r>
              <m:t>j</m:t>
            </m:r>
          </m:sub>
        </m:sSub>
      </m:oMath>
      <w:r>
        <w:t xml:space="preserve">: Tempo de Fila para Bascular (</w:t>
      </w:r>
      <w:r>
        <w:rPr>
          <w:i/>
          <w:iCs/>
        </w:rPr>
        <w:t xml:space="preserve">Queue at Dump</w:t>
      </w:r>
      <w:r>
        <w:t xml:space="preserve">).</w:t>
      </w:r>
    </w:p>
    <w:p>
      <w:pPr>
        <w:numPr>
          <w:ilvl w:val="0"/>
          <w:numId w:val="1178"/>
        </w:numPr>
      </w:pPr>
      <m:oMath>
        <m:sSub>
          <m:e>
            <m:r>
              <m:t>D</m:t>
            </m:r>
          </m:e>
          <m:sub>
            <m:r>
              <m:t>j</m:t>
            </m:r>
          </m:sub>
        </m:sSub>
      </m:oMath>
      <w:r>
        <w:t xml:space="preserve">: Tempo de Basculamento (</w:t>
      </w:r>
      <w:r>
        <w:rPr>
          <w:i/>
          <w:iCs/>
        </w:rPr>
        <w:t xml:space="preserve">Dumping Time</w:t>
      </w:r>
      <w:r>
        <w:t xml:space="preserve">).</w:t>
      </w:r>
    </w:p>
    <w:p>
      <w:pPr>
        <w:numPr>
          <w:ilvl w:val="0"/>
          <w:numId w:val="117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353" w:name="refs"/>
    <w:bookmarkStart w:id="352"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51">
        <w:r>
          <w:rPr>
            <w:rStyle w:val="Hyperlink"/>
          </w:rPr>
          <w:t xml:space="preserve">https://doi.org/10.1093/comjnl/27.2.97</w:t>
        </w:r>
      </w:hyperlink>
      <w:r>
        <w:t xml:space="preserve">.</w:t>
      </w:r>
    </w:p>
    <w:bookmarkEnd w:id="352"/>
    <w:bookmarkEnd w:id="353"/>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5" Target="media/rId25.png" /><Relationship Type="http://schemas.openxmlformats.org/officeDocument/2006/relationships/image" Id="rId278" Target="media/rId278.png" /><Relationship Type="http://schemas.openxmlformats.org/officeDocument/2006/relationships/image" Id="rId201" Target="media/rId201.jpg" /><Relationship Type="http://schemas.openxmlformats.org/officeDocument/2006/relationships/image" Id="rId171" Target="media/rId171.jpg" /><Relationship Type="http://schemas.openxmlformats.org/officeDocument/2006/relationships/image" Id="rId216" Target="media/rId216.jpg" /><Relationship Type="http://schemas.openxmlformats.org/officeDocument/2006/relationships/image" Id="rId221" Target="media/rId221.jpg" /><Relationship Type="http://schemas.openxmlformats.org/officeDocument/2006/relationships/image" Id="rId190" Target="media/rId190.jp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28" Target="media/rId228.png" /><Relationship Type="http://schemas.openxmlformats.org/officeDocument/2006/relationships/image" Id="rId309" Target="media/rId309.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196" Target="media/rId196.jpg" /><Relationship Type="http://schemas.openxmlformats.org/officeDocument/2006/relationships/image" Id="rId211" Target="media/rId211.jpg" /><Relationship Type="http://schemas.openxmlformats.org/officeDocument/2006/relationships/image" Id="rId182" Target="media/rId182.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289" Target="media/rId289.png" /><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2025-12-31T12:12:21Z</dcterms:created>
  <dcterms:modified xsi:type="dcterms:W3CDTF">2025-12-31T12:12:21Z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2025-12-31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