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png" ContentType="image/png"/>
  <Override PartName="/word/media/rId25.png" ContentType="image/png"/>
  <Override PartName="/word/media/rId289.png" ContentType="image/png"/>
  <Override PartName="/word/media/rId212.jpg" ContentType="image/jpeg"/>
  <Override PartName="/word/media/rId182.jpg" ContentType="image/jpeg"/>
  <Override PartName="/word/media/rId227.jpg" ContentType="image/jpeg"/>
  <Override PartName="/word/media/rId232.jpg" ContentType="image/jpeg"/>
  <Override PartName="/word/media/rId201.jpg" ContentType="image/jpeg"/>
  <Override PartName="/word/media/rId270.png" ContentType="image/png"/>
  <Override PartName="/word/media/rId282.png" ContentType="image/png"/>
  <Override PartName="/word/media/rId171.png" ContentType="image/png"/>
  <Override PartName="/word/media/rId239.png" ContentType="image/png"/>
  <Override PartName="/word/media/rId320.png" ContentType="image/png"/>
  <Override PartName="/word/media/rId129.png" ContentType="image/png"/>
  <Override PartName="/word/media/rId32.jpg" ContentType="image/jpeg"/>
  <Override PartName="/word/media/rId207.jpg" ContentType="image/jpeg"/>
  <Override PartName="/word/media/rId166.png" ContentType="image/png"/>
  <Override PartName="/word/media/rId222.jpg" ContentType="image/jpeg"/>
  <Override PartName="/word/media/rId193.jpg" ContentType="image/jpeg"/>
  <Override PartName="/word/media/rId148.png" ContentType="image/png"/>
  <Override PartName="/word/media/rId125.png" ContentType="image/png"/>
  <Override PartName="/word/media/rId3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2026-01-01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chap-kpi"/>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p>
    <w:p>
      <w:pPr>
        <w:pStyle w:val="BodyText"/>
      </w:pPr>
      <m:oMathPara>
        <m:oMathParaPr>
          <m:jc m:val="center"/>
        </m:oMathParaPr>
        <m:oMath>
          <m:r>
            <m:t>H</m:t>
          </m:r>
          <m:r>
            <m:t>C</m:t>
          </m:r>
          <m:r>
            <m:rPr>
              <m:sty m:val="p"/>
            </m:rPr>
            <m:t>=</m:t>
          </m:r>
          <m:r>
            <m:t>H</m:t>
          </m:r>
          <m:r>
            <m:t>T</m:t>
          </m:r>
          <m:r>
            <m:rPr>
              <m:sty m:val="p"/>
            </m:rPr>
            <m:t>+</m:t>
          </m:r>
          <m:r>
            <m:t>H</m:t>
          </m:r>
          <m:r>
            <m:t>M</m:t>
          </m:r>
          <m:r>
            <m:rPr>
              <m:sty m:val="p"/>
            </m:rPr>
            <m:t>+</m:t>
          </m:r>
          <m:r>
            <m:t>H</m:t>
          </m:r>
          <m:r>
            <m:t>O</m:t>
          </m:r>
        </m:oMath>
      </m:oMathPara>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modelagem-manut"/>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77" w:name="chap-pdca"/>
    <w:p>
      <w:pPr>
        <w:pStyle w:val="Heading1"/>
      </w:pPr>
      <w:r>
        <w:t xml:space="preserve">8. Trilogia Juran e Ciclo PDCA</w:t>
      </w:r>
    </w:p>
    <w:bookmarkStart w:id="170" w:name="trilogia-juran"/>
    <w:p>
      <w:pPr>
        <w:pStyle w:val="Heading2"/>
      </w:pPr>
      <w:r>
        <w:t xml:space="preserve">8.1 Trilogia Juran</w:t>
      </w:r>
    </w:p>
    <w:p>
      <w:pPr>
        <w:pStyle w:val="FirstParagraph"/>
      </w:pPr>
      <w:r>
        <w:t xml:space="preserve">Estudos que visam medir graus de diferença nos processos de produção, focando especialmente na diferença entre cronograma e desempenho, enquadram-se em um escopo mais geral conhecido como Gestão e Avaliação da Qualidade.</w:t>
      </w:r>
    </w:p>
    <w:p>
      <w:pPr>
        <w:pStyle w:val="BodyText"/>
      </w:pPr>
      <w:r>
        <w:t xml:space="preserve">A gestão da qualidade de processos, ou gestão focada na qualidade do processo, é entendida como a adoção de um conjunto de atividades que inclui três processos conhecidos como a trilogia Juran (</w:t>
      </w:r>
      <w:r>
        <w:t xml:space="preserve">Juran (1986)</w:t>
      </w:r>
      <w:r>
        <w:t xml:space="preserve">). A</w:t>
      </w:r>
      <w:r>
        <w:t xml:space="preserve"> </w:t>
      </w:r>
      <w:hyperlink w:anchor="fig-juran-trilogy">
        <w:r>
          <w:rPr>
            <w:rStyle w:val="Hyperlink"/>
          </w:rPr>
          <w:t xml:space="preserve">Figura 8.1</w:t>
        </w:r>
      </w:hyperlink>
      <w:r>
        <w:t xml:space="preserve"> </w:t>
      </w:r>
      <w:r>
        <w:t xml:space="preserve">exemplifica a trilogia Juran, na qual</w:t>
      </w:r>
      <w:r>
        <w:t xml:space="preserve"> </w:t>
      </w:r>
      <w:r>
        <w:rPr>
          <w:b/>
          <w:bCs/>
        </w:rPr>
        <w:t xml:space="preserve">o planejamento de qualidade</w:t>
      </w:r>
      <w:r>
        <w:t xml:space="preserve"> </w:t>
      </w:r>
      <w:r>
        <w:t xml:space="preserve">está associado ao custo da baixa qualidade e ao estabelecimento de limites alvo e/ou especificação, onde a  zona</w:t>
      </w:r>
      <w:r>
        <w:t xml:space="preserve"> </w:t>
      </w:r>
      <w:r>
        <w:rPr>
          <w:b/>
          <w:bCs/>
        </w:rPr>
        <w:t xml:space="preserve">original de controle de qualidade</w:t>
      </w:r>
      <w:r>
        <w:t xml:space="preserve"> </w:t>
      </w:r>
      <w:r>
        <w:t xml:space="preserve">mostra desvios e picos esporádicos e, consequentemente, desencadeia a busca por resolução de problemas por ferramentas e métodos baseados em PDCA. Como as ações resultam em</w:t>
      </w:r>
      <w:r>
        <w:t xml:space="preserve"> </w:t>
      </w:r>
      <w:r>
        <w:rPr>
          <w:b/>
          <w:bCs/>
        </w:rPr>
        <w:t xml:space="preserve">melhorias eficazes na qualidade</w:t>
      </w:r>
      <w:r>
        <w:t xml:space="preserve">, por exemplo, redução do custo da baixa qualidade, diminuição da variabilidade do processo e/ou indicadores aprimorados, há uma padronização das ações mais impactantes e uma nova mudança no ciclo PDCA para novas buscas por melhorias. Por fim,</w:t>
      </w:r>
      <w:r>
        <w:t xml:space="preserve"> </w:t>
      </w:r>
      <w:r>
        <w:rPr>
          <w:b/>
          <w:bCs/>
        </w:rPr>
        <w:t xml:space="preserve">a avaliação de qualidade</w:t>
      </w:r>
      <w:r>
        <w:t xml:space="preserve">, que visa medir o alinhamento dos indicadores com os objetivos da organização.</w:t>
      </w:r>
    </w:p>
    <w:tbl>
      <w:tblPr>
        <w:tblStyle w:val="Table"/>
        <w:tblW w:type="pct" w:w="5000"/>
        <w:tblLayout w:type="fixed"/>
        <w:tblLook w:firstRow="0" w:lastRow="0" w:firstColumn="0" w:lastColumn="0" w:noHBand="0" w:noVBand="0" w:val="0000"/>
      </w:tblPr>
      <w:tblGrid>
        <w:gridCol w:w="7920"/>
      </w:tblGrid>
      <w:tr>
        <w:tc>
          <w:tcPr/>
          <w:bookmarkStart w:id="169" w:name="fig-juran-trilogy"/>
          <w:p>
            <w:pPr>
              <w:pStyle w:val="Compact"/>
              <w:jc w:val="center"/>
            </w:pPr>
            <w:r>
              <w:drawing>
                <wp:inline>
                  <wp:extent cx="5334000" cy="2335597"/>
                  <wp:effectExtent b="0" l="0" r="0" t="0"/>
                  <wp:docPr descr="" title="" id="167" name="Picture"/>
                  <a:graphic>
                    <a:graphicData uri="http://schemas.openxmlformats.org/drawingml/2006/picture">
                      <pic:pic>
                        <pic:nvPicPr>
                          <pic:cNvPr descr="images/fig-juran-trilogy.png" id="168" name="Picture"/>
                          <pic:cNvPicPr>
                            <a:picLocks noChangeArrowheads="1" noChangeAspect="1"/>
                          </pic:cNvPicPr>
                        </pic:nvPicPr>
                        <pic:blipFill>
                          <a:blip r:embed="rId166"/>
                          <a:stretch>
                            <a:fillRect/>
                          </a:stretch>
                        </pic:blipFill>
                        <pic:spPr bwMode="auto">
                          <a:xfrm>
                            <a:off x="0" y="0"/>
                            <a:ext cx="5334000" cy="2335597"/>
                          </a:xfrm>
                          <a:prstGeom prst="rect">
                            <a:avLst/>
                          </a:prstGeom>
                          <a:noFill/>
                          <a:ln w="9525">
                            <a:noFill/>
                            <a:headEnd/>
                            <a:tailEnd/>
                          </a:ln>
                        </pic:spPr>
                      </pic:pic>
                    </a:graphicData>
                  </a:graphic>
                </wp:inline>
              </w:drawing>
            </w:r>
          </w:p>
          <w:p>
            <w:pPr>
              <w:jc w:val="center"/>
            </w:pPr>
            <w:pPr>
              <w:jc w:val="left"/>
              <w:spacing w:before="200"/>
              <w:pStyle w:val="ImageCaption"/>
            </w:pPr>
            <w:r>
              <w:t xml:space="preserve">Figura 8.1: Diagrama da Trilogia Juran</w:t>
            </w:r>
          </w:p>
          <w:bookmarkEnd w:id="169"/>
        </w:tc>
      </w:tr>
    </w:tbl>
    <w:bookmarkEnd w:id="170"/>
    <w:bookmarkStart w:id="176" w:name="ciclo-pdca"/>
    <w:p>
      <w:pPr>
        <w:pStyle w:val="Heading2"/>
      </w:pPr>
      <w:r>
        <w:t xml:space="preserve">8.2 Ciclo PDCA</w:t>
      </w:r>
    </w:p>
    <w:p>
      <w:pPr>
        <w:pStyle w:val="FirstParagraph"/>
      </w:pPr>
      <w:r>
        <w:t xml:space="preserve">O ciclo PDCA, como uma metodologia para melhoria, é uma ferramenta simples que promove alterações graduais no processo, impulsionando assim o desenvolvimento da empresa. O ciclo, conforme apresentado na</w:t>
      </w:r>
      <w:r>
        <w:t xml:space="preserve"> </w:t>
      </w:r>
      <w:hyperlink w:anchor="fig-ciclo-pdca">
        <w:r>
          <w:rPr>
            <w:rStyle w:val="Hyperlink"/>
          </w:rPr>
          <w:t xml:space="preserve">Figura 8.2</w:t>
        </w:r>
      </w:hyperlink>
      <w:r>
        <w:t xml:space="preserve">, é dividido em etapas de planejamento (PLAN), execução (DO), verificação (CHECK) e ação (ACT).</w:t>
      </w:r>
    </w:p>
    <w:tbl>
      <w:tblPr>
        <w:tblStyle w:val="Table"/>
        <w:tblW w:type="pct" w:w="5000"/>
        <w:tblLayout w:type="fixed"/>
        <w:tblLook w:firstRow="0" w:lastRow="0" w:firstColumn="0" w:lastColumn="0" w:noHBand="0" w:noVBand="0" w:val="0000"/>
      </w:tblPr>
      <w:tblGrid>
        <w:gridCol w:w="7920"/>
      </w:tblGrid>
      <w:tr>
        <w:tc>
          <w:tcPr/>
          <w:bookmarkStart w:id="174" w:name="fig-ciclo-pdca"/>
          <w:p>
            <w:pPr>
              <w:pStyle w:val="Compact"/>
              <w:jc w:val="center"/>
            </w:pPr>
            <w:r>
              <w:drawing>
                <wp:inline>
                  <wp:extent cx="5334000" cy="5381838"/>
                  <wp:effectExtent b="0" l="0" r="0" t="0"/>
                  <wp:docPr descr="" title="" id="172" name="Picture"/>
                  <a:graphic>
                    <a:graphicData uri="http://schemas.openxmlformats.org/drawingml/2006/picture">
                      <pic:pic>
                        <pic:nvPicPr>
                          <pic:cNvPr descr="images/fig-ciclo-pdca.png" id="173" name="Picture"/>
                          <pic:cNvPicPr>
                            <a:picLocks noChangeArrowheads="1" noChangeAspect="1"/>
                          </pic:cNvPicPr>
                        </pic:nvPicPr>
                        <pic:blipFill>
                          <a:blip r:embed="rId171"/>
                          <a:stretch>
                            <a:fillRect/>
                          </a:stretch>
                        </pic:blipFill>
                        <pic:spPr bwMode="auto">
                          <a:xfrm>
                            <a:off x="0" y="0"/>
                            <a:ext cx="5334000" cy="53818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8.2: Detalhamento do Ciclo PDCA</w:t>
            </w:r>
          </w:p>
          <w:bookmarkEnd w:id="174"/>
        </w:tc>
      </w:tr>
    </w:tbl>
    <w:p>
      <w:pPr>
        <w:pStyle w:val="BodyText"/>
      </w:pPr>
      <w:r>
        <w:t xml:space="preserve">Para que essas etapas sejam realizadas com eficácia, é essencial que as subetapas sejam definidas com precisão. É importante destacar que a etapa de planejamento exige um cuidado maior na execução, pois a identificação e priorização das métricas de avaliação proporcionarão uma investigação mais aprofundada das causas dos problemas. Além disso, a utilização de ferramentas de qualidade para dar suporte ao ciclo PDCA é fundamental e indispensável para a eficiência e eficácia dos planos de ação desenvolvidos. Desta forma, propostas de mudanças, padronização de processos e/ou planos de ação são então embasadas em métodos e ferramentas estruturadas, sendo sempre recomendável estabelecer processo de comunicação e treinamento e formalização documental.</w:t>
      </w:r>
    </w:p>
    <w:p>
      <w:pPr>
        <w:pStyle w:val="BodyText"/>
      </w:pPr>
      <w:r>
        <w:t xml:space="preserve">De acordo com Mendes (2007), o ciclo PDCA é um método estruturado para a melhoria contínua dos processos nas organizações, dividido nas seguintes etapas:</w:t>
      </w:r>
    </w:p>
    <w:p>
      <w:pPr>
        <w:numPr>
          <w:ilvl w:val="0"/>
          <w:numId w:val="1129"/>
        </w:numPr>
      </w:pPr>
      <w:r>
        <w:rPr>
          <w:b/>
          <w:bCs/>
        </w:rPr>
        <w:t xml:space="preserve">PLAN:</w:t>
      </w:r>
      <w:r>
        <w:t xml:space="preserve"> </w:t>
      </w:r>
      <w:r>
        <w:t xml:space="preserve">Esta etapa envolve o desenvolvimento de um plano com base nas diretrizes da organização. O objetivo é definir a situação atual, estabelecer metas claras e mensuráveis, e determinar as estratégias para alcançar esses objetivos.</w:t>
      </w:r>
    </w:p>
    <w:p>
      <w:pPr>
        <w:numPr>
          <w:ilvl w:val="0"/>
          <w:numId w:val="1129"/>
        </w:numPr>
      </w:pPr>
      <w:r>
        <w:rPr>
          <w:b/>
          <w:bCs/>
        </w:rPr>
        <w:t xml:space="preserve">DO</w:t>
      </w:r>
      <w:r>
        <w:rPr>
          <w:i/>
          <w:iCs/>
        </w:rPr>
        <w:t xml:space="preserve">:</w:t>
      </w:r>
      <w:r>
        <w:t xml:space="preserve"> </w:t>
      </w:r>
      <w:r>
        <w:t xml:space="preserve">Após o planejamento, a fase de execução coloca o plano em ação. Isso inclui a iniciação do processo, a educação e formação dos envolvidos, e a implementação das estratégias definidas para atingir os objetivos estabelecidos.</w:t>
      </w:r>
    </w:p>
    <w:p>
      <w:pPr>
        <w:numPr>
          <w:ilvl w:val="0"/>
          <w:numId w:val="1129"/>
        </w:numPr>
      </w:pPr>
      <w:r>
        <w:rPr>
          <w:b/>
          <w:bCs/>
        </w:rPr>
        <w:t xml:space="preserve">CHECK:</w:t>
      </w:r>
      <w:r>
        <w:t xml:space="preserve"> </w:t>
      </w:r>
      <w:r>
        <w:t xml:space="preserve">Nesta etapa, os resultados obtidos são analisados e comparados com os padrões esperados. É importante realizar uma avaliação contínua para garantir que o processo esteja sendo executado de acordo com o planejado.</w:t>
      </w:r>
    </w:p>
    <w:p>
      <w:pPr>
        <w:numPr>
          <w:ilvl w:val="0"/>
          <w:numId w:val="1129"/>
        </w:numPr>
      </w:pPr>
      <w:r>
        <w:rPr>
          <w:b/>
          <w:bCs/>
        </w:rPr>
        <w:t xml:space="preserve">ACT:</w:t>
      </w:r>
      <w:r>
        <w:t xml:space="preserve"> </w:t>
      </w:r>
      <w:r>
        <w:t xml:space="preserve">A última fase do ciclo envolve a tomada de ações corretivas ou de melhoria, caso seja identificada a necessidade de ajustes ou aprimoramentos com base na verificação dos resultados.</w:t>
      </w:r>
    </w:p>
    <w:bookmarkStart w:id="175" w:name="fases-e-atividades-do-ciclo-pdca"/>
    <w:p>
      <w:pPr>
        <w:pStyle w:val="Heading3"/>
      </w:pPr>
      <w:r>
        <w:t xml:space="preserve">8.2.1 Fases e Atividades do Ciclo PDCA</w:t>
      </w:r>
    </w:p>
    <w:bookmarkEnd w:id="175"/>
    <w:bookmarkEnd w:id="176"/>
    <w:bookmarkEnd w:id="177"/>
    <w:bookmarkStart w:id="178" w:name="plan-crtl-opera"/>
    <w:p>
      <w:pPr>
        <w:pStyle w:val="Heading1"/>
      </w:pPr>
      <w:r>
        <w:t xml:space="preserve">9. plan-crtl-opera</w:t>
      </w:r>
    </w:p>
    <w:bookmarkEnd w:id="178"/>
    <w:bookmarkStart w:id="179" w:name="caixa-ferramentas"/>
    <w:p>
      <w:pPr>
        <w:pStyle w:val="Heading1"/>
      </w:pPr>
      <w:r>
        <w:t xml:space="preserve">10. caixa-ferramentas</w:t>
      </w:r>
    </w:p>
    <w:bookmarkEnd w:id="179"/>
    <w:bookmarkStart w:id="299" w:name="chap-perfuracao"/>
    <w:p>
      <w:pPr>
        <w:pStyle w:val="Heading1"/>
      </w:pPr>
      <w:r>
        <w:t xml:space="preserve">11. Ciclo de Perfuração e Desmonte de Rocha (Drilling and Blasting Cycle)</w:t>
      </w:r>
    </w:p>
    <w:bookmarkStart w:id="238" w:name="fundamentos-técnicos-e-geométricos"/>
    <w:p>
      <w:pPr>
        <w:pStyle w:val="Heading2"/>
      </w:pPr>
      <w:r>
        <w:t xml:space="preserve">11.1 Fundamentos Técnicos e Geométricos</w:t>
      </w:r>
    </w:p>
    <w:bookmarkStart w:id="187"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80"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30"/>
        </w:numPr>
      </w:pPr>
      <w:r>
        <w:rPr>
          <w:b/>
          <w:bCs/>
        </w:rPr>
        <w:t xml:space="preserve">Mecanismo:</w:t>
      </w:r>
      <w:r>
        <w:t xml:space="preserve"> </w:t>
      </w:r>
      <w:r>
        <w:t xml:space="preserve">A potência de percussão é o produto da energia de impacto pela frequência.</w:t>
      </w:r>
    </w:p>
    <w:p>
      <w:pPr>
        <w:numPr>
          <w:ilvl w:val="0"/>
          <w:numId w:val="1130"/>
        </w:numPr>
      </w:pPr>
      <w:r>
        <w:rPr>
          <w:b/>
          <w:bCs/>
        </w:rPr>
        <w:t xml:space="preserve">Vantagem:</w:t>
      </w:r>
      <w:r>
        <w:t xml:space="preserve"> </w:t>
      </w:r>
      <w:r>
        <w:t xml:space="preserve">Alto ROP em rochas rasas e sólidas.</w:t>
      </w:r>
    </w:p>
    <w:p>
      <w:pPr>
        <w:numPr>
          <w:ilvl w:val="0"/>
          <w:numId w:val="1130"/>
        </w:numPr>
      </w:pPr>
      <w:r>
        <w:rPr>
          <w:b/>
          <w:bCs/>
        </w:rPr>
        <w:t xml:space="preserve">Desvantagem:</w:t>
      </w:r>
      <w:r>
        <w:t xml:space="preserve"> </w:t>
      </w:r>
      <w:r>
        <w:t xml:space="preserve">Perda de energia (~5%) em cada junta de haste.</w:t>
      </w:r>
    </w:p>
    <w:bookmarkEnd w:id="180"/>
    <w:bookmarkStart w:id="181"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1"/>
        </w:numPr>
      </w:pPr>
      <w:r>
        <w:rPr>
          <w:b/>
          <w:bCs/>
        </w:rPr>
        <w:t xml:space="preserve">Vantagem:</w:t>
      </w:r>
      <w:r>
        <w:t xml:space="preserve"> </w:t>
      </w:r>
      <w:r>
        <w:t xml:space="preserve">Mantém o ROP constante em furos profundos e garante maior precisão (menor desvio).</w:t>
      </w:r>
    </w:p>
    <w:p>
      <w:pPr>
        <w:numPr>
          <w:ilvl w:val="0"/>
          <w:numId w:val="1131"/>
        </w:numPr>
      </w:pPr>
      <w:r>
        <w:rPr>
          <w:b/>
          <w:bCs/>
        </w:rPr>
        <w:t xml:space="preserve">Desvantagem:</w:t>
      </w:r>
      <w:r>
        <w:t xml:space="preserve"> </w:t>
      </w:r>
      <w:r>
        <w:t xml:space="preserve">Exige maior suporte para afiação de bits e diâmetros mínimos elevados.</w:t>
      </w:r>
    </w:p>
    <w:bookmarkEnd w:id="181"/>
    <w:bookmarkStart w:id="186"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2"/>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2"/>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85" w:name="fig-metodo_perfuracao"/>
          <w:p>
            <w:pPr>
              <w:pStyle w:val="Compact"/>
              <w:jc w:val="center"/>
            </w:pPr>
            <w:r>
              <w:drawing>
                <wp:inline>
                  <wp:extent cx="5334000" cy="2911822"/>
                  <wp:effectExtent b="0" l="0" r="0" t="0"/>
                  <wp:docPr descr="" title="" id="183" name="Picture"/>
                  <a:graphic>
                    <a:graphicData uri="http://schemas.openxmlformats.org/drawingml/2006/picture">
                      <pic:pic>
                        <pic:nvPicPr>
                          <pic:cNvPr descr="chapters/../images/fig-metodo-perfur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85"/>
        </w:tc>
      </w:tr>
    </w:tbl>
    <w:bookmarkEnd w:id="186"/>
    <w:bookmarkEnd w:id="187"/>
    <w:bookmarkStart w:id="197"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88"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3"/>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88"/>
    <w:bookmarkStart w:id="189"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4"/>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89"/>
    <w:bookmarkStart w:id="190"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5"/>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90"/>
    <w:bookmarkStart w:id="191"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6"/>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91"/>
    <w:bookmarkStart w:id="192"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7"/>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92"/>
    <w:bookmarkStart w:id="196"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8"/>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94" name="Picture"/>
            <a:graphic>
              <a:graphicData uri="http://schemas.openxmlformats.org/drawingml/2006/picture">
                <pic:pic>
                  <pic:nvPicPr>
                    <pic:cNvPr descr="images/fig-parametros-bancada-gimini.jpg" id="195" name="Picture"/>
                    <pic:cNvPicPr>
                      <a:picLocks noChangeArrowheads="1" noChangeAspect="1"/>
                    </pic:cNvPicPr>
                  </pic:nvPicPr>
                  <pic:blipFill>
                    <a:blip r:embed="rId19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96"/>
    <w:bookmarkEnd w:id="197"/>
    <w:bookmarkStart w:id="206"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98"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9"/>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9"/>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98"/>
    <w:bookmarkStart w:id="199"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40"/>
        </w:numPr>
      </w:pPr>
      <w:r>
        <w:rPr>
          <w:b/>
          <w:bCs/>
        </w:rPr>
        <w:t xml:space="preserve">Característica Operacional:</w:t>
      </w:r>
      <w:r>
        <w:t xml:space="preserve"> </w:t>
      </w:r>
      <w:r>
        <w:t xml:space="preserve">Assim como na malha quadrada, permite uma perfuração rápida e manobras lineares simples.</w:t>
      </w:r>
    </w:p>
    <w:p>
      <w:pPr>
        <w:numPr>
          <w:ilvl w:val="0"/>
          <w:numId w:val="1140"/>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99"/>
    <w:bookmarkStart w:id="200"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1"/>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1"/>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200"/>
    <w:bookmarkStart w:id="205"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2"/>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2"/>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204" w:name="fig-tipos-malha"/>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tipos-malha-gimini.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204"/>
        </w:tc>
      </w:tr>
    </w:tbl>
    <w:bookmarkEnd w:id="205"/>
    <w:bookmarkEnd w:id="206"/>
    <w:bookmarkStart w:id="221"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11"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3"/>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3"/>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3"/>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3"/>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210" w:name="fig-faces-bits"/>
          <w:p>
            <w:pPr>
              <w:pStyle w:val="Compact"/>
              <w:jc w:val="center"/>
            </w:pPr>
            <w:r>
              <w:drawing>
                <wp:inline>
                  <wp:extent cx="5334000" cy="2911822"/>
                  <wp:effectExtent b="0" l="0" r="0" t="0"/>
                  <wp:docPr descr="" title="" id="208" name="Picture"/>
                  <a:graphic>
                    <a:graphicData uri="http://schemas.openxmlformats.org/drawingml/2006/picture">
                      <pic:pic>
                        <pic:nvPicPr>
                          <pic:cNvPr descr="images/fig-faces-bits.jpg" id="209" name="Picture"/>
                          <pic:cNvPicPr>
                            <a:picLocks noChangeArrowheads="1" noChangeAspect="1"/>
                          </pic:cNvPicPr>
                        </pic:nvPicPr>
                        <pic:blipFill>
                          <a:blip r:embed="rId207"/>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210"/>
        </w:tc>
      </w:tr>
    </w:tbl>
    <w:bookmarkEnd w:id="211"/>
    <w:bookmarkStart w:id="216"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4"/>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4"/>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5" w:name="fig-haste-perfuracao"/>
          <w:p>
            <w:pPr>
              <w:pStyle w:val="Compact"/>
              <w:jc w:val="center"/>
            </w:pPr>
            <w:r>
              <w:drawing>
                <wp:inline>
                  <wp:extent cx="5334000" cy="2911822"/>
                  <wp:effectExtent b="0" l="0" r="0" t="0"/>
                  <wp:docPr descr="" title="" id="213" name="Picture"/>
                  <a:graphic>
                    <a:graphicData uri="http://schemas.openxmlformats.org/drawingml/2006/picture">
                      <pic:pic>
                        <pic:nvPicPr>
                          <pic:cNvPr descr="chapters/../images/fig-haste-perfuracao.jpg" id="214" name="Picture"/>
                          <pic:cNvPicPr>
                            <a:picLocks noChangeArrowheads="1" noChangeAspect="1"/>
                          </pic:cNvPicPr>
                        </pic:nvPicPr>
                        <pic:blipFill>
                          <a:blip r:embed="rId212"/>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15"/>
        </w:tc>
      </w:tr>
    </w:tbl>
    <w:bookmarkEnd w:id="216"/>
    <w:bookmarkStart w:id="220"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Users\rafas\AppData\Local\Programs\Quarto\share\formats\docx\note.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5"/>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5"/>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5"/>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20"/>
    <w:bookmarkEnd w:id="221"/>
    <w:bookmarkStart w:id="237"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26"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25" w:name="fig-malha-perfuracao"/>
          <w:p>
            <w:pPr>
              <w:pStyle w:val="Compact"/>
              <w:jc w:val="center"/>
            </w:pPr>
            <w:r>
              <w:drawing>
                <wp:inline>
                  <wp:extent cx="5334000" cy="2911822"/>
                  <wp:effectExtent b="0" l="0" r="0" t="0"/>
                  <wp:docPr descr="" title="" id="223" name="Picture"/>
                  <a:graphic>
                    <a:graphicData uri="http://schemas.openxmlformats.org/drawingml/2006/picture">
                      <pic:pic>
                        <pic:nvPicPr>
                          <pic:cNvPr descr="images/fig-malha-perfura-gimini.jpg" id="224" name="Picture"/>
                          <pic:cNvPicPr>
                            <a:picLocks noChangeArrowheads="1" noChangeAspect="1"/>
                          </pic:cNvPicPr>
                        </pic:nvPicPr>
                        <pic:blipFill>
                          <a:blip r:embed="rId222"/>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25"/>
        </w:tc>
      </w:tr>
    </w:tbl>
    <w:bookmarkEnd w:id="226"/>
    <w:bookmarkStart w:id="231"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6"/>
        </w:numPr>
      </w:pPr>
      <w:r>
        <w:rPr>
          <w:b/>
          <w:bCs/>
        </w:rPr>
        <w:t xml:space="preserve">Zonas de Tampão:</w:t>
      </w:r>
      <w:r>
        <w:t xml:space="preserve"> </w:t>
      </w:r>
      <w:r>
        <w:t xml:space="preserve">A redução para 3,6 m (indicada pela área tracejada) foca na fragmentação da parte superior do furo.</w:t>
      </w:r>
    </w:p>
    <w:p>
      <w:pPr>
        <w:numPr>
          <w:ilvl w:val="0"/>
          <w:numId w:val="1146"/>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30" w:name="fig-reducao-tampao-perfuracao"/>
          <w:p>
            <w:pPr>
              <w:pStyle w:val="Compact"/>
              <w:jc w:val="center"/>
            </w:pPr>
            <w:r>
              <w:drawing>
                <wp:inline>
                  <wp:extent cx="5334000" cy="2911822"/>
                  <wp:effectExtent b="0" l="0" r="0" t="0"/>
                  <wp:docPr descr="" title="" id="228" name="Picture"/>
                  <a:graphic>
                    <a:graphicData uri="http://schemas.openxmlformats.org/drawingml/2006/picture">
                      <pic:pic>
                        <pic:nvPicPr>
                          <pic:cNvPr descr="chapters/../images/fig-reducao-tampao-perfura-gimini.jpg" id="229" name="Picture"/>
                          <pic:cNvPicPr>
                            <a:picLocks noChangeArrowheads="1" noChangeAspect="1"/>
                          </pic:cNvPicPr>
                        </pic:nvPicPr>
                        <pic:blipFill>
                          <a:blip r:embed="rId227"/>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30"/>
        </w:tc>
      </w:tr>
    </w:tbl>
    <w:bookmarkEnd w:id="231"/>
    <w:bookmarkStart w:id="236"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7"/>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7"/>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7"/>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35" w:name="fig-sequencia-analise-granulometrica"/>
          <w:p>
            <w:pPr>
              <w:pStyle w:val="Compact"/>
              <w:jc w:val="center"/>
            </w:pPr>
            <w:r>
              <w:drawing>
                <wp:inline>
                  <wp:extent cx="5334000" cy="2911822"/>
                  <wp:effectExtent b="0" l="0" r="0" t="0"/>
                  <wp:docPr descr="" title="" id="233" name="Picture"/>
                  <a:graphic>
                    <a:graphicData uri="http://schemas.openxmlformats.org/drawingml/2006/picture">
                      <pic:pic>
                        <pic:nvPicPr>
                          <pic:cNvPr descr="chapters/../images/fig-sequencia-analise-granulo-gimini.jpg" id="234" name="Picture"/>
                          <pic:cNvPicPr>
                            <a:picLocks noChangeArrowheads="1" noChangeAspect="1"/>
                          </pic:cNvPicPr>
                        </pic:nvPicPr>
                        <pic:blipFill>
                          <a:blip r:embed="rId232"/>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35"/>
        </w:tc>
      </w:tr>
    </w:tbl>
    <w:bookmarkEnd w:id="236"/>
    <w:bookmarkEnd w:id="237"/>
    <w:bookmarkEnd w:id="238"/>
    <w:bookmarkStart w:id="258"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8"/>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8"/>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8"/>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8"/>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8"/>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42" w:name="fig-ciclo-perfuracao"/>
          <w:p>
            <w:pPr>
              <w:pStyle w:val="Compact"/>
              <w:jc w:val="center"/>
            </w:pPr>
            <w:r>
              <w:drawing>
                <wp:inline>
                  <wp:extent cx="5334000" cy="2911822"/>
                  <wp:effectExtent b="0" l="0" r="0" t="0"/>
                  <wp:docPr descr="" title="" id="240" name="Picture"/>
                  <a:graphic>
                    <a:graphicData uri="http://schemas.openxmlformats.org/drawingml/2006/picture">
                      <pic:pic>
                        <pic:nvPicPr>
                          <pic:cNvPr descr="images/fig-ciclo-perfuracao-gimini.png" id="241" name="Picture"/>
                          <pic:cNvPicPr>
                            <a:picLocks noChangeArrowheads="1" noChangeAspect="1"/>
                          </pic:cNvPicPr>
                        </pic:nvPicPr>
                        <pic:blipFill>
                          <a:blip r:embed="rId239"/>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42"/>
        </w:tc>
      </w:tr>
    </w:tbl>
    <w:bookmarkStart w:id="246"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43"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43"/>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44"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9"/>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9"/>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9"/>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44"/>
    <w:bookmarkStart w:id="245"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50"/>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50"/>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50"/>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50"/>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50"/>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45"/>
    <w:bookmarkEnd w:id="246"/>
    <w:bookmarkStart w:id="248"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47"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47"/>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1"/>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1"/>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48"/>
    <w:bookmarkStart w:id="254"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2"/>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2"/>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2"/>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49"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49"/>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50"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50"/>
    <w:bookmarkStart w:id="253" w:name="análise-de-causa-raiz"/>
    <w:p>
      <w:pPr>
        <w:pStyle w:val="Heading4"/>
      </w:pPr>
      <w:r>
        <w:t xml:space="preserve">11.2.3.2 Análise de Causa Raiz</w:t>
      </w:r>
    </w:p>
    <w:p>
      <w:pPr>
        <w:numPr>
          <w:ilvl w:val="0"/>
          <w:numId w:val="1153"/>
        </w:numPr>
      </w:pPr>
      <w:r>
        <w:rPr>
          <w:b/>
          <w:bCs/>
        </w:rPr>
        <w:t xml:space="preserve">Ciclo 1 (Ociosidade Crítica):</w:t>
      </w:r>
      <w:r>
        <w:t xml:space="preserve"> </w:t>
      </w:r>
      <w:r>
        <w:t xml:space="preserve">Diferença de ~47 minutos. O tempo foi consumido por:</w:t>
      </w:r>
    </w:p>
    <w:p>
      <w:pPr>
        <w:numPr>
          <w:ilvl w:val="1"/>
          <w:numId w:val="1154"/>
        </w:numPr>
      </w:pPr>
      <w:r>
        <w:rPr>
          <w:i/>
          <w:iCs/>
        </w:rPr>
        <w:t xml:space="preserve">Shift Change (1.13 min):</w:t>
      </w:r>
      <w:r>
        <w:t xml:space="preserve"> </w:t>
      </w:r>
      <w:r>
        <w:t xml:space="preserve">Troca de turno rápida.</w:t>
      </w:r>
    </w:p>
    <w:p>
      <w:pPr>
        <w:numPr>
          <w:ilvl w:val="1"/>
          <w:numId w:val="1154"/>
        </w:numPr>
      </w:pPr>
      <w:r>
        <w:rPr>
          <w:i/>
          <w:iCs/>
        </w:rPr>
        <w:t xml:space="preserve">Operator Talk/Lecture (45.6 min):</w:t>
      </w:r>
      <w:r>
        <w:t xml:space="preserve"> </w:t>
      </w:r>
      <w:r>
        <w:t xml:space="preserve">Palestra operacional.</w:t>
      </w:r>
    </w:p>
    <w:p>
      <w:pPr>
        <w:numPr>
          <w:ilvl w:val="1"/>
          <w:numId w:val="1154"/>
        </w:numPr>
      </w:pPr>
      <w:r>
        <w:rPr>
          <w:b/>
          <w:bCs/>
        </w:rPr>
        <w:t xml:space="preserve">Insight:</w:t>
      </w:r>
      <w:r>
        <w:t xml:space="preserve"> </w:t>
      </w:r>
      <w:r>
        <w:t xml:space="preserve">O baixo rendimento não foi mecânico ou geológico, mas uma decisão de gestão (treinamento).</w:t>
      </w:r>
    </w:p>
    <w:p>
      <w:pPr>
        <w:numPr>
          <w:ilvl w:val="0"/>
          <w:numId w:val="1153"/>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3"/>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C:\Users\rafas\AppData\Local\Programs\Quarto\share\formats\docx\tip.png" id="2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53"/>
    <w:bookmarkEnd w:id="254"/>
    <w:bookmarkStart w:id="257"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5"/>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5"/>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5"/>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56"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55"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55"/>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6"/>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6"/>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6"/>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56"/>
    <w:bookmarkEnd w:id="257"/>
    <w:bookmarkEnd w:id="258"/>
    <w:bookmarkStart w:id="280"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61"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59"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59"/>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60"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2603"/>
              <w:gridCol w:w="1735"/>
              <w:gridCol w:w="1844"/>
              <w:gridCol w:w="1735"/>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60"/>
          <w:p/>
        </w:tc>
      </w:tr>
    </w:tbl>
    <w:bookmarkEnd w:id="261"/>
    <w:bookmarkStart w:id="262"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7"/>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7"/>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62"/>
    <w:bookmarkStart w:id="263"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8"/>
        </w:numPr>
      </w:pPr>
      <m:oMath>
        <m:r>
          <m:t>R</m:t>
        </m:r>
        <m:r>
          <m:t>O</m:t>
        </m:r>
        <m:r>
          <m:t>P</m:t>
        </m:r>
      </m:oMath>
      <w:r>
        <w:t xml:space="preserve">: Taxa de Penetração Líquida (m/h).</w:t>
      </w:r>
    </w:p>
    <w:p>
      <w:pPr>
        <w:numPr>
          <w:ilvl w:val="0"/>
          <w:numId w:val="1158"/>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63"/>
    <w:bookmarkStart w:id="266"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9"/>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rafas\AppData\Local\Programs\Quarto\share\formats\docx\tip.png" id="26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66"/>
    <w:bookmarkStart w:id="268"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7"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67"/>
          <w:p/>
        </w:tc>
      </w:tr>
    </w:tbl>
    <w:bookmarkEnd w:id="268"/>
    <w:bookmarkStart w:id="269"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60"/>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60"/>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60"/>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69"/>
    <w:bookmarkStart w:id="274"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3" w:name="fig-fases-breakdown"/>
          <w:p>
            <w:pPr>
              <w:pStyle w:val="Compact"/>
              <w:jc w:val="center"/>
            </w:pPr>
            <w:r>
              <w:drawing>
                <wp:inline>
                  <wp:extent cx="4620126" cy="3696101"/>
                  <wp:effectExtent b="0" l="0" r="0" t="0"/>
                  <wp:docPr descr="" title="" id="271" name="Picture"/>
                  <a:graphic>
                    <a:graphicData uri="http://schemas.openxmlformats.org/drawingml/2006/picture">
                      <pic:pic>
                        <pic:nvPicPr>
                          <pic:cNvPr descr="chapters/ciclo1-perfuracao_files/figure-docx/fig-fases-breakdown-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73"/>
        </w:tc>
      </w:tr>
    </w:tbl>
    <w:bookmarkEnd w:id="274"/>
    <w:bookmarkStart w:id="279"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75" w:name="estrutura-dos-eixos-e-composição"/>
    <w:p>
      <w:pPr>
        <w:pStyle w:val="Heading4"/>
      </w:pPr>
      <w:r>
        <w:t xml:space="preserve">11.3.8.1 Estrutura dos Eixos e Composição</w:t>
      </w:r>
    </w:p>
    <w:p>
      <w:pPr>
        <w:numPr>
          <w:ilvl w:val="0"/>
          <w:numId w:val="1161"/>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1"/>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75"/>
    <w:bookmarkStart w:id="276" w:name="Xa2dc0c04db64871d1442c7a5dff720088f71861"/>
    <w:p>
      <w:pPr>
        <w:pStyle w:val="Heading4"/>
      </w:pPr>
      <w:r>
        <w:t xml:space="preserve">11.3.8.2 Dinâmica das Camadas (Componentes do Ciclo)</w:t>
      </w:r>
    </w:p>
    <w:p>
      <w:pPr>
        <w:numPr>
          <w:ilvl w:val="0"/>
          <w:numId w:val="1162"/>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2"/>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2"/>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2"/>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76"/>
    <w:bookmarkStart w:id="277" w:name="Xdd8423bc0e2811c42e4fe2f39a6a1a6f79aa04f"/>
    <w:p>
      <w:pPr>
        <w:pStyle w:val="Heading4"/>
      </w:pPr>
      <w:r>
        <w:t xml:space="preserve">11.3.8.3 Diagnóstico de Variabilidade e Integridade</w:t>
      </w:r>
    </w:p>
    <w:p>
      <w:pPr>
        <w:numPr>
          <w:ilvl w:val="0"/>
          <w:numId w:val="1163"/>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3"/>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77"/>
    <w:bookmarkStart w:id="278"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78"/>
    <w:bookmarkEnd w:id="279"/>
    <w:bookmarkEnd w:id="280"/>
    <w:bookmarkStart w:id="287"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86"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4"/>
        </w:numPr>
      </w:pPr>
      <w:r>
        <w:rPr>
          <w:b/>
          <w:bCs/>
        </w:rPr>
        <w:t xml:space="preserve">Anonimização Total:</w:t>
      </w:r>
      <w:r>
        <w:t xml:space="preserve"> </w:t>
      </w:r>
      <w:r>
        <w:t xml:space="preserve">A localização geográfica real da jazida é protegida.</w:t>
      </w:r>
    </w:p>
    <w:p>
      <w:pPr>
        <w:numPr>
          <w:ilvl w:val="0"/>
          <w:numId w:val="1164"/>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4"/>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81"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81"/>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85" w:name="fig-mapa-perfuracao"/>
          <w:p>
            <w:pPr>
              <w:pStyle w:val="Compact"/>
              <w:jc w:val="center"/>
            </w:pPr>
            <w:r>
              <w:drawing>
                <wp:inline>
                  <wp:extent cx="4620126" cy="3696101"/>
                  <wp:effectExtent b="0" l="0" r="0" t="0"/>
                  <wp:docPr descr="" title="" id="283" name="Picture"/>
                  <a:graphic>
                    <a:graphicData uri="http://schemas.openxmlformats.org/drawingml/2006/picture">
                      <pic:pic>
                        <pic:nvPicPr>
                          <pic:cNvPr descr="chapters/ciclo1-perfuracao_files/figure-docx/fig-mapa-perfuracao-1.png" id="284" name="Picture"/>
                          <pic:cNvPicPr>
                            <a:picLocks noChangeArrowheads="1" noChangeAspect="1"/>
                          </pic:cNvPicPr>
                        </pic:nvPicPr>
                        <pic:blipFill>
                          <a:blip r:embed="rId2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85"/>
        </w:tc>
      </w:tr>
    </w:tbl>
    <w:bookmarkEnd w:id="286"/>
    <w:bookmarkEnd w:id="287"/>
    <w:bookmarkStart w:id="288"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88"/>
    <w:bookmarkStart w:id="292"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C:\Users\rafas\AppData\Local\Programs\Quarto\share\formats\docx\warning.png" id="291" name="Picture"/>
                          <pic:cNvPicPr>
                            <a:picLocks noChangeArrowheads="1" noChangeAspect="1"/>
                          </pic:cNvPicPr>
                        </pic:nvPicPr>
                        <pic:blipFill>
                          <a:blip r:embed="rId2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92"/>
    <w:bookmarkStart w:id="298" w:name="exemplos-adicionais"/>
    <w:p>
      <w:pPr>
        <w:pStyle w:val="Heading2"/>
      </w:pPr>
      <w:r>
        <w:t xml:space="preserve">11.7 Exemplos Adicionais</w:t>
      </w:r>
    </w:p>
    <w:bookmarkStart w:id="293"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93"/>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97"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94"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5"/>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5"/>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5"/>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94"/>
    <w:bookmarkStart w:id="295"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6"/>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6"/>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6"/>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95"/>
    <w:bookmarkStart w:id="296"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7"/>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7"/>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7"/>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96"/>
    <w:bookmarkEnd w:id="297"/>
    <w:bookmarkEnd w:id="298"/>
    <w:bookmarkEnd w:id="299"/>
    <w:bookmarkStart w:id="318" w:name="chap-ciclo-carregamento"/>
    <w:p>
      <w:pPr>
        <w:pStyle w:val="Heading1"/>
      </w:pPr>
      <w:r>
        <w:t xml:space="preserve">12. A Identidade Fundamental do Carregamento</w:t>
      </w:r>
    </w:p>
    <w:bookmarkStart w:id="304" w:name="X86d8e6d8afb4916daed914780113df7811029c8"/>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303" w:name="fig-ciclo-posicionamento-carga"/>
          <w:p>
            <w:pPr>
              <w:pStyle w:val="Compact"/>
              <w:jc w:val="center"/>
            </w:pPr>
            <w:r>
              <w:drawing>
                <wp:inline>
                  <wp:extent cx="5334000" cy="1952476"/>
                  <wp:effectExtent b="0" l="0" r="0" t="0"/>
                  <wp:docPr descr="" title="" id="301" name="Picture"/>
                  <a:graphic>
                    <a:graphicData uri="http://schemas.openxmlformats.org/drawingml/2006/picture">
                      <pic:pic>
                        <pic:nvPicPr>
                          <pic:cNvPr descr="images/fig_processo_posicionamento_carga.png" id="302" name="Picture"/>
                          <pic:cNvPicPr>
                            <a:picLocks noChangeArrowheads="1" noChangeAspect="1"/>
                          </pic:cNvPicPr>
                        </pic:nvPicPr>
                        <pic:blipFill>
                          <a:blip r:embed="rId300"/>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303"/>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304"/>
    <w:bookmarkStart w:id="305"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305"/>
    <w:bookmarkStart w:id="306"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8"/>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8"/>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8"/>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8"/>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306"/>
    <w:bookmarkStart w:id="309"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9"/>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9"/>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9"/>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9"/>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308"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307"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307"/>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308"/>
    <w:bookmarkEnd w:id="309"/>
    <w:bookmarkStart w:id="317"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310"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310"/>
    <w:bookmarkStart w:id="311"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11"/>
    <w:bookmarkStart w:id="312"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12"/>
    <w:bookmarkStart w:id="313"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13"/>
    <w:bookmarkStart w:id="314"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14"/>
    <w:bookmarkStart w:id="315"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15"/>
    <w:bookmarkStart w:id="316"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16"/>
    <w:bookmarkEnd w:id="317"/>
    <w:bookmarkEnd w:id="318"/>
    <w:bookmarkStart w:id="340" w:name="chap-transporte"/>
    <w:p>
      <w:pPr>
        <w:pStyle w:val="Heading1"/>
      </w:pPr>
      <w:r>
        <w:t xml:space="preserve">13. A Jornada de 7 Eventos e o Ciclo de Transporte</w:t>
      </w:r>
    </w:p>
    <w:bookmarkStart w:id="319"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19"/>
    <w:bookmarkStart w:id="325"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23" w:name="fig-ciclo-transporte"/>
          <w:p>
            <w:pPr>
              <w:pStyle w:val="Compact"/>
              <w:jc w:val="center"/>
            </w:pPr>
            <w:r>
              <w:drawing>
                <wp:inline>
                  <wp:extent cx="5334000" cy="2564286"/>
                  <wp:effectExtent b="0" l="0" r="0" t="0"/>
                  <wp:docPr descr="" title="" id="321" name="Picture"/>
                  <a:graphic>
                    <a:graphicData uri="http://schemas.openxmlformats.org/drawingml/2006/picture">
                      <pic:pic>
                        <pic:nvPicPr>
                          <pic:cNvPr descr="images/fig-ciclo-transporte.png" id="322" name="Picture"/>
                          <pic:cNvPicPr>
                            <a:picLocks noChangeArrowheads="1" noChangeAspect="1"/>
                          </pic:cNvPicPr>
                        </pic:nvPicPr>
                        <pic:blipFill>
                          <a:blip r:embed="rId320"/>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23"/>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70"/>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70"/>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70"/>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70"/>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70"/>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70"/>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70"/>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24"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24"/>
    <w:bookmarkEnd w:id="325"/>
    <w:bookmarkStart w:id="327"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26"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26"/>
          <w:p/>
        </w:tc>
      </w:tr>
    </w:tbl>
    <w:bookmarkEnd w:id="327"/>
    <w:bookmarkStart w:id="329"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28"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28"/>
    <w:bookmarkEnd w:id="329"/>
    <w:bookmarkStart w:id="336"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30"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1"/>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1"/>
        </w:numPr>
      </w:pPr>
      <m:oMath>
        <m:r>
          <m:t>N</m:t>
        </m:r>
        <m:d>
          <m:dPr>
            <m:begChr m:val="("/>
            <m:sepChr m:val=""/>
            <m:endChr m:val=")"/>
            <m:grow/>
          </m:dPr>
          <m:e>
            <m:r>
              <m:t>t</m:t>
            </m:r>
          </m:e>
        </m:d>
      </m:oMath>
      <w:r>
        <w:t xml:space="preserve">: número total de ciclos no período.</w:t>
      </w:r>
    </w:p>
    <w:bookmarkEnd w:id="330"/>
    <w:bookmarkStart w:id="331"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2"/>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31"/>
    <w:bookmarkStart w:id="332"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3"/>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32"/>
    <w:bookmarkStart w:id="333"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33"/>
    <w:bookmarkStart w:id="334"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34"/>
    <w:bookmarkStart w:id="335"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35"/>
    <w:bookmarkEnd w:id="336"/>
    <w:bookmarkStart w:id="337"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4"/>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4"/>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4"/>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4"/>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37"/>
    <w:bookmarkStart w:id="338"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38"/>
    <w:bookmarkStart w:id="339"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39"/>
    <w:bookmarkEnd w:id="340"/>
    <w:bookmarkStart w:id="341" w:name="plan-crtl-opera-1"/>
    <w:p>
      <w:pPr>
        <w:pStyle w:val="Heading1"/>
      </w:pPr>
      <w:r>
        <w:t xml:space="preserve">14. plan-crtl-opera</w:t>
      </w:r>
    </w:p>
    <w:bookmarkEnd w:id="341"/>
    <w:bookmarkStart w:id="342" w:name="plan-crtl-manut"/>
    <w:p>
      <w:pPr>
        <w:pStyle w:val="Heading1"/>
      </w:pPr>
      <w:r>
        <w:t xml:space="preserve">15. plan-crtl-manut</w:t>
      </w:r>
    </w:p>
    <w:bookmarkEnd w:id="342"/>
    <w:bookmarkStart w:id="343" w:name="confiabilidade"/>
    <w:p>
      <w:pPr>
        <w:pStyle w:val="Heading1"/>
      </w:pPr>
      <w:r>
        <w:t xml:space="preserve">16. confiabilidade</w:t>
      </w:r>
    </w:p>
    <w:bookmarkEnd w:id="343"/>
    <w:bookmarkStart w:id="354" w:name="app-dicionario"/>
    <w:p>
      <w:pPr>
        <w:pStyle w:val="Heading1"/>
      </w:pPr>
      <w:r>
        <w:t xml:space="preserve">Appendix A — Dicionário de Dados</w:t>
      </w:r>
    </w:p>
    <w:p>
      <w:pPr>
        <w:pStyle w:val="FirstParagraph"/>
      </w:pPr>
      <w:r>
        <w:t xml:space="preserve">Este apêndice detalha os conjuntos de dados contidos no pacote miningKPI, utilizados nos estudos de caso de carga, transporte e perfuração. Todos os dados foram anonimizados para proteger informações sensíveis, mantendo a integridade estatística necessária para o aprendizado de Mining Analytics.</w:t>
      </w:r>
    </w:p>
    <w:p>
      <w:pPr>
        <w:pStyle w:val="SourceCode"/>
      </w:pPr>
      <w:r>
        <w:rPr>
          <w:rStyle w:val="CommentTok"/>
        </w:rPr>
        <w:t xml:space="preserve"># Como carregar todos os dados do pacote</w:t>
      </w:r>
      <w:r>
        <w:br/>
      </w:r>
      <w:r>
        <w:rPr>
          <w:rStyle w:val="FunctionTok"/>
        </w:rPr>
        <w:t xml:space="preserve">library</w:t>
      </w:r>
      <w:r>
        <w:rPr>
          <w:rStyle w:val="NormalTok"/>
        </w:rPr>
        <w:t xml:space="preserve">(miningKPI)</w:t>
      </w:r>
      <w:r>
        <w:br/>
      </w:r>
      <w:r>
        <w:rPr>
          <w:rStyle w:val="FunctionTok"/>
        </w:rPr>
        <w:t xml:space="preserve">data</w:t>
      </w:r>
      <w:r>
        <w:rPr>
          <w:rStyle w:val="NormalTok"/>
        </w:rPr>
        <w:t xml:space="preserve">(</w:t>
      </w:r>
      <w:r>
        <w:rPr>
          <w:rStyle w:val="AttributeTok"/>
        </w:rPr>
        <w:t xml:space="preserve">package =</w:t>
      </w:r>
      <w:r>
        <w:rPr>
          <w:rStyle w:val="NormalTok"/>
        </w:rPr>
        <w:t xml:space="preserve"> </w:t>
      </w:r>
      <w:r>
        <w:rPr>
          <w:rStyle w:val="StringTok"/>
        </w:rPr>
        <w:t xml:space="preserve">"miningKPI"</w:t>
      </w:r>
      <w:r>
        <w:rPr>
          <w:rStyle w:val="NormalTok"/>
        </w:rPr>
        <w:t xml:space="preserve">)</w:t>
      </w:r>
    </w:p>
    <w:bookmarkStart w:id="346" w:name="processo-de-carregamento-mina-a"/>
    <w:p>
      <w:pPr>
        <w:pStyle w:val="Heading2"/>
      </w:pPr>
      <w:r>
        <w:t xml:space="preserve">A.1 Processo de Carregamento (Mina A)</w:t>
      </w:r>
    </w:p>
    <w:p>
      <w:pPr>
        <w:pStyle w:val="FirstParagraph"/>
      </w:pPr>
      <w:r>
        <w:t xml:space="preserve">Os dados de carga representam a interface entre a extração e o transporte. Eles focam na performance das escavadeiras e pás carregadeiras.</w:t>
      </w:r>
    </w:p>
    <w:bookmarkStart w:id="344" w:name="Xe33b2cfa7106de6711ec483d11e2f12aac32f08"/>
    <w:p>
      <w:pPr>
        <w:pStyle w:val="Heading3"/>
      </w:pPr>
      <w:r>
        <w:t xml:space="preserve">A.1.1 Eventos de Carregamento (</w:t>
      </w:r>
      <w:r>
        <w:rPr>
          <w:rStyle w:val="VerbatimChar"/>
        </w:rPr>
        <w:t xml:space="preserve">load_events_mine_a</w:t>
      </w:r>
      <w:r>
        <w:t xml:space="preserve">)</w:t>
      </w:r>
    </w:p>
    <w:p>
      <w:pPr>
        <w:pStyle w:val="FirstParagraph"/>
      </w:pPr>
      <w:r>
        <w:t xml:space="preserve">Dataset em formato</w:t>
      </w:r>
      <w:r>
        <w:t xml:space="preserve"> </w:t>
      </w:r>
      <w:r>
        <w:rPr>
          <w:i/>
          <w:iCs/>
        </w:rPr>
        <w:t xml:space="preserve">long</w:t>
      </w:r>
      <w:r>
        <w:t xml:space="preserve">, descrevendo os estados fundamentais do processo estocástico de carga.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cycle_id</w:t>
            </w:r>
          </w:p>
        </w:tc>
        <w:tc>
          <w:tcPr/>
          <w:p>
            <w:pPr>
              <w:pStyle w:val="Compact"/>
            </w:pPr>
            <w:r>
              <w:t xml:space="preserve">Identificador único do ciclo de carregamento.</w:t>
            </w:r>
          </w:p>
        </w:tc>
      </w:tr>
      <w:tr>
        <w:tc>
          <w:tcPr/>
          <w:p>
            <w:pPr>
              <w:pStyle w:val="Compact"/>
            </w:pPr>
            <w:r>
              <w:rPr>
                <w:rStyle w:val="VerbatimChar"/>
              </w:rPr>
              <w:t xml:space="preserve">first_time</w:t>
            </w:r>
          </w:p>
        </w:tc>
        <w:tc>
          <w:tcPr/>
          <w:p>
            <w:pPr>
              <w:pStyle w:val="Compact"/>
            </w:pPr>
            <w:r>
              <w:t xml:space="preserve">Início do evento específico.</w:t>
            </w:r>
          </w:p>
        </w:tc>
      </w:tr>
      <w:tr>
        <w:tc>
          <w:tcPr/>
          <w:p>
            <w:pPr>
              <w:pStyle w:val="Compact"/>
            </w:pPr>
            <w:r>
              <w:rPr>
                <w:rStyle w:val="VerbatimChar"/>
              </w:rPr>
              <w:t xml:space="preserve">exit_time</w:t>
            </w:r>
          </w:p>
        </w:tc>
        <w:tc>
          <w:tcPr/>
          <w:p>
            <w:pPr>
              <w:pStyle w:val="Compact"/>
            </w:pPr>
            <w:r>
              <w:t xml:space="preserve">Término do evento (</w:t>
            </w:r>
            <m:oMath>
              <m:sSub>
                <m:e>
                  <m:r>
                    <m:t>T</m:t>
                  </m:r>
                </m:e>
                <m:sub>
                  <m:r>
                    <m:t>i</m:t>
                  </m:r>
                </m:sub>
              </m:sSub>
            </m:oMath>
            <w:r>
              <w:t xml:space="preserve">).</w:t>
            </w:r>
          </w:p>
        </w:tc>
      </w:tr>
      <w:tr>
        <w:tc>
          <w:tcPr/>
          <w:p>
            <w:pPr>
              <w:pStyle w:val="Compact"/>
            </w:pPr>
            <w:r>
              <w:rPr>
                <w:rStyle w:val="VerbatimChar"/>
              </w:rPr>
              <w:t xml:space="preserve">load_fleet</w:t>
            </w:r>
          </w:p>
        </w:tc>
        <w:tc>
          <w:tcPr/>
          <w:p>
            <w:pPr>
              <w:pStyle w:val="Compact"/>
            </w:pPr>
            <w:r>
              <w:t xml:space="preserve">Classe técnica do equipamento de carga.</w:t>
            </w:r>
          </w:p>
        </w:tc>
      </w:tr>
      <w:tr>
        <w:tc>
          <w:tcPr/>
          <w:p>
            <w:pPr>
              <w:pStyle w:val="Compact"/>
            </w:pPr>
            <w:r>
              <w:rPr>
                <w:rStyle w:val="VerbatimChar"/>
              </w:rPr>
              <w:t xml:space="preserve">payload</w:t>
            </w:r>
          </w:p>
        </w:tc>
        <w:tc>
          <w:tcPr/>
          <w:p>
            <w:pPr>
              <w:pStyle w:val="Compact"/>
            </w:pPr>
            <w:r>
              <w:t xml:space="preserve">Massa carregada (</w:t>
            </w:r>
            <m:oMath>
              <m:sSub>
                <m:e>
                  <m:r>
                    <m:t>L</m:t>
                  </m:r>
                </m:e>
                <m:sub>
                  <m:r>
                    <m:t>i</m:t>
                  </m:r>
                </m:sub>
              </m:sSub>
            </m:oMath>
            <w:r>
              <w:t xml:space="preserve">) em toneladas.</w:t>
            </w:r>
          </w:p>
        </w:tc>
      </w:tr>
      <w:tr>
        <w:tc>
          <w:tcPr/>
          <w:p>
            <w:pPr>
              <w:pStyle w:val="Compact"/>
            </w:pPr>
            <w:r>
              <w:rPr>
                <w:rStyle w:val="VerbatimChar"/>
              </w:rPr>
              <w:t xml:space="preserve">event_type</w:t>
            </w:r>
          </w:p>
        </w:tc>
        <w:tc>
          <w:tcPr/>
          <w:p>
            <w:pPr>
              <w:pStyle w:val="Compact"/>
            </w:pPr>
            <w:r>
              <w:t xml:space="preserve">Estado operacional:</w:t>
            </w:r>
            <w:r>
              <w:t xml:space="preserve"> </w:t>
            </w:r>
            <w:r>
              <w:rPr>
                <w:rStyle w:val="VerbatimChar"/>
              </w:rPr>
              <w:t xml:space="preserve">maneuver</w:t>
            </w:r>
            <w:r>
              <w:t xml:space="preserve"> </w:t>
            </w:r>
            <w:r>
              <w:t xml:space="preserve">(manobra),</w:t>
            </w:r>
            <w:r>
              <w:t xml:space="preserve"> </w:t>
            </w:r>
            <w:r>
              <w:rPr>
                <w:rStyle w:val="VerbatimChar"/>
              </w:rPr>
              <w:t xml:space="preserve">loading</w:t>
            </w:r>
            <w:r>
              <w:t xml:space="preserve"> </w:t>
            </w:r>
            <w:r>
              <w:t xml:space="preserve">(carga) ou</w:t>
            </w:r>
            <w:r>
              <w:t xml:space="preserve"> </w:t>
            </w:r>
            <w:r>
              <w:rPr>
                <w:rStyle w:val="VerbatimChar"/>
              </w:rPr>
              <w:t xml:space="preserve">idle</w:t>
            </w:r>
            <w:r>
              <w:t xml:space="preserve"> </w:t>
            </w:r>
            <w:r>
              <w:t xml:space="preserve">(ocioso).</w:t>
            </w:r>
          </w:p>
        </w:tc>
      </w:tr>
      <w:tr>
        <w:tc>
          <w:tcPr/>
          <w:p>
            <w:pPr>
              <w:pStyle w:val="Compact"/>
            </w:pPr>
            <w:r>
              <w:rPr>
                <w:rStyle w:val="VerbatimChar"/>
              </w:rPr>
              <w:t xml:space="preserve">duration_min</w:t>
            </w:r>
          </w:p>
        </w:tc>
        <w:tc>
          <w:tcPr/>
          <w:p>
            <w:pPr>
              <w:pStyle w:val="Compact"/>
            </w:pPr>
            <w:r>
              <w:t xml:space="preserve">Duração do evento em minutos decimais.</w:t>
            </w:r>
          </w:p>
        </w:tc>
      </w:tr>
    </w:tbl>
    <w:bookmarkEnd w:id="344"/>
    <w:bookmarkStart w:id="345" w:name="X803a680978202162c81d681f93497ecc76b0f9a"/>
    <w:p>
      <w:pPr>
        <w:pStyle w:val="Heading3"/>
      </w:pPr>
      <w:r>
        <w:t xml:space="preserve">A.1.2 Ciclos de Carregamento (</w:t>
      </w:r>
      <w:r>
        <w:rPr>
          <w:rStyle w:val="VerbatimChar"/>
        </w:rPr>
        <w:t xml:space="preserve">load_cycles_mine_a</w:t>
      </w:r>
      <w:r>
        <w:t xml:space="preserve">)</w:t>
      </w:r>
    </w:p>
    <w:p>
      <w:pPr>
        <w:pStyle w:val="FirstParagraph"/>
      </w:pPr>
      <w:r>
        <w:t xml:space="preserve">Dataset agregando os eventos em ciclos completos de atendimento (</w:t>
      </w:r>
      <m:oMath>
        <m:sSub>
          <m:e>
            <m:r>
              <m:t>X</m:t>
            </m:r>
          </m:e>
          <m:sub>
            <m:r>
              <m:t>i</m:t>
            </m:r>
          </m:sub>
        </m:sSub>
      </m:oMath>
      <w:r>
        <w:t xml:space="preserve">).</w:t>
      </w:r>
    </w:p>
    <w:tbl>
      <w:tblPr>
        <w:tblStyle w:val="Table"/>
        <w:tblW w:type="pct" w:w="5000"/>
        <w:tblLayout w:type="fixed"/>
        <w:tblLook w:firstRow="0" w:lastRow="0" w:firstColumn="0" w:lastColumn="0" w:noHBand="0" w:noVBand="0" w:val="0000"/>
      </w:tblPr>
      <w:tblGrid>
        <w:gridCol w:w="1689"/>
        <w:gridCol w:w="623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duration_min</w:t>
            </w:r>
          </w:p>
        </w:tc>
        <w:tc>
          <w:tcPr/>
          <w:p>
            <w:pPr>
              <w:pStyle w:val="Compact"/>
            </w:pPr>
            <w:r>
              <w:t xml:space="preserve">Tempo total do ciclo (</w:t>
            </w: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w:r>
              <w:t xml:space="preserve">).</w:t>
            </w:r>
          </w:p>
        </w:tc>
      </w:tr>
      <w:tr>
        <w:tc>
          <w:tcPr/>
          <w:p>
            <w:pPr>
              <w:pStyle w:val="Compact"/>
            </w:pPr>
            <w:r>
              <w:rPr>
                <w:rStyle w:val="VerbatimChar"/>
              </w:rPr>
              <w:t xml:space="preserve">m_time</w:t>
            </w:r>
          </w:p>
        </w:tc>
        <w:tc>
          <w:tcPr/>
          <w:p>
            <w:pPr>
              <w:pStyle w:val="Compact"/>
            </w:pPr>
            <w:r>
              <w:t xml:space="preserve">Duração da manobra de posicionamento do caminhão (</w:t>
            </w:r>
            <m:oMath>
              <m:sSub>
                <m:e>
                  <m:r>
                    <m:t>M</m:t>
                  </m:r>
                </m:e>
                <m:sub>
                  <m:r>
                    <m:t>i</m:t>
                  </m:r>
                </m:sub>
              </m:sSub>
            </m:oMath>
            <w:r>
              <w:t xml:space="preserve">).</w:t>
            </w:r>
          </w:p>
        </w:tc>
      </w:tr>
      <w:tr>
        <w:tc>
          <w:tcPr/>
          <w:p>
            <w:pPr>
              <w:pStyle w:val="Compact"/>
            </w:pPr>
            <w:r>
              <w:rPr>
                <w:rStyle w:val="VerbatimChar"/>
              </w:rPr>
              <w:t xml:space="preserve">l_time</w:t>
            </w:r>
          </w:p>
        </w:tc>
        <w:tc>
          <w:tcPr/>
          <w:p>
            <w:pPr>
              <w:pStyle w:val="Compact"/>
            </w:pPr>
            <w:r>
              <w:t xml:space="preserve">Duração do carregamento efetivo (</w:t>
            </w:r>
            <m:oMath>
              <m:sSub>
                <m:e>
                  <m:r>
                    <m:t>D</m:t>
                  </m:r>
                </m:e>
                <m:sub>
                  <m:r>
                    <m:t>i</m:t>
                  </m:r>
                </m:sub>
              </m:sSub>
            </m:oMath>
            <w:r>
              <w:t xml:space="preserve">).</w:t>
            </w:r>
          </w:p>
        </w:tc>
      </w:tr>
      <w:tr>
        <w:tc>
          <w:tcPr/>
          <w:p>
            <w:pPr>
              <w:pStyle w:val="Compact"/>
            </w:pPr>
            <w:r>
              <w:rPr>
                <w:rStyle w:val="VerbatimChar"/>
              </w:rPr>
              <w:t xml:space="preserve">i_time</w:t>
            </w:r>
          </w:p>
        </w:tc>
        <w:tc>
          <w:tcPr/>
          <w:p>
            <w:pPr>
              <w:pStyle w:val="Compact"/>
            </w:pPr>
            <w:r>
              <w:t xml:space="preserve">Ociosidade operacional (espera por caminhão) (</w:t>
            </w:r>
            <m:oMath>
              <m:sSub>
                <m:e>
                  <m:r>
                    <m:t>O</m:t>
                  </m:r>
                </m:e>
                <m:sub>
                  <m:r>
                    <m:t>i</m:t>
                  </m:r>
                </m:sub>
              </m:sSub>
            </m:oMath>
            <w:r>
              <w:t xml:space="preserve">).</w:t>
            </w:r>
          </w:p>
        </w:tc>
      </w:tr>
      <w:tr>
        <w:tc>
          <w:tcPr/>
          <w:p>
            <w:pPr>
              <w:pStyle w:val="Compact"/>
            </w:pPr>
            <w:r>
              <w:rPr>
                <w:rStyle w:val="VerbatimChar"/>
              </w:rPr>
              <w:t xml:space="preserve">load_status</w:t>
            </w:r>
          </w:p>
        </w:tc>
        <w:tc>
          <w:tcPr/>
          <w:p>
            <w:pPr>
              <w:pStyle w:val="Compact"/>
            </w:pPr>
            <w:r>
              <w:t xml:space="preserve">Status qualitativo (Ex:</w:t>
            </w:r>
            <w:r>
              <w:t xml:space="preserve"> </w:t>
            </w:r>
            <w:r>
              <w:rPr>
                <w:i/>
                <w:iCs/>
              </w:rPr>
              <w:t xml:space="preserve">Target Met</w:t>
            </w:r>
            <w:r>
              <w:t xml:space="preserve">,</w:t>
            </w:r>
            <w:r>
              <w:t xml:space="preserve"> </w:t>
            </w:r>
            <w:r>
              <w:rPr>
                <w:i/>
                <w:iCs/>
              </w:rPr>
              <w:t xml:space="preserve">Underload</w:t>
            </w:r>
            <w:r>
              <w:t xml:space="preserve">).</w:t>
            </w:r>
          </w:p>
        </w:tc>
      </w:tr>
    </w:tbl>
    <w:bookmarkEnd w:id="345"/>
    <w:bookmarkEnd w:id="346"/>
    <w:bookmarkStart w:id="349" w:name="processo-de-transporte-mina-a"/>
    <w:p>
      <w:pPr>
        <w:pStyle w:val="Heading2"/>
      </w:pPr>
      <w:r>
        <w:t xml:space="preserve">A.2 Processo de Transporte (Mina A)</w:t>
      </w:r>
    </w:p>
    <w:p>
      <w:pPr>
        <w:pStyle w:val="FirstParagraph"/>
      </w:pPr>
      <w:r>
        <w:t xml:space="preserve">O transporte é o processo de maior custo operacional. Estes datasets cobrem desde a fila na carga até a descarga final.</w:t>
      </w:r>
    </w:p>
    <w:bookmarkStart w:id="347" w:name="eventos-de-transporte-haul_events_mine_a"/>
    <w:p>
      <w:pPr>
        <w:pStyle w:val="Heading3"/>
      </w:pPr>
      <w:r>
        <w:t xml:space="preserve">A.2.1 Eventos de Transporte (</w:t>
      </w:r>
      <w:r>
        <w:rPr>
          <w:rStyle w:val="VerbatimChar"/>
        </w:rPr>
        <w:t xml:space="preserve">haul_events_mine_a</w:t>
      </w:r>
      <w:r>
        <w:t xml:space="preserve">)</w:t>
      </w:r>
    </w:p>
    <w:p>
      <w:pPr>
        <w:pStyle w:val="FirstParagraph"/>
      </w:pPr>
      <w:r>
        <w:t xml:space="preserve">Dataset detalhado descrevendo a jornada de 7 estados do ciclo de transporte.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event_type</w:t>
            </w:r>
          </w:p>
        </w:tc>
        <w:tc>
          <w:tcPr/>
          <w:p>
            <w:pPr>
              <w:pStyle w:val="Compact"/>
            </w:pPr>
            <w:r>
              <w:t xml:space="preserve">Os 7 estados:</w:t>
            </w:r>
            <w:r>
              <w:t xml:space="preserve"> </w:t>
            </w:r>
            <w:r>
              <w:rPr>
                <w:rStyle w:val="VerbatimChar"/>
              </w:rPr>
              <w:t xml:space="preserve">queue_at_load</w:t>
            </w:r>
            <w:r>
              <w:t xml:space="preserve">,</w:t>
            </w:r>
            <w:r>
              <w:t xml:space="preserve"> </w:t>
            </w:r>
            <w:r>
              <w:rPr>
                <w:rStyle w:val="VerbatimChar"/>
              </w:rPr>
              <w:t xml:space="preserve">maneuver_at_load</w:t>
            </w:r>
            <w:r>
              <w:t xml:space="preserve">,</w:t>
            </w:r>
            <w:r>
              <w:t xml:space="preserve"> </w:t>
            </w:r>
            <w:r>
              <w:rPr>
                <w:rStyle w:val="VerbatimChar"/>
              </w:rPr>
              <w:t xml:space="preserve">loading</w:t>
            </w:r>
            <w:r>
              <w:t xml:space="preserve">,</w:t>
            </w:r>
            <w:r>
              <w:t xml:space="preserve"> </w:t>
            </w:r>
            <w:r>
              <w:rPr>
                <w:rStyle w:val="VerbatimChar"/>
              </w:rPr>
              <w:t xml:space="preserve">travel_full</w:t>
            </w:r>
            <w:r>
              <w:t xml:space="preserve">,</w:t>
            </w:r>
            <w:r>
              <w:t xml:space="preserve"> </w:t>
            </w:r>
            <w:r>
              <w:rPr>
                <w:rStyle w:val="VerbatimChar"/>
              </w:rPr>
              <w:t xml:space="preserve">queue_at_dump</w:t>
            </w:r>
            <w:r>
              <w:t xml:space="preserve">,</w:t>
            </w:r>
            <w:r>
              <w:t xml:space="preserve"> </w:t>
            </w:r>
            <w:r>
              <w:rPr>
                <w:rStyle w:val="VerbatimChar"/>
              </w:rPr>
              <w:t xml:space="preserve">maneuver_at_dump</w:t>
            </w:r>
            <w:r>
              <w:t xml:space="preserve">,</w:t>
            </w:r>
            <w:r>
              <w:t xml:space="preserve"> </w:t>
            </w:r>
            <w:r>
              <w:rPr>
                <w:rStyle w:val="VerbatimChar"/>
              </w:rPr>
              <w:t xml:space="preserve">dumping</w:t>
            </w:r>
            <w:r>
              <w:t xml:space="preserve">.</w:t>
            </w:r>
          </w:p>
        </w:tc>
      </w:tr>
      <w:tr>
        <w:tc>
          <w:tcPr/>
          <w:p>
            <w:pPr>
              <w:pStyle w:val="Compact"/>
            </w:pPr>
            <w:r>
              <w:rPr>
                <w:rStyle w:val="VerbatimChar"/>
              </w:rPr>
              <w:t xml:space="preserve">destination</w:t>
            </w:r>
          </w:p>
        </w:tc>
        <w:tc>
          <w:tcPr/>
          <w:p>
            <w:pPr>
              <w:pStyle w:val="Compact"/>
            </w:pPr>
            <w:r>
              <w:t xml:space="preserve">Ponto de descarga (Crusher, Waste Dump, etc.).</w:t>
            </w:r>
          </w:p>
        </w:tc>
      </w:tr>
      <w:tr>
        <w:tc>
          <w:tcPr/>
          <w:p>
            <w:pPr>
              <w:pStyle w:val="Compact"/>
            </w:pPr>
            <w:r>
              <w:rPr>
                <w:rStyle w:val="VerbatimChar"/>
              </w:rPr>
              <w:t xml:space="preserve">duration_min</w:t>
            </w:r>
          </w:p>
        </w:tc>
        <w:tc>
          <w:tcPr/>
          <w:p>
            <w:pPr>
              <w:pStyle w:val="Compact"/>
            </w:pPr>
            <w:r>
              <w:t xml:space="preserve">Tempo despendido em cada um dos 7 estados.</w:t>
            </w:r>
          </w:p>
        </w:tc>
      </w:tr>
    </w:tbl>
    <w:bookmarkEnd w:id="347"/>
    <w:bookmarkStart w:id="348" w:name="ciclos-de-transporte-haul_cycles_mine_a"/>
    <w:p>
      <w:pPr>
        <w:pStyle w:val="Heading3"/>
      </w:pPr>
      <w:r>
        <w:t xml:space="preserve">A.2.2 Ciclos de Transporte (</w:t>
      </w:r>
      <w:r>
        <w:rPr>
          <w:rStyle w:val="VerbatimChar"/>
        </w:rPr>
        <w:t xml:space="preserve">haul_cycles_mine_a</w:t>
      </w:r>
      <w:r>
        <w:t xml:space="preserve">)</w:t>
      </w:r>
    </w:p>
    <w:p>
      <w:pPr>
        <w:pStyle w:val="FirstParagraph"/>
      </w:pPr>
      <w:r>
        <w:t xml:space="preserve">Dataset de performance e conformidade, incluindo métricas de distância (DMT) e balança fixa.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scale_weight</w:t>
            </w:r>
          </w:p>
        </w:tc>
        <w:tc>
          <w:tcPr/>
          <w:p>
            <w:pPr>
              <w:pStyle w:val="Compact"/>
            </w:pPr>
            <w:r>
              <w:t xml:space="preserve">Massa real registrada pela balança fixa (referência de aferição).</w:t>
            </w:r>
          </w:p>
        </w:tc>
      </w:tr>
      <w:tr>
        <w:tc>
          <w:tcPr/>
          <w:p>
            <w:pPr>
              <w:pStyle w:val="Compact"/>
            </w:pPr>
            <w:r>
              <w:rPr>
                <w:rStyle w:val="VerbatimChar"/>
              </w:rPr>
              <w:t xml:space="preserve">scale_ok</w:t>
            </w:r>
          </w:p>
        </w:tc>
        <w:tc>
          <w:tcPr/>
          <w:p>
            <w:pPr>
              <w:pStyle w:val="Compact"/>
            </w:pPr>
            <w:r>
              <w:t xml:space="preserve">Variável lógica de validação da pesagem.</w:t>
            </w:r>
          </w:p>
        </w:tc>
      </w:tr>
      <w:tr>
        <w:tc>
          <w:tcPr/>
          <w:p>
            <w:pPr>
              <w:pStyle w:val="Compact"/>
            </w:pPr>
            <w:r>
              <w:rPr>
                <w:rStyle w:val="VerbatimChar"/>
              </w:rPr>
              <w:t xml:space="preserve">dmt_total</w:t>
            </w:r>
          </w:p>
        </w:tc>
        <w:tc>
          <w:tcPr/>
          <w:p>
            <w:pPr>
              <w:pStyle w:val="Compact"/>
            </w:pPr>
            <w:r>
              <w:t xml:space="preserve">Distância total percorrida no ciclo (km).</w:t>
            </w:r>
          </w:p>
        </w:tc>
      </w:tr>
      <w:tr>
        <w:tc>
          <w:tcPr/>
          <w:p>
            <w:pPr>
              <w:pStyle w:val="Compact"/>
            </w:pPr>
            <w:r>
              <w:rPr>
                <w:rStyle w:val="VerbatimChar"/>
              </w:rPr>
              <w:t xml:space="preserve">q_time</w:t>
            </w:r>
          </w:p>
        </w:tc>
        <w:tc>
          <w:tcPr/>
          <w:p>
            <w:pPr>
              <w:pStyle w:val="Compact"/>
            </w:pPr>
            <w:r>
              <w:t xml:space="preserve">Tempo total em fila (Carga + Descarga).</w:t>
            </w:r>
          </w:p>
        </w:tc>
      </w:tr>
    </w:tbl>
    <w:bookmarkEnd w:id="348"/>
    <w:bookmarkEnd w:id="349"/>
    <w:bookmarkStart w:id="353" w:name="processo-de-perfuração-mina-d"/>
    <w:p>
      <w:pPr>
        <w:pStyle w:val="Heading2"/>
      </w:pPr>
      <w:r>
        <w:t xml:space="preserve">A.3 Processo de Perfuração (Mina D)</w:t>
      </w:r>
    </w:p>
    <w:p>
      <w:pPr>
        <w:pStyle w:val="FirstParagraph"/>
      </w:pPr>
      <w:r>
        <w:t xml:space="preserve">Dados focados na preparação de massa para desmonte, com alta densidade de telemetria e taxonomia de manutenção.</w:t>
      </w:r>
    </w:p>
    <w:bookmarkStart w:id="350" w:name="X30255c78688fd4e2d39867ad5925ab211b32439"/>
    <w:p>
      <w:pPr>
        <w:pStyle w:val="Heading3"/>
      </w:pPr>
      <w:r>
        <w:t xml:space="preserve">A.3.1 Eventos de Perfuração (</w:t>
      </w:r>
      <w:r>
        <w:rPr>
          <w:rStyle w:val="VerbatimChar"/>
        </w:rPr>
        <w:t xml:space="preserve">drill_events_mine_d</w:t>
      </w:r>
      <w:r>
        <w:t xml:space="preserve">)</w:t>
      </w:r>
    </w:p>
    <w:p>
      <w:pPr>
        <w:pStyle w:val="FirstParagraph"/>
      </w:pPr>
      <w:r>
        <w:t xml:space="preserve">Dataset de eventos com coordenadas locais anonimizadas e tradução de telemetria.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phase</w:t>
            </w:r>
          </w:p>
        </w:tc>
        <w:tc>
          <w:tcPr/>
          <w:p>
            <w:pPr>
              <w:pStyle w:val="Compact"/>
            </w:pPr>
            <w:r>
              <w:t xml:space="preserve">Fase produtiva (1: Positioning, 2: Collaring, 3: Drilling, 4: Rods, 5: Tramming).</w:t>
            </w:r>
          </w:p>
        </w:tc>
      </w:tr>
      <w:tr>
        <w:tc>
          <w:tcPr/>
          <w:p>
            <w:pPr>
              <w:pStyle w:val="Compact"/>
            </w:pPr>
            <w:r>
              <w:rPr>
                <w:rStyle w:val="VerbatimChar"/>
              </w:rPr>
              <w:t xml:space="preserve">category</w:t>
            </w:r>
          </w:p>
        </w:tc>
        <w:tc>
          <w:tcPr/>
          <w:p>
            <w:pPr>
              <w:pStyle w:val="Compact"/>
            </w:pPr>
            <w:r>
              <w:t xml:space="preserve">Categoria de KPI (EFH, IIH, CMH, etc.).</w:t>
            </w:r>
          </w:p>
        </w:tc>
      </w:tr>
      <w:tr>
        <w:tc>
          <w:tcPr/>
          <w:p>
            <w:pPr>
              <w:pStyle w:val="Compact"/>
            </w:pPr>
            <w:r>
              <w:rPr>
                <w:rStyle w:val="VerbatimChar"/>
              </w:rPr>
              <w:t xml:space="preserve">allocated_meters</w:t>
            </w:r>
          </w:p>
        </w:tc>
        <w:tc>
          <w:tcPr/>
          <w:p>
            <w:pPr>
              <w:pStyle w:val="Compact"/>
            </w:pPr>
            <w:r>
              <w:t xml:space="preserve">Metros perfurados alocados proporcionalmente ao tempo do evento.</w:t>
            </w:r>
          </w:p>
        </w:tc>
      </w:tr>
      <w:tr>
        <w:tc>
          <w:tcPr/>
          <w:p>
            <w:pPr>
              <w:pStyle w:val="Compact"/>
            </w:pPr>
            <w:r>
              <w:rPr>
                <w:rStyle w:val="VerbatimChar"/>
              </w:rPr>
              <w:t xml:space="preserve">local_x</w:t>
            </w:r>
            <w:r>
              <w:t xml:space="preserve"> </w:t>
            </w:r>
            <w:r>
              <w:t xml:space="preserve">/</w:t>
            </w:r>
            <w:r>
              <w:t xml:space="preserve"> </w:t>
            </w:r>
            <w:r>
              <w:rPr>
                <w:rStyle w:val="VerbatimChar"/>
              </w:rPr>
              <w:t xml:space="preserve">local_y</w:t>
            </w:r>
          </w:p>
        </w:tc>
        <w:tc>
          <w:tcPr/>
          <w:p>
            <w:pPr>
              <w:pStyle w:val="Compact"/>
            </w:pPr>
            <w:r>
              <w:t xml:space="preserve">Coordenadas no plano cartesiano local da mina.</w:t>
            </w:r>
          </w:p>
        </w:tc>
      </w:tr>
    </w:tbl>
    <w:bookmarkEnd w:id="350"/>
    <w:bookmarkStart w:id="351" w:name="ciclos-de-perfuração-drill_cycles_mine_d"/>
    <w:p>
      <w:pPr>
        <w:pStyle w:val="Heading3"/>
      </w:pPr>
      <w:r>
        <w:t xml:space="preserve">A.3.2 Ciclos de Perfuração (</w:t>
      </w:r>
      <w:r>
        <w:rPr>
          <w:rStyle w:val="VerbatimChar"/>
        </w:rPr>
        <w:t xml:space="preserve">drill_cycles_mine_d</w:t>
      </w:r>
      <w:r>
        <w:t xml:space="preserve">)</w:t>
      </w:r>
    </w:p>
    <w:p>
      <w:pPr>
        <w:pStyle w:val="FirstParagraph"/>
      </w:pPr>
      <w:r>
        <w:t xml:space="preserve">Agregação diária e por ciclo para cálculo de taxas de penetração (ROP).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xi_min</w:t>
            </w:r>
          </w:p>
        </w:tc>
        <w:tc>
          <w:tcPr/>
          <w:p>
            <w:pPr>
              <w:pStyle w:val="Compact"/>
            </w:pPr>
            <w:r>
              <w:t xml:space="preserve">Tempo total do ciclo operacional (</w:t>
            </w:r>
            <m:oMath>
              <m:sSub>
                <m:e>
                  <m:r>
                    <m:t>X</m:t>
                  </m:r>
                </m:e>
                <m:sub>
                  <m:r>
                    <m:t>i</m:t>
                  </m:r>
                </m:sub>
              </m:sSub>
            </m:oMath>
            <w:r>
              <w:t xml:space="preserve">).</w:t>
            </w:r>
          </w:p>
        </w:tc>
      </w:tr>
      <w:tr>
        <w:tc>
          <w:tcPr/>
          <w:p>
            <w:pPr>
              <w:pStyle w:val="Compact"/>
            </w:pPr>
            <w:r>
              <w:rPr>
                <w:rStyle w:val="VerbatimChar"/>
              </w:rPr>
              <w:t xml:space="preserve">avg_rop</w:t>
            </w:r>
          </w:p>
        </w:tc>
        <w:tc>
          <w:tcPr/>
          <w:p>
            <w:pPr>
              <w:pStyle w:val="Compact"/>
            </w:pPr>
            <w:r>
              <w:t xml:space="preserve">Taxa de Penetração Média (</w:t>
            </w:r>
            <m:oMath>
              <m:r>
                <m:t>m</m:t>
              </m:r>
              <m:r>
                <m:rPr>
                  <m:sty m:val="p"/>
                </m:rPr>
                <m:t>/</m:t>
              </m:r>
              <m:r>
                <m:t>h</m:t>
              </m:r>
            </m:oMath>
            <w:r>
              <w:t xml:space="preserve">).</w:t>
            </w:r>
          </w:p>
        </w:tc>
      </w:tr>
      <w:tr>
        <w:tc>
          <w:tcPr/>
          <w:p>
            <w:pPr>
              <w:pStyle w:val="Compact"/>
            </w:pPr>
            <w:r>
              <w:rPr>
                <w:rStyle w:val="VerbatimChar"/>
              </w:rPr>
              <w:t xml:space="preserve">ho_off</w:t>
            </w:r>
          </w:p>
        </w:tc>
        <w:tc>
          <w:tcPr/>
          <w:p>
            <w:pPr>
              <w:pStyle w:val="Compact"/>
            </w:pPr>
            <w:r>
              <w:t xml:space="preserve">Horas Operacionais oficiais vindas do sistema de despacho (Macro).</w:t>
            </w:r>
          </w:p>
        </w:tc>
      </w:tr>
    </w:tbl>
    <w:bookmarkEnd w:id="351"/>
    <w:bookmarkStart w:id="352" w:name="X215f5a6b1c334ecb108a2417d51f6a5e03bbaae"/>
    <w:p>
      <w:pPr>
        <w:pStyle w:val="Heading3"/>
      </w:pPr>
      <w:r>
        <w:t xml:space="preserve">A.3.3 Log de Manutenção (</w:t>
      </w:r>
      <w:r>
        <w:rPr>
          <w:rStyle w:val="VerbatimChar"/>
        </w:rPr>
        <w:t xml:space="preserve">drill_maintenance_log_mine_d</w:t>
      </w:r>
      <w:r>
        <w:t xml:space="preserve">)</w:t>
      </w:r>
    </w:p>
    <w:p>
      <w:pPr>
        <w:pStyle w:val="FirstParagraph"/>
      </w:pPr>
      <w:r>
        <w:t xml:space="preserve">Dataset especializado em confiabilidade e taxonomia de ativos.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maintenance_team</w:t>
            </w:r>
          </w:p>
        </w:tc>
        <w:tc>
          <w:tcPr/>
          <w:p>
            <w:pPr>
              <w:pStyle w:val="Compact"/>
            </w:pPr>
            <w:r>
              <w:t xml:space="preserve">Equipe responsável (Mechanical, Electrical, etc.).</w:t>
            </w:r>
          </w:p>
        </w:tc>
      </w:tr>
      <w:tr>
        <w:tc>
          <w:tcPr/>
          <w:p>
            <w:pPr>
              <w:pStyle w:val="Compact"/>
            </w:pPr>
            <w:r>
              <w:rPr>
                <w:rStyle w:val="VerbatimChar"/>
              </w:rPr>
              <w:t xml:space="preserve">system</w:t>
            </w:r>
            <w:r>
              <w:t xml:space="preserve"> </w:t>
            </w:r>
            <w:r>
              <w:t xml:space="preserve">/</w:t>
            </w:r>
            <w:r>
              <w:t xml:space="preserve"> </w:t>
            </w:r>
            <w:r>
              <w:rPr>
                <w:rStyle w:val="VerbatimChar"/>
              </w:rPr>
              <w:t xml:space="preserve">assembly</w:t>
            </w:r>
            <w:r>
              <w:t xml:space="preserve"> </w:t>
            </w:r>
            <w:r>
              <w:t xml:space="preserve">/</w:t>
            </w:r>
            <w:r>
              <w:t xml:space="preserve"> </w:t>
            </w:r>
            <w:r>
              <w:rPr>
                <w:rStyle w:val="VerbatimChar"/>
              </w:rPr>
              <w:t xml:space="preserve">component</w:t>
            </w:r>
          </w:p>
        </w:tc>
        <w:tc>
          <w:tcPr/>
          <w:p>
            <w:pPr>
              <w:pStyle w:val="Compact"/>
            </w:pPr>
            <w:r>
              <w:t xml:space="preserve">Hierarquia técnica da falha (Taxonomia).</w:t>
            </w:r>
          </w:p>
        </w:tc>
      </w:tr>
      <w:tr>
        <w:tc>
          <w:tcPr/>
          <w:p>
            <w:pPr>
              <w:pStyle w:val="Compact"/>
            </w:pPr>
            <w:r>
              <w:rPr>
                <w:rStyle w:val="VerbatimChar"/>
              </w:rPr>
              <w:t xml:space="preserve">failure_mode</w:t>
            </w:r>
          </w:p>
        </w:tc>
        <w:tc>
          <w:tcPr/>
          <w:p>
            <w:pPr>
              <w:pStyle w:val="Compact"/>
            </w:pPr>
            <w:r>
              <w:t xml:space="preserve">Modo de falha detectado (Ex:</w:t>
            </w:r>
            <w:r>
              <w:t xml:space="preserve"> </w:t>
            </w:r>
            <w:r>
              <w:rPr>
                <w:i/>
                <w:iCs/>
              </w:rPr>
              <w:t xml:space="preserve">Leakage</w:t>
            </w:r>
            <w:r>
              <w:t xml:space="preserve">,</w:t>
            </w:r>
            <w:r>
              <w:t xml:space="preserve"> </w:t>
            </w:r>
            <w:r>
              <w:rPr>
                <w:i/>
                <w:iCs/>
              </w:rPr>
              <w:t xml:space="preserve">Crack</w:t>
            </w:r>
            <w:r>
              <w:t xml:space="preserve">).</w:t>
            </w:r>
          </w:p>
        </w:tc>
      </w:tr>
    </w:tbl>
    <w:bookmarkEnd w:id="352"/>
    <w:bookmarkEnd w:id="353"/>
    <w:bookmarkEnd w:id="354"/>
    <w:bookmarkStart w:id="359"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55"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55"/>
    <w:bookmarkStart w:id="356"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56"/>
    <w:bookmarkStart w:id="358"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57" w:name="notas-de-notação-matemática"/>
    <w:p>
      <w:pPr>
        <w:pStyle w:val="Heading3"/>
      </w:pPr>
      <w:r>
        <w:t xml:space="preserve">B.3.1 Notas de Notação Matemática</w:t>
      </w:r>
    </w:p>
    <w:p>
      <w:pPr>
        <w:numPr>
          <w:ilvl w:val="0"/>
          <w:numId w:val="1175"/>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5"/>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5"/>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57"/>
    <w:bookmarkEnd w:id="358"/>
    <w:bookmarkEnd w:id="359"/>
    <w:bookmarkStart w:id="364"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60"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6"/>
        </w:numPr>
      </w:pPr>
      <w:r>
        <w:rPr>
          <w:b/>
          <w:bCs/>
        </w:rPr>
        <w:t xml:space="preserve">DF</w:t>
      </w:r>
      <w:r>
        <w:t xml:space="preserve">: Disponibilidade Física.</w:t>
      </w:r>
    </w:p>
    <w:p>
      <w:pPr>
        <w:numPr>
          <w:ilvl w:val="0"/>
          <w:numId w:val="1176"/>
        </w:numPr>
      </w:pPr>
      <w:r>
        <w:rPr>
          <w:b/>
          <w:bCs/>
        </w:rPr>
        <w:t xml:space="preserve">UF</w:t>
      </w:r>
      <w:r>
        <w:t xml:space="preserve">: Utilização Física.</w:t>
      </w:r>
    </w:p>
    <w:p>
      <w:pPr>
        <w:numPr>
          <w:ilvl w:val="0"/>
          <w:numId w:val="1176"/>
        </w:numPr>
      </w:pPr>
      <w:r>
        <w:rPr>
          <w:b/>
          <w:bCs/>
        </w:rPr>
        <w:t xml:space="preserve">HT</w:t>
      </w:r>
      <w:r>
        <w:t xml:space="preserve">: Horas Trabalhadas (</w:t>
      </w:r>
      <w:r>
        <w:rPr>
          <w:i/>
          <w:iCs/>
        </w:rPr>
        <w:t xml:space="preserve">Work Hours</w:t>
      </w:r>
      <w:r>
        <w:t xml:space="preserve">).</w:t>
      </w:r>
    </w:p>
    <w:p>
      <w:pPr>
        <w:numPr>
          <w:ilvl w:val="0"/>
          <w:numId w:val="1176"/>
        </w:numPr>
      </w:pPr>
      <w:r>
        <w:rPr>
          <w:b/>
          <w:bCs/>
        </w:rPr>
        <w:t xml:space="preserve">HM</w:t>
      </w:r>
      <w:r>
        <w:t xml:space="preserve">: Horas de Manutenção.</w:t>
      </w:r>
    </w:p>
    <w:p>
      <w:pPr>
        <w:numPr>
          <w:ilvl w:val="0"/>
          <w:numId w:val="1176"/>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6"/>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60"/>
    <w:bookmarkStart w:id="361"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7"/>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7"/>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7"/>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7"/>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7"/>
        </w:numPr>
      </w:pPr>
      <m:oMath>
        <m:sSub>
          <m:e>
            <m:r>
              <m:t>L</m:t>
            </m:r>
          </m:e>
          <m:sub>
            <m:r>
              <m:t>i</m:t>
            </m:r>
          </m:sub>
        </m:sSub>
      </m:oMath>
      <w:r>
        <w:t xml:space="preserve">: Profundidade Perfurada Líquida em metros.</w:t>
      </w:r>
    </w:p>
    <w:p>
      <w:pPr>
        <w:numPr>
          <w:ilvl w:val="0"/>
          <w:numId w:val="1177"/>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7"/>
        </w:numPr>
      </w:pPr>
      <m:oMath>
        <m:r>
          <m:t>R</m:t>
        </m:r>
        <m:r>
          <m:t>O</m:t>
        </m:r>
        <m:r>
          <m:t>P</m:t>
        </m:r>
      </m:oMath>
      <w:r>
        <w:t xml:space="preserve">: Taxa de Penetração Líquida (</w:t>
      </w:r>
      <w:r>
        <w:rPr>
          <w:i/>
          <w:iCs/>
        </w:rPr>
        <w:t xml:space="preserve">Rate of Penetration</w:t>
      </w:r>
      <w:r>
        <w:t xml:space="preserve">).</w:t>
      </w:r>
    </w:p>
    <w:bookmarkEnd w:id="361"/>
    <w:bookmarkStart w:id="362"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8"/>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8"/>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8"/>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8"/>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8"/>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62"/>
    <w:bookmarkStart w:id="363"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9"/>
        </w:numPr>
      </w:pPr>
      <m:oMath>
        <m:r>
          <m:t>V</m:t>
        </m:r>
        <m:sSub>
          <m:e>
            <m:r>
              <m:t>v</m:t>
            </m:r>
          </m:e>
          <m:sub>
            <m:r>
              <m:t>j</m:t>
            </m:r>
          </m:sub>
        </m:sSub>
      </m:oMath>
      <w:r>
        <w:t xml:space="preserve">: Tempo de Viagem Vazio (</w:t>
      </w:r>
      <w:r>
        <w:rPr>
          <w:i/>
          <w:iCs/>
        </w:rPr>
        <w:t xml:space="preserve">Travel Empty</w:t>
      </w:r>
      <w:r>
        <w:t xml:space="preserve">).</w:t>
      </w:r>
    </w:p>
    <w:p>
      <w:pPr>
        <w:numPr>
          <w:ilvl w:val="0"/>
          <w:numId w:val="1179"/>
        </w:numPr>
      </w:pPr>
      <m:oMath>
        <m:r>
          <m:t>F</m:t>
        </m:r>
        <m:sSub>
          <m:e>
            <m:r>
              <m:t>c</m:t>
            </m:r>
          </m:e>
          <m:sub>
            <m:r>
              <m:t>j</m:t>
            </m:r>
          </m:sub>
        </m:sSub>
      </m:oMath>
      <w:r>
        <w:t xml:space="preserve">: Tempo de Fila para Carregar (</w:t>
      </w:r>
      <w:r>
        <w:rPr>
          <w:i/>
          <w:iCs/>
        </w:rPr>
        <w:t xml:space="preserve">Queue at Load</w:t>
      </w:r>
      <w:r>
        <w:t xml:space="preserve">).</w:t>
      </w:r>
    </w:p>
    <w:p>
      <w:pPr>
        <w:numPr>
          <w:ilvl w:val="0"/>
          <w:numId w:val="1179"/>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9"/>
        </w:numPr>
      </w:pPr>
      <m:oMath>
        <m:sSub>
          <m:e>
            <m:r>
              <m:t>C</m:t>
            </m:r>
          </m:e>
          <m:sub>
            <m:r>
              <m:t>j</m:t>
            </m:r>
          </m:sub>
        </m:sSub>
      </m:oMath>
      <w:r>
        <w:t xml:space="preserve">: Tempo de Carregamento (</w:t>
      </w:r>
      <w:r>
        <w:rPr>
          <w:i/>
          <w:iCs/>
        </w:rPr>
        <w:t xml:space="preserve">Loading Time</w:t>
      </w:r>
      <w:r>
        <w:t xml:space="preserve">).</w:t>
      </w:r>
    </w:p>
    <w:p>
      <w:pPr>
        <w:numPr>
          <w:ilvl w:val="0"/>
          <w:numId w:val="1179"/>
        </w:numPr>
      </w:pPr>
      <m:oMath>
        <m:r>
          <m:t>V</m:t>
        </m:r>
        <m:sSub>
          <m:e>
            <m:r>
              <m:t>c</m:t>
            </m:r>
          </m:e>
          <m:sub>
            <m:r>
              <m:t>j</m:t>
            </m:r>
          </m:sub>
        </m:sSub>
      </m:oMath>
      <w:r>
        <w:t xml:space="preserve">: Tempo de Viagem Cheio (</w:t>
      </w:r>
      <w:r>
        <w:rPr>
          <w:i/>
          <w:iCs/>
        </w:rPr>
        <w:t xml:space="preserve">Travel Full</w:t>
      </w:r>
      <w:r>
        <w:t xml:space="preserve">).</w:t>
      </w:r>
    </w:p>
    <w:p>
      <w:pPr>
        <w:numPr>
          <w:ilvl w:val="0"/>
          <w:numId w:val="1179"/>
        </w:numPr>
      </w:pPr>
      <m:oMath>
        <m:r>
          <m:t>F</m:t>
        </m:r>
        <m:sSub>
          <m:e>
            <m:r>
              <m:t>b</m:t>
            </m:r>
          </m:e>
          <m:sub>
            <m:r>
              <m:t>j</m:t>
            </m:r>
          </m:sub>
        </m:sSub>
      </m:oMath>
      <w:r>
        <w:t xml:space="preserve">: Tempo de Fila para Bascular (</w:t>
      </w:r>
      <w:r>
        <w:rPr>
          <w:i/>
          <w:iCs/>
        </w:rPr>
        <w:t xml:space="preserve">Queue at Dump</w:t>
      </w:r>
      <w:r>
        <w:t xml:space="preserve">).</w:t>
      </w:r>
    </w:p>
    <w:p>
      <w:pPr>
        <w:numPr>
          <w:ilvl w:val="0"/>
          <w:numId w:val="1179"/>
        </w:numPr>
      </w:pPr>
      <m:oMath>
        <m:sSub>
          <m:e>
            <m:r>
              <m:t>D</m:t>
            </m:r>
          </m:e>
          <m:sub>
            <m:r>
              <m:t>j</m:t>
            </m:r>
          </m:sub>
        </m:sSub>
      </m:oMath>
      <w:r>
        <w:t xml:space="preserve">: Tempo de Basculamento (</w:t>
      </w:r>
      <w:r>
        <w:rPr>
          <w:i/>
          <w:iCs/>
        </w:rPr>
        <w:t xml:space="preserve">Dumping Time</w:t>
      </w:r>
      <w:r>
        <w:t xml:space="preserve">).</w:t>
      </w:r>
    </w:p>
    <w:p>
      <w:pPr>
        <w:numPr>
          <w:ilvl w:val="0"/>
          <w:numId w:val="1179"/>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End w:id="363"/>
    <w:bookmarkEnd w:id="364"/>
    <w:bookmarkStart w:id="367" w:name="lista-de-exemplos"/>
    <w:p>
      <w:pPr>
        <w:pStyle w:val="Heading1"/>
      </w:pPr>
      <w:r>
        <w:t xml:space="preserve">Appendix D — Lista de Exemplos</w:t>
      </w:r>
    </w:p>
    <w:p>
      <w:pPr>
        <w:pStyle w:val="FirstParagraph"/>
      </w:pPr>
      <w:r>
        <w:t xml:space="preserve">Este apêndice apresenta todos os exemplos práticos utilizados ao longo do livro, organizados por capítulo.</w:t>
      </w:r>
    </w:p>
    <w:bookmarkStart w:id="365" w:name="Xbe88d58adb3bea14e49d349d17a478b1a7c2d44"/>
    <w:p>
      <w:pPr>
        <w:pStyle w:val="Heading2"/>
      </w:pPr>
      <w:r>
        <w:t xml:space="preserve">D.1 Capítulo 1: Excelência Operacional e Metrologia de Performance</w:t>
      </w:r>
    </w:p>
    <w:p>
      <w:pPr>
        <w:pStyle w:val="Compact"/>
        <w:numPr>
          <w:ilvl w:val="0"/>
          <w:numId w:val="1180"/>
        </w:numPr>
      </w:pPr>
      <w:hyperlink w:anchor="exm-processamento-categorias">
        <w:r>
          <w:rPr>
            <w:rStyle w:val="Hyperlink"/>
          </w:rPr>
          <w:t xml:space="preserve">Exemplo 1.1</w:t>
        </w:r>
      </w:hyperlink>
      <w:r>
        <w:t xml:space="preserve"> </w:t>
      </w:r>
      <w:r>
        <w:t xml:space="preserve">— Processamento de Categorias de Horas</w:t>
      </w:r>
    </w:p>
    <w:bookmarkEnd w:id="365"/>
    <w:bookmarkStart w:id="366" w:name="X89edd96de0da9b132c257f5378c754b24bea402"/>
    <w:p>
      <w:pPr>
        <w:pStyle w:val="Heading2"/>
      </w:pPr>
      <w:r>
        <w:t xml:space="preserve">D.2 Capítulo 6: Ciclo de Perfuração e Desmonte de Rocha</w:t>
      </w:r>
    </w:p>
    <w:p>
      <w:pPr>
        <w:pStyle w:val="Compact"/>
        <w:numPr>
          <w:ilvl w:val="0"/>
          <w:numId w:val="1181"/>
        </w:numPr>
      </w:pPr>
      <w:hyperlink w:anchor="exm-dados-eventos-perfuracao">
        <w:r>
          <w:rPr>
            <w:rStyle w:val="Hyperlink"/>
          </w:rPr>
          <w:t xml:space="preserve">Exemplo 11.1</w:t>
        </w:r>
      </w:hyperlink>
      <w:r>
        <w:t xml:space="preserve"> </w:t>
      </w:r>
      <w:r>
        <w:t xml:space="preserve">— Dados de eventos de perfuração – Mina D</w:t>
      </w:r>
    </w:p>
    <w:p>
      <w:pPr>
        <w:pStyle w:val="Compact"/>
        <w:numPr>
          <w:ilvl w:val="0"/>
          <w:numId w:val="1181"/>
        </w:numPr>
      </w:pPr>
      <w:hyperlink w:anchor="exm-fases-faltantes">
        <w:r>
          <w:rPr>
            <w:rStyle w:val="Hyperlink"/>
          </w:rPr>
          <w:t xml:space="preserve">Exemplo 11.2</w:t>
        </w:r>
      </w:hyperlink>
      <w:r>
        <w:t xml:space="preserve"> </w:t>
      </w:r>
      <w:r>
        <w:t xml:space="preserve">— Análise de input das fases faltantes</w:t>
      </w:r>
    </w:p>
    <w:p>
      <w:pPr>
        <w:pStyle w:val="Compact"/>
        <w:numPr>
          <w:ilvl w:val="0"/>
          <w:numId w:val="1181"/>
        </w:numPr>
      </w:pPr>
      <w:hyperlink w:anchor="exm-identidade-fundamental">
        <w:r>
          <w:rPr>
            <w:rStyle w:val="Hyperlink"/>
          </w:rPr>
          <w:t xml:space="preserve">Exemplo 11.3</w:t>
        </w:r>
      </w:hyperlink>
      <w:r>
        <w:t xml:space="preserve"> </w:t>
      </w:r>
      <w:r>
        <w:t xml:space="preserve">— Calculando a identidade fundamental do ciclo de perfuração</w:t>
      </w:r>
    </w:p>
    <w:p>
      <w:pPr>
        <w:pStyle w:val="Compact"/>
        <w:numPr>
          <w:ilvl w:val="0"/>
          <w:numId w:val="1181"/>
        </w:numPr>
      </w:pPr>
      <w:hyperlink w:anchor="exm-falhas-planejamento">
        <w:r>
          <w:rPr>
            <w:rStyle w:val="Hyperlink"/>
          </w:rPr>
          <w:t xml:space="preserve">Exemplo 11.4</w:t>
        </w:r>
      </w:hyperlink>
      <w:r>
        <w:t xml:space="preserve"> </w:t>
      </w:r>
      <w:r>
        <w:t xml:space="preserve">— Investigando Falhas no Fluxo de Planejamento</w:t>
      </w:r>
    </w:p>
    <w:p>
      <w:pPr>
        <w:pStyle w:val="Compact"/>
        <w:numPr>
          <w:ilvl w:val="0"/>
          <w:numId w:val="1181"/>
        </w:numPr>
      </w:pPr>
      <w:hyperlink w:anchor="exm-visualizacao-malha">
        <w:r>
          <w:rPr>
            <w:rStyle w:val="Hyperlink"/>
          </w:rPr>
          <w:t xml:space="preserve">Exemplo 11.5</w:t>
        </w:r>
      </w:hyperlink>
      <w:r>
        <w:t xml:space="preserve"> </w:t>
      </w:r>
      <w:r>
        <w:t xml:space="preserve">— Visualização da Malha de Perfuração</w:t>
      </w:r>
    </w:p>
    <w:p>
      <w:pPr>
        <w:pStyle w:val="Compact"/>
        <w:numPr>
          <w:ilvl w:val="0"/>
          <w:numId w:val="1181"/>
        </w:numPr>
      </w:pPr>
      <w:hyperlink w:anchor="exm-impacto-horas-improdutivas">
        <w:r>
          <w:rPr>
            <w:rStyle w:val="Hyperlink"/>
          </w:rPr>
          <w:t xml:space="preserve">Exemplo 11.6</w:t>
        </w:r>
      </w:hyperlink>
      <w:r>
        <w:t xml:space="preserve"> </w:t>
      </w:r>
      <w:r>
        <w:t xml:space="preserve">— Impacto das Horas Improdutivas</w:t>
      </w:r>
    </w:p>
    <w:bookmarkEnd w:id="366"/>
    <w:bookmarkEnd w:id="367"/>
    <w:bookmarkStart w:id="372" w:name="lista-de-figuras"/>
    <w:p>
      <w:pPr>
        <w:pStyle w:val="Heading1"/>
      </w:pPr>
      <w:r>
        <w:t xml:space="preserve">Appendix E — Lista de Figuras</w:t>
      </w:r>
    </w:p>
    <w:p>
      <w:pPr>
        <w:pStyle w:val="FirstParagraph"/>
      </w:pPr>
      <w:r>
        <w:t xml:space="preserve">Este apêndice apresenta todas as figuras utilizadas ao longo do livro, organizadas por capítulo.</w:t>
      </w:r>
    </w:p>
    <w:bookmarkStart w:id="368" w:name="X1f8986edcf37be29c64e68b5ba6d7639362faac"/>
    <w:p>
      <w:pPr>
        <w:pStyle w:val="Heading2"/>
      </w:pPr>
      <w:r>
        <w:t xml:space="preserve">E.1 Capítulo 1: Excelência Operacional e Metrologia de Performance</w:t>
      </w:r>
    </w:p>
    <w:p>
      <w:pPr>
        <w:pStyle w:val="Compact"/>
        <w:numPr>
          <w:ilvl w:val="0"/>
          <w:numId w:val="1182"/>
        </w:numPr>
      </w:pPr>
      <w:hyperlink w:anchor="fig-categoria-horas">
        <w:r>
          <w:rPr>
            <w:rStyle w:val="Hyperlink"/>
          </w:rPr>
          <w:t xml:space="preserve">Figura 1.1</w:t>
        </w:r>
      </w:hyperlink>
      <w:r>
        <w:t xml:space="preserve"> </w:t>
      </w:r>
      <w:r>
        <w:t xml:space="preserve">— Hierarquia de classificação de horas de ativos de mineração</w:t>
      </w:r>
    </w:p>
    <w:bookmarkEnd w:id="368"/>
    <w:bookmarkStart w:id="369" w:name="parte-ii-análise-e-processos-de-mina"/>
    <w:p>
      <w:pPr>
        <w:pStyle w:val="Heading2"/>
      </w:pPr>
      <w:r>
        <w:t xml:space="preserve">E.2 Parte II: Análise e Processos de Mina</w:t>
      </w:r>
    </w:p>
    <w:p>
      <w:pPr>
        <w:pStyle w:val="Compact"/>
        <w:numPr>
          <w:ilvl w:val="0"/>
          <w:numId w:val="1183"/>
        </w:numPr>
      </w:pPr>
      <w:hyperlink w:anchor="fig-ciclo-mina">
        <w:r>
          <w:rPr>
            <w:rStyle w:val="Hyperlink"/>
          </w:rPr>
          <w:t xml:space="preserve">Figura 10.1</w:t>
        </w:r>
      </w:hyperlink>
      <w:r>
        <w:t xml:space="preserve"> </w:t>
      </w:r>
      <w:r>
        <w:t xml:space="preserve">— Ciclos de operações unitárias de uma mina a céu aberto</w:t>
      </w:r>
    </w:p>
    <w:bookmarkEnd w:id="369"/>
    <w:bookmarkStart w:id="370" w:name="capítulo-7-ciclo-de-carregamento"/>
    <w:p>
      <w:pPr>
        <w:pStyle w:val="Heading2"/>
      </w:pPr>
      <w:r>
        <w:t xml:space="preserve">E.3 Capítulo 7: Ciclo de Carregamento</w:t>
      </w:r>
    </w:p>
    <w:p>
      <w:pPr>
        <w:pStyle w:val="FirstParagraph"/>
      </w:pPr>
      <w:r>
        <w:rPr>
          <w:i/>
          <w:iCs/>
        </w:rPr>
        <w:t xml:space="preserve">(Figuras específicas em desenvolvimento)</w:t>
      </w:r>
    </w:p>
    <w:bookmarkEnd w:id="370"/>
    <w:bookmarkStart w:id="371" w:name="capítulo-8-ciclo-de-transporte"/>
    <w:p>
      <w:pPr>
        <w:pStyle w:val="Heading2"/>
      </w:pPr>
      <w:r>
        <w:t xml:space="preserve">E.4 Capítulo 8: Ciclo de Transporte</w:t>
      </w:r>
    </w:p>
    <w:p>
      <w:pPr>
        <w:pStyle w:val="FirstParagraph"/>
      </w:pPr>
      <w:r>
        <w:rPr>
          <w:i/>
          <w:iCs/>
        </w:rPr>
        <w:t xml:space="preserve">(Figuras específicas em desenvolvimento)</w:t>
      </w:r>
    </w:p>
    <w:bookmarkEnd w:id="371"/>
    <w:bookmarkEnd w:id="372"/>
    <w:bookmarkStart w:id="379" w:name="lista-de-tabelas"/>
    <w:p>
      <w:pPr>
        <w:pStyle w:val="Heading1"/>
      </w:pPr>
      <w:r>
        <w:t xml:space="preserve">Appendix F — Lista de Tabelas</w:t>
      </w:r>
    </w:p>
    <w:p>
      <w:pPr>
        <w:pStyle w:val="FirstParagraph"/>
      </w:pPr>
      <w:r>
        <w:t xml:space="preserve">Este apêndice apresenta todas as tabelas utilizadas ao longo do livro, organizadas por capítulo.</w:t>
      </w:r>
    </w:p>
    <w:bookmarkStart w:id="373" w:name="capítulo-7-ciclo-de-carregamento-1"/>
    <w:p>
      <w:pPr>
        <w:pStyle w:val="Heading2"/>
      </w:pPr>
      <w:r>
        <w:t xml:space="preserve">F.1 Capítulo 7: Ciclo de Carregamento</w:t>
      </w:r>
    </w:p>
    <w:p>
      <w:pPr>
        <w:pStyle w:val="Compact"/>
        <w:numPr>
          <w:ilvl w:val="0"/>
          <w:numId w:val="1184"/>
        </w:numPr>
      </w:pPr>
      <w:hyperlink w:anchor="tbl-notacao-carga">
        <w:r>
          <w:rPr>
            <w:rStyle w:val="Hyperlink"/>
          </w:rPr>
          <w:t xml:space="preserve">Tabela 12.1</w:t>
        </w:r>
      </w:hyperlink>
      <w:r>
        <w:t xml:space="preserve"> </w:t>
      </w:r>
      <w:r>
        <w:t xml:space="preserve">— Relação entre fases operacionais, registros de dados e notações matemáticas</w:t>
      </w:r>
    </w:p>
    <w:bookmarkEnd w:id="373"/>
    <w:bookmarkStart w:id="378" w:name="capítulo-8-ciclo-de-transporte-1"/>
    <w:p>
      <w:pPr>
        <w:pStyle w:val="Heading2"/>
      </w:pPr>
      <w:r>
        <w:t xml:space="preserve">F.2 Capítulo 8: Ciclo de Transporte</w:t>
      </w:r>
    </w:p>
    <w:p>
      <w:pPr>
        <w:pStyle w:val="Compact"/>
        <w:numPr>
          <w:ilvl w:val="0"/>
          <w:numId w:val="1185"/>
        </w:numPr>
      </w:pPr>
      <w:hyperlink w:anchor="tbl-notacao-transporte">
        <w:r>
          <w:rPr>
            <w:rStyle w:val="Hyperlink"/>
          </w:rPr>
          <w:t xml:space="preserve">Tabela 13.1</w:t>
        </w:r>
      </w:hyperlink>
      <w:r>
        <w:t xml:space="preserve"> </w:t>
      </w:r>
      <w:r>
        <w:t xml:space="preserve">— Relação entre fases operacionais e notações matemáticas no transporte</w:t>
      </w:r>
    </w:p>
    <w:bookmarkStart w:id="377" w:name="refs"/>
    <w:bookmarkStart w:id="374" w:name="ref-juran1986"/>
    <w:p>
      <w:pPr>
        <w:pStyle w:val="Bibliography"/>
      </w:pPr>
      <w:r>
        <w:t xml:space="preserve">Juran, Joseph M. 1986.</w:t>
      </w:r>
      <w:r>
        <w:t xml:space="preserve"> </w:t>
      </w:r>
      <w:r>
        <w:t xml:space="preserve">“The quality trilogy”</w:t>
      </w:r>
      <w:r>
        <w:t xml:space="preserve">.</w:t>
      </w:r>
      <w:r>
        <w:t xml:space="preserve"> </w:t>
      </w:r>
      <w:r>
        <w:rPr>
          <w:i/>
          <w:iCs/>
        </w:rPr>
        <w:t xml:space="preserve">Quality Progress</w:t>
      </w:r>
      <w:r>
        <w:t xml:space="preserve"> </w:t>
      </w:r>
      <w:r>
        <w:t xml:space="preserve">19 (8): 19–24.</w:t>
      </w:r>
    </w:p>
    <w:bookmarkEnd w:id="374"/>
    <w:bookmarkStart w:id="376"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75">
        <w:r>
          <w:rPr>
            <w:rStyle w:val="Hyperlink"/>
          </w:rPr>
          <w:t xml:space="preserve">https://doi.org/10.1093/comjnl/27.2.97</w:t>
        </w:r>
      </w:hyperlink>
      <w:r>
        <w:t xml:space="preserve">.</w:t>
      </w:r>
    </w:p>
    <w:bookmarkEnd w:id="376"/>
    <w:bookmarkEnd w:id="377"/>
    <w:bookmarkEnd w:id="378"/>
    <w:bookmarkEnd w:id="3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 Target="media/rId217.png" /><Relationship Type="http://schemas.openxmlformats.org/officeDocument/2006/relationships/image" Id="rId25" Target="media/rId25.png" /><Relationship Type="http://schemas.openxmlformats.org/officeDocument/2006/relationships/image" Id="rId289" Target="media/rId289.png" /><Relationship Type="http://schemas.openxmlformats.org/officeDocument/2006/relationships/image" Id="rId212" Target="media/rId212.jpg" /><Relationship Type="http://schemas.openxmlformats.org/officeDocument/2006/relationships/image" Id="rId182" Target="media/rId182.jpg" /><Relationship Type="http://schemas.openxmlformats.org/officeDocument/2006/relationships/image" Id="rId227" Target="media/rId227.jpg" /><Relationship Type="http://schemas.openxmlformats.org/officeDocument/2006/relationships/image" Id="rId232" Target="media/rId232.jpg" /><Relationship Type="http://schemas.openxmlformats.org/officeDocument/2006/relationships/image" Id="rId201" Target="media/rId201.jp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171" Target="media/rId171.png" /><Relationship Type="http://schemas.openxmlformats.org/officeDocument/2006/relationships/image" Id="rId239" Target="media/rId239.png" /><Relationship Type="http://schemas.openxmlformats.org/officeDocument/2006/relationships/image" Id="rId320" Target="media/rId320.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207" Target="media/rId207.jpg" /><Relationship Type="http://schemas.openxmlformats.org/officeDocument/2006/relationships/image" Id="rId166" Target="media/rId166.png" /><Relationship Type="http://schemas.openxmlformats.org/officeDocument/2006/relationships/image" Id="rId222" Target="media/rId222.jpg" /><Relationship Type="http://schemas.openxmlformats.org/officeDocument/2006/relationships/image" Id="rId193" Target="media/rId193.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300" Target="media/rId300.png" /><Relationship Type="http://schemas.openxmlformats.org/officeDocument/2006/relationships/hyperlink" Id="rId375"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75"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2026-01-01T13:59:59Z</dcterms:created>
  <dcterms:modified xsi:type="dcterms:W3CDTF">2026-01-01T13:59:59Z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