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96"/>
        </w:rPr>
        <w:t>Alternativas à Mineração Marinha</w:t>
      </w:r>
    </w:p>
    <w:p>
      <w:pPr>
        <w:jc w:val="center"/>
      </w:pPr>
      <w:r>
        <w:rPr>
          <w:rFonts w:ascii="Arial" w:hAnsi="Arial"/>
          <w:b/>
          <w:color w:val="4A5568"/>
          <w:sz w:val="36"/>
        </w:rPr>
        <w:t>Urban Mining, Biotecnologia e Deep-Sea Tech</w:t>
      </w:r>
    </w:p>
    <w:p/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﻿UNIR</w:t>
      </w:r>
    </w:p>
    <w:p>
      <w:r>
        <w:rPr>
          <w:rFonts w:ascii="Arial" w:hAnsi="Arial"/>
          <w:b/>
          <w:color w:val="1A365D"/>
          <w:sz w:val="24"/>
        </w:rPr>
        <w:t>Eixo I - Soberania, Defesa e Mar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ANEXO B - Alternativas Estratégicas à Mineração em Mar Profundo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Documento Anexo Oficial | Versão 1.0 | 27 January 2026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Âmbito: Complementar ao Plano 'Portugal 90%'. Mantém a moratória nacional até 2050; exceções apenas para investigação científica/tecnológica, sem exploração comercial.</w:t>
      </w:r>
    </w:p>
    <w:p>
      <w:r>
        <w:rPr>
          <w:rFonts w:ascii="Arial" w:hAnsi="Arial"/>
          <w:b/>
          <w:color w:val="1A365D"/>
          <w:sz w:val="24"/>
        </w:rPr>
        <w:t>Resumo executivo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Este Anexo B detalha alternativas estratégicas à mineração comercial em mar profundo, alinhadas com a posição do UNIR: proteger o oceano, exercer soberania com tecnologia e gerar valor económico real. A análise contextualiza a situação atual em Portugal, identifica lacunas e oportunidades, compara custos e ganhos e propõe um roteiro adaptado aos hábitos e incentivos do país.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Conclusão central: Portugal pode capturar valor económico, segurança de abastecimento e influência geopolítica sem recorrer à extração comercial em mar profundo no curto e médio prazo, priorizando (i) Urban Mining e reciclagem avançada, (ii) Biotecnologia marinha de alto valor, (iii) Tecnologia de mar profundo (robótica, mapeamento, dados) como indústria exportadora.</w:t>
      </w:r>
    </w:p>
    <w:p/>
    <w:p>
      <w:r>
        <w:rPr>
          <w:rFonts w:ascii="Arial" w:hAnsi="Arial"/>
          <w:b/>
          <w:color w:val="1A365D"/>
          <w:sz w:val="24"/>
        </w:rPr>
        <w:t>1. Contexto: onde estamos hoje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Portugal apresenta um desfasamento relevante face à União Europeia na recolha de resíduos de equipamentos elétricos e eletrónicos (REEE). A recolha per capita nacional situa-se significativamente abaixo da média europeia, refletindo hábitos de retenção doméstica (equipamentos guardados) e fricção nos sistemas de entrega.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Em paralelo, o país dispõe de ativos estratégicos: portos atlânticos, posição logística, capacidade científica no mar, e enquadramento político que privilegia precaução ambiental (moratória de mineração em mar profundo até 2050).</w:t>
      </w:r>
    </w:p>
    <w:p>
      <w:r>
        <w:rPr>
          <w:rFonts w:ascii="Arial" w:hAnsi="Arial"/>
          <w:b/>
          <w:color w:val="1A365D"/>
          <w:sz w:val="24"/>
        </w:rPr>
        <w:t>1.1. O problema real (diagnóstico)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Valor económico imobilizado em resíduos eletrónicos e baterias.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Dependência externa de metais críticos e cadeias de refinação.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Baixa conversão de ciência em indústria e exportação.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Risco reputacional e ambiental associado à mineração oceânica precoce.</w:t>
      </w:r>
    </w:p>
    <w:p>
      <w:r>
        <w:rPr>
          <w:rFonts w:ascii="Arial" w:hAnsi="Arial"/>
          <w:b/>
          <w:color w:val="1A365D"/>
          <w:sz w:val="24"/>
        </w:rPr>
        <w:t>1.2. O objetivo estratégico do UNIR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Transformar resíduos, conhecimento e tecnologia em soberania económica e segurança, criando valor mensurável para as pessoas e para o país, sem comprometer ecossistemas marinhos nem gerar conflitos políticos desnecessários.</w:t>
      </w:r>
    </w:p>
    <w:p>
      <w:r>
        <w:rPr>
          <w:rFonts w:ascii="Arial" w:hAnsi="Arial"/>
          <w:b/>
          <w:color w:val="1A365D"/>
          <w:sz w:val="24"/>
        </w:rPr>
        <w:t>2. Alternativa A - Urban Mining (mineração urbana)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Urban Mining refere-se à recuperação avançada de metais críticos e estratégicos a partir de resíduos urbanos: baterias, equipamentos eletrónicos, veículos elétricos e infraestruturas industriais.</w:t>
      </w:r>
    </w:p>
    <w:p>
      <w:r>
        <w:rPr>
          <w:rFonts w:ascii="Arial" w:hAnsi="Arial"/>
          <w:b/>
          <w:color w:val="1A365D"/>
          <w:sz w:val="24"/>
        </w:rPr>
        <w:t>2.1. O que temos hoje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Recolha per capita de REEE inferior à média da UE.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Infraestruturas de tratamento existentes, mas subaproveitadas.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Baixa atratividade para o cidadão entregar pequenos equipamentos.</w:t>
      </w:r>
    </w:p>
    <w:p>
      <w:r>
        <w:rPr>
          <w:rFonts w:ascii="Arial" w:hAnsi="Arial"/>
          <w:b/>
          <w:color w:val="1A365D"/>
          <w:sz w:val="24"/>
        </w:rPr>
        <w:t>2.2. O que podemos ter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Portugal como hub europeu de reciclagem e refinação limpa de metais críticos.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Cadeias industriais de valor (separação, refinação, reutilização).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Redução de dependência externa e emissões associadas à extração primária.</w:t>
      </w:r>
    </w:p>
    <w:p>
      <w:r>
        <w:rPr>
          <w:rFonts w:ascii="Arial" w:hAnsi="Arial"/>
          <w:b/>
          <w:color w:val="1A365D"/>
          <w:sz w:val="24"/>
        </w:rPr>
        <w:t>2.3. Custos vs ganhos (ordens de grandeza)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Os custos de reciclagem avançada variam por tecnologia e química, mas são significativamente inferiores ao custo ambiental e geopolítico da extração primária. Os ganhos incluem matérias-primas secundárias, emprego industrial qualificado e benefícios climáticos.</w:t>
      </w:r>
    </w:p>
    <w:p>
      <w:r>
        <w:rPr>
          <w:rFonts w:ascii="Arial" w:hAnsi="Arial"/>
          <w:b/>
          <w:color w:val="1A365D"/>
          <w:sz w:val="24"/>
        </w:rPr>
        <w:t>2.4. Fatores contra e respostas UNIR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Hábito de guardar equipamentos → Resposta: incentivos diretos (depósito-retorno) e conveniência.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Risco de desvio para informal → Resposta: rastreio digital e fiscalização por dados.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Volatilidade de preços → Resposta: foco em segurança de abastecimento e indústria, não especulação.</w:t>
      </w:r>
    </w:p>
    <w:p>
      <w:r>
        <w:rPr>
          <w:rFonts w:ascii="Arial" w:hAnsi="Arial"/>
          <w:b/>
          <w:color w:val="1A365D"/>
          <w:sz w:val="24"/>
        </w:rPr>
        <w:t>3. Alternativa B - Biotecnologia marinha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A biotecnologia marinha explora organismos oceânicos para aplicações farmacêuticas, industriais e de defesa, com elevado valor acrescentado e impacto ambiental reduzido.</w:t>
      </w:r>
    </w:p>
    <w:p>
      <w:r>
        <w:rPr>
          <w:rFonts w:ascii="Arial" w:hAnsi="Arial"/>
          <w:b/>
          <w:color w:val="1A365D"/>
          <w:sz w:val="24"/>
        </w:rPr>
        <w:t>3.1. O que temos hoje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Capacidade científica relevante em universidades e centros de investigação.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Baixa escala industrial e fraca ligação ao mercado.</w:t>
      </w:r>
    </w:p>
    <w:p>
      <w:r>
        <w:rPr>
          <w:rFonts w:ascii="Arial" w:hAnsi="Arial"/>
          <w:b/>
          <w:color w:val="1A365D"/>
          <w:sz w:val="24"/>
        </w:rPr>
        <w:t>3.2. O que podemos ter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Spin-offs e patentes em fármacos, enzimas e materiais.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Integração com saúde, defesa e indústria farmacêutica europeia.</w:t>
      </w:r>
    </w:p>
    <w:p>
      <w:r>
        <w:rPr>
          <w:rFonts w:ascii="Arial" w:hAnsi="Arial"/>
          <w:b/>
          <w:color w:val="1A365D"/>
          <w:sz w:val="24"/>
        </w:rPr>
        <w:t>3.3. Riscos e mitigação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Ciclos longos e risco tecnológico exigem governação rigorosa. O UNIR propõe financiamento faseado por marcos (stage-gate), com encerramento rápido de projetos sem tração.</w:t>
      </w:r>
    </w:p>
    <w:p>
      <w:r>
        <w:rPr>
          <w:rFonts w:ascii="Arial" w:hAnsi="Arial"/>
          <w:b/>
          <w:color w:val="1A365D"/>
          <w:sz w:val="24"/>
        </w:rPr>
        <w:t>4. Alternativa C - Tecnologia de mar profundo (Deep-Sea Tech)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A tecnologia de mar profundo inclui robótica submarina, mapeamento, sensores, comunicações e dados oceânicos. É um multiplicador de soberania: serve ciência, economia e defesa.</w:t>
      </w:r>
    </w:p>
    <w:p>
      <w:r>
        <w:rPr>
          <w:rFonts w:ascii="Arial" w:hAnsi="Arial"/>
          <w:b/>
          <w:color w:val="1A365D"/>
          <w:sz w:val="24"/>
        </w:rPr>
        <w:t>4.1. O que temos hoje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Competência científica dispersa.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Dependência de tecnologia estrangeira para campanhas e operações.</w:t>
      </w:r>
    </w:p>
    <w:p>
      <w:r>
        <w:rPr>
          <w:rFonts w:ascii="Arial" w:hAnsi="Arial"/>
          <w:b/>
          <w:color w:val="1A365D"/>
          <w:sz w:val="24"/>
        </w:rPr>
        <w:t>4.2. O que podemos ter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Cluster nacional exportador de tecnologia e serviços.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Integração com defesa e interceção (sensores, ISR, domínio de informação).</w:t>
      </w:r>
    </w:p>
    <w:p>
      <w:r>
        <w:rPr>
          <w:rFonts w:ascii="Arial" w:hAnsi="Arial"/>
          <w:b/>
          <w:color w:val="1A365D"/>
          <w:sz w:val="24"/>
        </w:rPr>
        <w:t>5. Comparação estratégica</w:t>
      </w:r>
    </w:p>
    <w:p>
      <w:r>
        <w:rPr>
          <w:rFonts w:ascii="Arial" w:hAnsi="Arial"/>
          <w:b/>
          <w:color w:val="1A365D"/>
          <w:sz w:val="24"/>
        </w:rPr>
        <w:t>Opção</w:t>
      </w:r>
    </w:p>
    <w:p>
      <w:r>
        <w:rPr>
          <w:rFonts w:ascii="Arial" w:hAnsi="Arial"/>
          <w:b/>
          <w:color w:val="1A365D"/>
          <w:sz w:val="24"/>
        </w:rPr>
        <w:t>Tempo de retorno</w:t>
      </w:r>
    </w:p>
    <w:p>
      <w:r>
        <w:rPr>
          <w:rFonts w:ascii="Arial" w:hAnsi="Arial"/>
          <w:b/>
          <w:color w:val="1A365D"/>
          <w:sz w:val="24"/>
        </w:rPr>
        <w:t>Risco ambiental</w:t>
      </w:r>
    </w:p>
    <w:p>
      <w:r>
        <w:rPr>
          <w:rFonts w:ascii="Arial" w:hAnsi="Arial"/>
          <w:b/>
          <w:color w:val="1A365D"/>
          <w:sz w:val="24"/>
        </w:rPr>
        <w:t>Aceitação pública</w:t>
      </w:r>
    </w:p>
    <w:p>
      <w:r>
        <w:rPr>
          <w:rFonts w:ascii="Arial" w:hAnsi="Arial"/>
          <w:b/>
          <w:color w:val="1A365D"/>
          <w:sz w:val="24"/>
        </w:rPr>
        <w:t>Urban Mining</w:t>
      </w:r>
    </w:p>
    <w:p>
      <w:r>
        <w:rPr>
          <w:rFonts w:ascii="Arial" w:hAnsi="Arial"/>
          <w:b/>
          <w:color w:val="1A365D"/>
          <w:sz w:val="24"/>
        </w:rPr>
        <w:t>Curto - Médio</w:t>
      </w:r>
    </w:p>
    <w:p>
      <w:r>
        <w:rPr>
          <w:rFonts w:ascii="Arial" w:hAnsi="Arial"/>
          <w:b/>
          <w:color w:val="1A365D"/>
          <w:sz w:val="24"/>
        </w:rPr>
        <w:t>Baixo</w:t>
      </w:r>
    </w:p>
    <w:p>
      <w:r>
        <w:rPr>
          <w:rFonts w:ascii="Arial" w:hAnsi="Arial"/>
          <w:b/>
          <w:color w:val="1A365D"/>
          <w:sz w:val="24"/>
        </w:rPr>
        <w:t>Alta</w:t>
      </w:r>
    </w:p>
    <w:p>
      <w:r>
        <w:rPr>
          <w:rFonts w:ascii="Arial" w:hAnsi="Arial"/>
          <w:b/>
          <w:color w:val="1A365D"/>
          <w:sz w:val="24"/>
        </w:rPr>
        <w:t>Biotecnologia Marinha</w:t>
      </w:r>
    </w:p>
    <w:p>
      <w:r>
        <w:rPr>
          <w:rFonts w:ascii="Arial" w:hAnsi="Arial"/>
          <w:b/>
          <w:color w:val="1A365D"/>
          <w:sz w:val="24"/>
        </w:rPr>
        <w:t>Médio - Longo</w:t>
      </w:r>
    </w:p>
    <w:p>
      <w:r>
        <w:rPr>
          <w:rFonts w:ascii="Arial" w:hAnsi="Arial"/>
          <w:b/>
          <w:color w:val="1A365D"/>
          <w:sz w:val="24"/>
        </w:rPr>
        <w:t>Baixo</w:t>
      </w:r>
    </w:p>
    <w:p>
      <w:r>
        <w:rPr>
          <w:rFonts w:ascii="Arial" w:hAnsi="Arial"/>
          <w:b/>
          <w:color w:val="1A365D"/>
          <w:sz w:val="24"/>
        </w:rPr>
        <w:t>Alta</w:t>
      </w:r>
    </w:p>
    <w:p>
      <w:r>
        <w:rPr>
          <w:rFonts w:ascii="Arial" w:hAnsi="Arial"/>
          <w:b/>
          <w:color w:val="1A365D"/>
          <w:sz w:val="24"/>
        </w:rPr>
        <w:t>Deep-Sea Tech</w:t>
      </w:r>
    </w:p>
    <w:p>
      <w:r>
        <w:rPr>
          <w:rFonts w:ascii="Arial" w:hAnsi="Arial"/>
          <w:b/>
          <w:color w:val="1A365D"/>
          <w:sz w:val="24"/>
        </w:rPr>
        <w:t>Médio</w:t>
      </w:r>
    </w:p>
    <w:p>
      <w:r>
        <w:rPr>
          <w:rFonts w:ascii="Arial" w:hAnsi="Arial"/>
          <w:b/>
          <w:color w:val="1A365D"/>
          <w:sz w:val="24"/>
        </w:rPr>
        <w:t>Baixo</w:t>
      </w:r>
    </w:p>
    <w:p>
      <w:r>
        <w:rPr>
          <w:rFonts w:ascii="Arial" w:hAnsi="Arial"/>
          <w:b/>
          <w:color w:val="1A365D"/>
          <w:sz w:val="24"/>
        </w:rPr>
        <w:t>Alta</w:t>
      </w:r>
    </w:p>
    <w:p>
      <w:r>
        <w:rPr>
          <w:rFonts w:ascii="Arial" w:hAnsi="Arial"/>
          <w:b/>
          <w:color w:val="1A365D"/>
          <w:sz w:val="24"/>
        </w:rPr>
        <w:t>Mineração Mar Profundo</w:t>
      </w:r>
    </w:p>
    <w:p>
      <w:r>
        <w:rPr>
          <w:rFonts w:ascii="Arial" w:hAnsi="Arial"/>
          <w:b/>
          <w:color w:val="1A365D"/>
          <w:sz w:val="24"/>
        </w:rPr>
        <w:t>Longo</w:t>
      </w:r>
    </w:p>
    <w:p>
      <w:r>
        <w:rPr>
          <w:rFonts w:ascii="Arial" w:hAnsi="Arial"/>
          <w:b/>
          <w:color w:val="1A365D"/>
          <w:sz w:val="24"/>
        </w:rPr>
        <w:t>Elevado</w:t>
      </w:r>
    </w:p>
    <w:p>
      <w:r>
        <w:rPr>
          <w:rFonts w:ascii="Arial" w:hAnsi="Arial"/>
          <w:b/>
          <w:color w:val="1A365D"/>
          <w:sz w:val="24"/>
        </w:rPr>
        <w:t>Baixa</w:t>
      </w:r>
    </w:p>
    <w:p>
      <w:r>
        <w:rPr>
          <w:rFonts w:ascii="Arial" w:hAnsi="Arial"/>
          <w:b/>
          <w:color w:val="1A365D"/>
          <w:sz w:val="24"/>
        </w:rPr>
        <w:t>6. Roteiro proposto (adaptado ao contexto português)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Fase 1 (0 - 4 anos): Urban Mining com incentivos diretos e fiscalização digital.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Fase 2 (2 - 6 anos): Cluster de Deep-Sea Tech e integração com defesa.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Fase 3 (5 - 10 anos): Biotecnologia marinha com governação por marcos.</w:t>
      </w:r>
    </w:p>
    <w:p>
      <w:pPr>
        <w:pStyle w:val="ListBullet"/>
        <w:spacing w:line="276" w:lineRule="auto"/>
        <w:jc w:val="both"/>
      </w:pPr>
      <w:r>
        <w:rPr>
          <w:rFonts w:ascii="Arial" w:hAnsi="Arial"/>
          <w:color w:val="2D3748"/>
          <w:sz w:val="24"/>
        </w:rPr>
        <w:t>Mineração comercial: apenas reavaliada após 2050, com consenso científico e político.</w:t>
      </w:r>
    </w:p>
    <w:p>
      <w:r>
        <w:rPr>
          <w:rFonts w:ascii="Arial" w:hAnsi="Arial"/>
          <w:b/>
          <w:color w:val="1A365D"/>
          <w:sz w:val="24"/>
        </w:rPr>
        <w:t>7. Conclusão</w:t>
      </w:r>
    </w:p>
    <w:p>
      <w:pPr>
        <w:spacing w:line="276" w:lineRule="auto"/>
        <w:jc w:val="both"/>
      </w:pPr>
      <w:r>
        <w:rPr>
          <w:rFonts w:ascii="Arial" w:hAnsi="Arial"/>
          <w:color w:val="2D3748"/>
          <w:sz w:val="24"/>
        </w:rPr>
        <w:t>Portugal não precisa de destruir o mar para beneficiar dele. Ao priorizar alternativas tecnológicas e industriais, o UNIR propõe um caminho mais rápido, seguro e alinhado com os valores e hábitos do país. Este Anexo reforça o Eixo I como uma estratégia de soberania moderna, responsável e eficaz.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  <w:jc w:val="both"/>
    </w:pPr>
    <w:rPr>
      <w:rFonts w:ascii="Arial" w:hAnsi="Arial"/>
      <w:color w:val="2D3748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365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365D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365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