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96"/>
        </w:rPr>
        <w:t>Portugal 90%</w:t>
      </w:r>
    </w:p>
    <w:p>
      <w:pPr>
        <w:jc w:val="center"/>
      </w:pPr>
      <w:r>
        <w:rPr>
          <w:rFonts w:ascii="Arial" w:hAnsi="Arial"/>
          <w:b/>
          <w:color w:val="4A5568"/>
          <w:sz w:val="36"/>
        </w:rPr>
        <w:t>Domínio Marítimo, Dissuasão e Economia Azul</w:t>
      </w:r>
    </w:p>
    <w:p/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﻿UNIR | Eixo I - Portugal 90%                                                             Documento Programático</w:t>
      </w:r>
    </w:p>
    <w:p>
      <w:r>
        <w:rPr>
          <w:rFonts w:ascii="Arial" w:hAnsi="Arial"/>
          <w:b/>
          <w:color w:val="1A365D"/>
          <w:sz w:val="24"/>
        </w:rPr>
        <w:t>UNIR</w:t>
      </w:r>
    </w:p>
    <w:p>
      <w:r>
        <w:rPr>
          <w:rFonts w:ascii="Arial" w:hAnsi="Arial"/>
          <w:b/>
          <w:color w:val="1A365D"/>
          <w:sz w:val="24"/>
        </w:rPr>
        <w:t>Eixo I - Soberania, Defesa e Mar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Plano 'Portugal 90%': Domínio Marítimo, Dissuasão e Economia Azul de Alto Valor (2026-2034)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Documento Programático Oficial | Versão 2.0 | 27 January 2026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Nota: Este documento assume a moratória nacional de mineração em mar profundo até 2050, com exceções apenas para investigação científica/tecnológica sem exploração comercial.</w:t>
      </w:r>
    </w:p>
    <w:p>
      <w:r>
        <w:rPr>
          <w:rFonts w:ascii="Arial" w:hAnsi="Arial"/>
          <w:b/>
          <w:color w:val="1A365D"/>
          <w:sz w:val="24"/>
        </w:rPr>
        <w:t>Resumo executivo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Portugal é uma nação atlântica. O mar sob jurisdição portuguesa, articulado entre Continente, Açores e Madeira, é simultaneamente fronteira, infraestrutura crítica e oportunidade económica. O UNIR propõe uma abordagem de Soluções Reais: usar tecnologia e capacidade de interceção para dissuadir ameaças (marítimas, aéreas e terrestres), proteger o território e criar prosperidade com base em ciência, dados e indústria de alto valor.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Este Eixo estabelece uma estratégia integrada em quatro pilares operacionais: (1) Domínio de informação marítima (ver e antecipar), (2) Capacidade de interceção e resposta (agir e dissuadir), (3) Proteção de infraestruturas críticas (cabos, portos, energia), (4) Economia azul de alto valor (deep-sea tech, biotecnologia e serviços avançados), respeitando a moratória nacional para mineração comercial em mar profundo.</w:t>
      </w:r>
    </w:p>
    <w:p/>
    <w:p>
      <w:r>
        <w:rPr>
          <w:rFonts w:ascii="Arial" w:hAnsi="Arial"/>
          <w:b/>
          <w:color w:val="1A365D"/>
          <w:sz w:val="24"/>
        </w:rPr>
        <w:t>1. Enquadramento estratégico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O Atlântico tornou-se um espaço de competição: rotas logísticas, pesca e recursos, conectividade digital (cabos submarinos) e projeção de poder. Portugal tem uma vantagem estrutural: uma grande área marítima sob jurisdição e uma posição geográfica central no Atlântico. A Estratégia Nacional para o Mar 2021-2030 (ENM 2021-2030) coloca a ambição de reforçar a posição e visibilidade de Portugal como nação marítima e de aumentar o valor económico do mar com base em conhecimento e inovação.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1.1. 'Portugal 90%': definição política e definição operacional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Como linguagem pública, 'Portugal 90%' sintetiza que a dimensão marítima multiplica o país. Operacionalmente, o UNIR traduz esse conceito em três frentes mensuráveis: (i) vigilância e resposta na ZEE, (ii) proteção de infraestruturas críticas e rotas, (iii) criação de valor económico com tecnologia e ciência oceânica.</w:t>
      </w:r>
    </w:p>
    <w:p>
      <w:r>
        <w:rPr>
          <w:rFonts w:ascii="Arial" w:hAnsi="Arial"/>
          <w:b/>
          <w:color w:val="1A365D"/>
          <w:sz w:val="24"/>
        </w:rPr>
        <w:t>1.2. Ponto de partida legal e institucional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O ordenamento do espaço marítimo é enquadrado pelo Plano de Situação do Ordenamento do Espaço Marítimo Nacional (PSOEM), que estrutura usos existentes e futuros, compatibiliza conservação e atividades económicas e fornece a matriz para decisões públicas. Em 2025, Portugal aprovou uma moratória de mineração em mar profundo até 2050. O UNIR assume esta moratória e propõe apenas exceções para investigação científica e tecnológica, sem exploração comercial e com transparência total.</w:t>
      </w:r>
    </w:p>
    <w:p>
      <w:r>
        <w:rPr>
          <w:rFonts w:ascii="Arial" w:hAnsi="Arial"/>
          <w:b/>
          <w:color w:val="1A365D"/>
          <w:sz w:val="24"/>
        </w:rPr>
        <w:t>1.3. Diagnóstico: riscos e oportunidades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Risco de segurança: ilícitos marítimos (tráfico, pesca ilegal), ameaças híbridas e pressão sobre fronteiras.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Risco económico: vulnerabilidade de portos, rotas e cabos submarinos a sabotagem, acidente ou ciberataque.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Risco institucional: dados dispersos, silos operacionais, e baixa capacidade de decisão baseada em evidência em tempo útil.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Oportunidade industrial: deep-sea tech (robótica, sensores, mapeamento), capacidades dual-use e exportação de serviços.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Oportunidade territorial: Alentejo e Algarve como âncoras de capacidade aérea, logística e resposta; ilhas como nós estratégicos.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2. Visão UNIR (2026-2034): Soberania exercida, dissuasão credível e economia azul de alto valor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O UNIR recusa uma política marítima apenas declarativa. A soberania tem de ser exercida: ver, decidir e agir. A defesa tem de dissuadir: mostrar capacidade de interceção suficiente para tornar ofensivas e ilícitos demasiado caros para qualquer adversário. A economia do mar tem de criar valor: tecnologia, ciência, biotecnologia, serviços e indústria de suporte.</w:t>
      </w:r>
    </w:p>
    <w:p>
      <w:r>
        <w:rPr>
          <w:rFonts w:ascii="Arial" w:hAnsi="Arial"/>
          <w:b/>
          <w:color w:val="1A365D"/>
          <w:sz w:val="24"/>
        </w:rPr>
        <w:t>2.1. Objetivos estratégicos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Consciência situacional marítima e costeira quase em tempo real, integrando tráfego, pescas, ambiente e segurança.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Capacidade de interceção e resposta rápida (marítima, aérea e terrestre) para dissuasão e prevenção.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Proteção de infraestruturas críticas (cabos submarinos, portos, energia), com redundância, auditoria e exercícios regulares.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Cluster nacional de deep-sea tech e indústria dual-use (civil e segurança) com emprego qualificado.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Governação transparente: métricas públicas, contratos auditáveis e decisões justificadas por dados.</w:t>
      </w:r>
    </w:p>
    <w:p>
      <w:r>
        <w:rPr>
          <w:rFonts w:ascii="Arial" w:hAnsi="Arial"/>
          <w:b/>
          <w:color w:val="1A365D"/>
          <w:sz w:val="24"/>
        </w:rPr>
        <w:t>3. Programa de ação</w:t>
      </w:r>
    </w:p>
    <w:p>
      <w:r>
        <w:rPr>
          <w:rFonts w:ascii="Arial" w:hAnsi="Arial"/>
          <w:b/>
          <w:color w:val="1A365D"/>
          <w:sz w:val="24"/>
        </w:rPr>
        <w:t>3.1. Domínio de informação marítima: ver primeiro, agir melhor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A dissuasão começa pela informação. A capacidade de detetar cedo reduz custos e aumenta eficácia. O UNIR propõe uma arquitetura nacional em camadas: satélite e dados orbitais, sensores costeiros, aeronaves e drones ISR, recolha marítima (navios, boias, AUV/ROV) e integração de dados num sistema com camadas de acesso.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Medidas de curto prazo focam-se em integração e interoperabilidade: reduzir silos entre entidades civis, fiscalização e defesa, com cibersegurança por desenho (logs, auditoria, redundância e controlo de acessos).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Lago de Dados Marítimos (civil + segurança), com separação entre camadas públicas, operacionais e classificadas.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Integração de AIS/radar/satélite e sensores, com normalização de dados e alertas automatizados.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Protocolos interagência: incidentes de cabos, poluição, pesca ilegal, imigração ilegal, buscas e salvamento.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Ciber-resiliência: monitorização contínua, testes de intrusão e auditoria independente anual.</w:t>
      </w:r>
    </w:p>
    <w:p>
      <w:r>
        <w:rPr>
          <w:rFonts w:ascii="Arial" w:hAnsi="Arial"/>
          <w:b/>
          <w:color w:val="1A365D"/>
          <w:sz w:val="24"/>
        </w:rPr>
        <w:t>3.2. Capacidade de interceção e resposta: dissuasão por prevenção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Para o UNIR, a capacidade de interceção é um seguro nacional. Não é para atacar, é para impedir: impedir ilícitos, impedir escaladas e tornar qualquer tentativa de pressão ou ofensiva irracional do ponto de vista do adversário. A interceção eficaz depende de três coisas: aviso antecipado (dados), prontidão (forças e meios) e regras claras de atuação (legalidade).</w:t>
      </w:r>
    </w:p>
    <w:p>
      <w:r>
        <w:rPr>
          <w:rFonts w:ascii="Arial" w:hAnsi="Arial"/>
          <w:b/>
          <w:color w:val="1A365D"/>
          <w:sz w:val="24"/>
        </w:rPr>
        <w:t>Arquitetura de dissuasão em camadas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Camada aérea: patrulhamento e alerta com meios tripulados e não tripulados, e capacidade de reação (QRA) quando aplicável.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Camada marítima: patrulhas, interceção e abordagem (boarding) com meios adequados e interoperáveis, apoiados por ISR.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Camada terrestre: proteção de infraestruturas críticas e reforço de fronteira em cenários de crise, em articulação com forças de segurança.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Camada cibernética: defesa ativa de redes de defesa, portos, energia e saúde (infraestruturas críticas).</w:t>
      </w:r>
    </w:p>
    <w:p>
      <w:r>
        <w:rPr>
          <w:rFonts w:ascii="Arial" w:hAnsi="Arial"/>
          <w:b/>
          <w:color w:val="1A365D"/>
          <w:sz w:val="24"/>
        </w:rPr>
        <w:t>3.3. Alentejo e Algarve: eixo Sul de defesa, logística e desenvolvimento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O Sul oferece espaço, proximidade a rotas e capacidade de expansão. O UNIR propõe um eixo operacional que gere segurança e emprego qualificado.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Alentejo (Beja) como hub de treino, manutenção e teste de sistemas aéreos e logística, com ligação a indústria e academia.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Algarve como destacamento de prontidão para patrulhamento costeiro, interceção e proteção de rotas e turismo.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Corredor logístico Sines-Beja-Algarve: reforçar condições para manutenção, armazenamento e resposta rápida, com benefício económico regional.</w:t>
      </w:r>
    </w:p>
    <w:p>
      <w:r>
        <w:rPr>
          <w:rFonts w:ascii="Arial" w:hAnsi="Arial"/>
          <w:b/>
          <w:color w:val="1A365D"/>
          <w:sz w:val="24"/>
        </w:rPr>
        <w:t>3.4. Infraestruturas críticas: cabos submarinos, portos e energia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Cabos submarinos são artérias da economia digital. Portos são nós de logística e soberania. Energia offshore será cada vez mais relevante. A abordagem UNIR é tratá-los como infraestrutura crítica com critérios de criticidade, redundância e planos de resposta.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Inventário nacional de infraestruturas críticas marítimas: cabos, pontos de amarração, estações, portos e dependências.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Planos de continuidade e redundância: rotas alternativas, acordos de reparação, e exercícios anuais com operadores.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Segurança integrada em portos: inspeção, cibersegurança, controlo de acessos e monitorização.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Energia offshore alinhada com ordenamento (PSOEM) e avaliação de risco integrada (física, ambiental e ciber).</w:t>
      </w:r>
    </w:p>
    <w:p>
      <w:r>
        <w:rPr>
          <w:rFonts w:ascii="Arial" w:hAnsi="Arial"/>
          <w:b/>
          <w:color w:val="1A365D"/>
          <w:sz w:val="24"/>
        </w:rPr>
        <w:t>3.5. Deep-sea tech: o valor económico antes da extração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Com moratória para mineração comercial, a vantagem competitiva está em tecnologia, ciência e serviços. O UNIR quer tornar Portugal um exportador de capacidade: robótica submarina, mapeamento, sensores, dados e biotecnologia.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Programa nacional de mapeamento e observação oceânica (com dados abertos quando possível e seguro).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Incentivos a consórcios para AUV/ROV, sensores, docking, energia e comunicações submarinas.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Gémeo Digital do Atlântico português para simular políticas, riscos e impactos.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Biotecnologia marinha orientada a fármacos e materiais (alto valor, baixo impacto).</w:t>
      </w:r>
    </w:p>
    <w:p>
      <w:r>
        <w:rPr>
          <w:rFonts w:ascii="Arial" w:hAnsi="Arial"/>
          <w:b/>
          <w:color w:val="1A365D"/>
          <w:sz w:val="24"/>
        </w:rPr>
        <w:t>3.6. Moratória 2050: exceções apenas para investigação, com salvaguardas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O UNIR assume a moratória nacional até 2050. As exceções permitidas devem ser estritamente para investigação científica e tecnológica, sem exploração comercial, com licenças transparentes, supervisão independente e publicação de resultados. O objetivo é: conhecimento, tecnologia e capacidade nacional, não extração.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Licenciamento público e rastreável: projetos, objetivos, metodologias e financiamento publicados.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Comissão científica independente: avaliação de impacto, desenho experimental e limites operacionais.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Dados e amostras: políticas de ciência aberta quando não colidirem com segurança nacional.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Cláusula de reversibilidade: suspensão imediata se houver risco ambiental ou incumprimento.</w:t>
      </w:r>
    </w:p>
    <w:p>
      <w:r>
        <w:rPr>
          <w:rFonts w:ascii="Arial" w:hAnsi="Arial"/>
          <w:b/>
          <w:color w:val="1A365D"/>
          <w:sz w:val="24"/>
        </w:rPr>
        <w:t>4. Contras frequentes e respostas UNIR</w:t>
      </w:r>
    </w:p>
    <w:p>
      <w:r>
        <w:rPr>
          <w:rFonts w:ascii="Arial" w:hAnsi="Arial"/>
          <w:b/>
          <w:color w:val="1A365D"/>
          <w:sz w:val="24"/>
        </w:rPr>
        <w:t>Objeção</w:t>
      </w:r>
    </w:p>
    <w:p>
      <w:r>
        <w:rPr>
          <w:rFonts w:ascii="Arial" w:hAnsi="Arial"/>
          <w:b/>
          <w:color w:val="1A365D"/>
          <w:sz w:val="24"/>
        </w:rPr>
        <w:t>Resposta e solução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'Isto é caro e Portugal não tem escala.'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Estratégia modular e dual-use: sensores, dados e ISR servem fiscalização, ambiente, proteção civil e defesa. Aumenta eficácia e reduz custos operacionais no médio prazo. Priorização por criticidade e fases de entrega.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'Capacidade de interceção é militarização.'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Interceção é prevenção. A ausência de capacidade convida ao ilícito e à pressão externa. O UNIR define regras de atuação legais, proporcionalidade e escrutínio democrático, com foco em dissuasão e proteção.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'Moratória 2050 impede retorno económico.'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A economia do mar não se resume à extração. O retorno vem de indústria e serviços: robótica, mapeamento, sensores, dados, biotecnologia, reparação e segurança de infraestruturas.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'Dados abertos criam risco de segurança.'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Arquitetura em camadas: público para escrutínio e ciência; restrito/classificado para operações sensíveis. Logs e auditoria de acessos.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'Portugal sozinho não consegue impor-se.'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Portugal impõe-se pela utilidade: dados do Atlântico, logística, treino e capacidade tecnológica. Parcerias a partir de valor entregue, não dependência passiva.</w:t>
      </w:r>
    </w:p>
    <w:p>
      <w:r>
        <w:rPr>
          <w:rFonts w:ascii="Arial" w:hAnsi="Arial"/>
          <w:b/>
          <w:color w:val="1A365D"/>
          <w:sz w:val="24"/>
        </w:rPr>
        <w:t>5. Benefícios concretos (para as pessoas e para o país)</w:t>
      </w:r>
    </w:p>
    <w:p>
      <w:r>
        <w:rPr>
          <w:rFonts w:ascii="Arial" w:hAnsi="Arial"/>
          <w:b/>
          <w:color w:val="1A365D"/>
          <w:sz w:val="24"/>
        </w:rPr>
        <w:t>5.1. Para as pessoas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Mais segurança no dia a dia: redução de ilícitos e resposta mais rápida a incidentes costeiros e marítimos.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Emprego qualificado e fixação de talento: engenharia, operadores, manutenção, dados e indústria associada.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Proteção de rendimento em comunidades costeiras: fiscalização eficaz contra pesca ilegal e cadeias paralelas.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Serviços públicos mais fortes: tecnologia marítima reforça proteção civil, ambiente e capacidade de resposta.</w:t>
      </w:r>
    </w:p>
    <w:p>
      <w:r>
        <w:rPr>
          <w:rFonts w:ascii="Arial" w:hAnsi="Arial"/>
          <w:b/>
          <w:color w:val="1A365D"/>
          <w:sz w:val="24"/>
        </w:rPr>
        <w:t>5.2. Para o país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Dissuasão credível: capacidade de interceção reduz vulnerabilidade e aumenta autonomia.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Resiliência económica: proteção de cabos, portos e energia reduz risco sistémico e atrai investimento.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Influência geopolítica: Portugal como hub atlântico de capacidade e informação, relevante para UE e NATO.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Economia azul de alto valor: exportação de tecnologia e serviços, com base em ciência e indústria.</w:t>
      </w:r>
    </w:p>
    <w:p>
      <w:r>
        <w:rPr>
          <w:rFonts w:ascii="Arial" w:hAnsi="Arial"/>
          <w:b/>
          <w:color w:val="1A365D"/>
          <w:sz w:val="24"/>
        </w:rPr>
        <w:t>6. Modelo de execução e financiamento (ordens de grandeza e lógica)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O UNIR propõe um modelo de execução faseado e auditável: começar pela integração de dados e reforço de sensores, expandir para capacidade ISR e interceção, e consolidar com indústria e exportação. O investimento deve ser entendido como capacidade dual-use: o mesmo sistema suporta fiscalização, ambiente, proteção civil e defesa.</w:t>
      </w:r>
    </w:p>
    <w:p>
      <w:r>
        <w:rPr>
          <w:rFonts w:ascii="Arial" w:hAnsi="Arial"/>
          <w:b/>
          <w:color w:val="1A365D"/>
          <w:sz w:val="24"/>
        </w:rPr>
        <w:t>6.1. Roadmap (2026-2034)</w:t>
      </w:r>
    </w:p>
    <w:p>
      <w:r>
        <w:rPr>
          <w:rFonts w:ascii="Arial" w:hAnsi="Arial"/>
          <w:b/>
          <w:color w:val="1A365D"/>
          <w:sz w:val="24"/>
        </w:rPr>
        <w:t>Período</w:t>
      </w:r>
    </w:p>
    <w:p>
      <w:r>
        <w:rPr>
          <w:rFonts w:ascii="Arial" w:hAnsi="Arial"/>
          <w:b/>
          <w:color w:val="1A365D"/>
          <w:sz w:val="24"/>
        </w:rPr>
        <w:t>Entregas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2026-2027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Integração de dados, reforço de sensores e protocolos; inventário de infraestruturas críticas; desenho do Cluster deep-sea tech; início do eixo Sul.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2028-2029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Operacionalização ampliada do Hub do Sul; capacidades ISR e treino; primeira versão do Gémeo Digital; primeiros contratos de indústria e manutenção.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2030-2031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Expansão de interceção e resposta integrada; exercícios anuais de cabos/portos; exportação inicial de serviços e tecnologia.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2032-2034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Consolidação como hub atlântico; maturidade industrial e científica; revisão estratégica baseada em KPIs e auditoria pública.</w:t>
      </w:r>
    </w:p>
    <w:p>
      <w:r>
        <w:rPr>
          <w:rFonts w:ascii="Arial" w:hAnsi="Arial"/>
          <w:b/>
          <w:color w:val="1A365D"/>
          <w:sz w:val="24"/>
        </w:rPr>
        <w:t>6.2. KPIs (indicadores)</w:t>
      </w:r>
    </w:p>
    <w:p>
      <w:r>
        <w:rPr>
          <w:rFonts w:ascii="Arial" w:hAnsi="Arial"/>
          <w:b/>
          <w:color w:val="1A365D"/>
          <w:sz w:val="24"/>
        </w:rPr>
        <w:t>Indicador</w:t>
      </w:r>
    </w:p>
    <w:p>
      <w:r>
        <w:rPr>
          <w:rFonts w:ascii="Arial" w:hAnsi="Arial"/>
          <w:b/>
          <w:color w:val="1A365D"/>
          <w:sz w:val="24"/>
        </w:rPr>
        <w:t>Linha de base</w:t>
      </w:r>
    </w:p>
    <w:p>
      <w:r>
        <w:rPr>
          <w:rFonts w:ascii="Arial" w:hAnsi="Arial"/>
          <w:b/>
          <w:color w:val="1A365D"/>
          <w:sz w:val="24"/>
        </w:rPr>
        <w:t>Meta (orientadora)</w:t>
      </w:r>
    </w:p>
    <w:p>
      <w:r>
        <w:rPr>
          <w:rFonts w:ascii="Arial" w:hAnsi="Arial"/>
          <w:b/>
          <w:color w:val="1A365D"/>
          <w:sz w:val="24"/>
        </w:rPr>
        <w:t>Cobertura de vigilância integrada na ZEE</w:t>
      </w:r>
    </w:p>
    <w:p>
      <w:r>
        <w:rPr>
          <w:rFonts w:ascii="Arial" w:hAnsi="Arial"/>
          <w:b/>
          <w:color w:val="1A365D"/>
          <w:sz w:val="24"/>
        </w:rPr>
        <w:t>Dispersa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Cobertura alargada com integração nacional e alertas automatizados</w:t>
      </w:r>
    </w:p>
    <w:p>
      <w:r>
        <w:rPr>
          <w:rFonts w:ascii="Arial" w:hAnsi="Arial"/>
          <w:b/>
          <w:color w:val="1A365D"/>
          <w:sz w:val="24"/>
        </w:rPr>
        <w:t>Tempo deteção-resposta a incidentes críticos</w:t>
      </w:r>
    </w:p>
    <w:p>
      <w:r>
        <w:rPr>
          <w:rFonts w:ascii="Arial" w:hAnsi="Arial"/>
          <w:b/>
          <w:color w:val="1A365D"/>
          <w:sz w:val="24"/>
        </w:rPr>
        <w:t>Irregular</w:t>
      </w:r>
    </w:p>
    <w:p>
      <w:r>
        <w:rPr>
          <w:rFonts w:ascii="Arial" w:hAnsi="Arial"/>
          <w:b/>
          <w:color w:val="1A365D"/>
          <w:sz w:val="24"/>
        </w:rPr>
        <w:t>Redução sustentada com resposta em horas</w:t>
      </w:r>
    </w:p>
    <w:p>
      <w:r>
        <w:rPr>
          <w:rFonts w:ascii="Arial" w:hAnsi="Arial"/>
          <w:b/>
          <w:color w:val="1A365D"/>
          <w:sz w:val="24"/>
        </w:rPr>
        <w:t>Resiliência de cabos/portos (planos + exercícios)</w:t>
      </w:r>
    </w:p>
    <w:p>
      <w:r>
        <w:rPr>
          <w:rFonts w:ascii="Arial" w:hAnsi="Arial"/>
          <w:b/>
          <w:color w:val="1A365D"/>
          <w:sz w:val="24"/>
        </w:rPr>
        <w:t>Parcial</w:t>
      </w:r>
    </w:p>
    <w:p>
      <w:r>
        <w:rPr>
          <w:rFonts w:ascii="Arial" w:hAnsi="Arial"/>
          <w:b/>
          <w:color w:val="1A365D"/>
          <w:sz w:val="24"/>
        </w:rPr>
        <w:t>Planos completos e exercícios anuais com operadores</w:t>
      </w:r>
    </w:p>
    <w:p>
      <w:r>
        <w:rPr>
          <w:rFonts w:ascii="Arial" w:hAnsi="Arial"/>
          <w:b/>
          <w:color w:val="1A365D"/>
          <w:sz w:val="24"/>
        </w:rPr>
        <w:t>Capacidade de interceção (prontidão)</w:t>
      </w:r>
    </w:p>
    <w:p>
      <w:r>
        <w:rPr>
          <w:rFonts w:ascii="Arial" w:hAnsi="Arial"/>
          <w:b/>
          <w:color w:val="1A365D"/>
          <w:sz w:val="24"/>
        </w:rPr>
        <w:t>Limitada</w:t>
      </w:r>
    </w:p>
    <w:p>
      <w:r>
        <w:rPr>
          <w:rFonts w:ascii="Arial" w:hAnsi="Arial"/>
          <w:b/>
          <w:color w:val="1A365D"/>
          <w:sz w:val="24"/>
        </w:rPr>
        <w:t>Prontidão reforçada por camadas e interoperabilidade</w:t>
      </w:r>
    </w:p>
    <w:p>
      <w:r>
        <w:rPr>
          <w:rFonts w:ascii="Arial" w:hAnsi="Arial"/>
          <w:b/>
          <w:color w:val="1A365D"/>
          <w:sz w:val="24"/>
        </w:rPr>
        <w:t>Emprego e exportação em deep-sea tech</w:t>
      </w:r>
    </w:p>
    <w:p>
      <w:r>
        <w:rPr>
          <w:rFonts w:ascii="Arial" w:hAnsi="Arial"/>
          <w:b/>
          <w:color w:val="1A365D"/>
          <w:sz w:val="24"/>
        </w:rPr>
        <w:t>Baixo</w:t>
      </w:r>
    </w:p>
    <w:p>
      <w:r>
        <w:rPr>
          <w:rFonts w:ascii="Arial" w:hAnsi="Arial"/>
          <w:b/>
          <w:color w:val="1A365D"/>
          <w:sz w:val="24"/>
        </w:rPr>
        <w:t>Cluster ativo com projetos, patentes e serviços exportáveis</w:t>
      </w:r>
    </w:p>
    <w:p>
      <w:r>
        <w:rPr>
          <w:rFonts w:ascii="Arial" w:hAnsi="Arial"/>
          <w:b/>
          <w:color w:val="1A365D"/>
          <w:sz w:val="24"/>
        </w:rPr>
        <w:t>7. Governança, transparência e integridade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O eixo I exige confiança pública. O UNIR propõe: (i) relatórios anuais públicos com auditoria independente, (ii) regras de conflito de interesses e transparência total em compras e contratos, (iii) mecanismo de escrutínio na Plataforma UNIR com métricas públicas e justificações, (iv) separação entre dados públicos e dados sensíveis com auditoria e rastreabilidade de acessos.</w:t>
      </w:r>
    </w:p>
    <w:p>
      <w:r>
        <w:rPr>
          <w:rFonts w:ascii="Arial" w:hAnsi="Arial"/>
          <w:b/>
          <w:color w:val="1A365D"/>
          <w:sz w:val="24"/>
        </w:rPr>
        <w:t>8. Referências (seleção)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Estratégia Nacional para o Mar 2021-2030 (ENM 2021-2030) - Governo/DGPM.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Plano de Situação do Ordenamento do Espaço Marítimo Nacional (PSOEM) - RCM n.º 203-A/2019.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Moratória de mineração em mar profundo até 2050 - Lei n.º 36/2025.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Comissão Europeia / Copernicus (observação da Terra) - base tecnológica para monitorização e fiscalização.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Materiais e regulações internacionais sobre mineração em mar profundo (ISA) e posições europeias sobre moratória.</w:t>
      </w:r>
    </w:p>
    <w:p>
      <w:r>
        <w:rPr>
          <w:rFonts w:ascii="Arial" w:hAnsi="Arial"/>
          <w:b/>
          <w:color w:val="1A365D"/>
          <w:sz w:val="24"/>
        </w:rPr>
        <w:t>Anexo A - Ligações úteis (URLs)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https://www.dgpm.mm.gov.pt/enm-21-30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https://diariodarepublica.pt/dr/detalhe/resolucao-conselho-ministros/203-a-2019-127659203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https://www.psoem.pt/o-plano-de-situacao/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https://diariodarepublica.pt/dr/detalhe/lei/36-2025-913048480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https://isa.org.jm/the-mining-code/draft-exploitation-regulations-2/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https://www.copernicus.eu/en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UNIR - Soluções Reais | Versão 2.0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  <w:jc w:val="both"/>
    </w:pPr>
    <w:rPr>
      <w:rFonts w:ascii="Arial" w:hAnsi="Arial"/>
      <w:color w:val="2D3748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365D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A365D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A365D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