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138"/>
        <w:gridCol w:w="2500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3e63"/>
                <w:spacing w:val="80"/>
                <w:sz w:val="20"/>
                <w:szCs w:val="20"/>
              </w:rPr>
              <w:t xml:space="preserve">LEBENSLAUF</w:t>
            </w:r>
          </w:p>
          <w:p>
            <w:pPr>
              <w:spacing w:after="0" w:before="1280"/>
            </w:pPr>
            <w:r>
              <w:t xml:space="preserve"/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2667000" cy="438150"/>
                  <wp:effectExtent t="0" r="0" b="0" l="0"/>
                  <wp:docPr id="1" name="Logo" descr="Dr. Diana Rameil Logo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047750" cy="1581150"/>
                  <wp:effectExtent t="0" r="0" b="0" l="0"/>
                  <wp:docPr id="1" name="Foto" descr="Dr. Diana Rameil" title="F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60"/>
      </w:pPr>
      <w:r>
        <w:t xml:space="preserve"/>
      </w:r>
    </w:p>
    <w:p>
      <w:pPr>
        <w:pBdr>
          <w:bottom w:val="single" w:color="01a1e3" w:sz="8" w:space="4"/>
        </w:pBdr>
        <w:spacing w:after="80" w:before="260"/>
      </w:pPr>
      <w:r>
        <w:rPr>
          <w:rFonts w:ascii="Arial" w:cs="Arial" w:eastAsia="Arial" w:hAnsi="Arial"/>
          <w:b/>
          <w:bCs/>
          <w:color w:val="003e63"/>
          <w:spacing w:val="80"/>
          <w:sz w:val="20"/>
          <w:szCs w:val="20"/>
        </w:rPr>
        <w:t xml:space="preserve">PERSÖNLICHE DATEN</w:t>
      </w:r>
    </w:p>
    <w:p>
      <w:pPr>
        <w:spacing w:after="0" w:before="80"/>
      </w:pPr>
      <w:r>
        <w:t xml:space="preserve"/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Name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Dr. med. Diana Rameil, geb. Kloss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Vorname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Diana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Geburtsdatum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04. August 1970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Geburtsort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Berlin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Staatsangehörigkeit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Deutsch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Konfession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Konfessionslos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Familienstand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verheiratet mit Burkhard Rameil, Brand Manager, Vorstand a.D.</w:t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Kinder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Tizian, Phileas, Laurin, Annalies, Henni</w:t>
      </w:r>
    </w:p>
    <w:p>
      <w:pPr>
        <w:spacing w:after="0" w:before="180"/>
      </w:pPr>
      <w:r>
        <w:t xml:space="preserve"/>
      </w:r>
    </w:p>
    <w:p>
      <w:pPr>
        <w:pBdr>
          <w:bottom w:val="single" w:color="01a1e3" w:sz="8" w:space="4"/>
        </w:pBdr>
        <w:spacing w:after="80" w:before="260"/>
      </w:pPr>
      <w:r>
        <w:rPr>
          <w:rFonts w:ascii="Arial" w:cs="Arial" w:eastAsia="Arial" w:hAnsi="Arial"/>
          <w:b/>
          <w:bCs/>
          <w:color w:val="003e63"/>
          <w:spacing w:val="80"/>
          <w:sz w:val="20"/>
          <w:szCs w:val="20"/>
        </w:rPr>
        <w:t xml:space="preserve">SCHULISCHE UND BERUFLICHE AUSBILDUNG</w:t>
      </w:r>
    </w:p>
    <w:p>
      <w:pPr>
        <w:spacing w:after="0" w:before="80"/>
      </w:pPr>
      <w:r>
        <w:t xml:space="preserve"/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1977 – 1983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Grundschule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1983 – 1989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Gymnasium (Abgang 12. Klasse mit mittlerer Reife)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1990 – 1993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Ausbildung zur Arzthelferin in der gynäkologischen Praxis von E. Fischdick, Berlin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1994 – 1997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Berlin Kolleg, Institut zur Erlangung der Allgemeinen Hochschulreife (Abschluss Allgemeine Hochschulreife)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1997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Aufnahme des Studiums der Humanmedizin an der FU Berlin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2002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Physikum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1. Staatsexamen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2005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2. Staatsexamen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2003 – 2005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2 Klinikfamulaturen in der Abteilung für Gynäkologie und Geburtshilfe,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Vivantes-Humboldt-Klinikum Berlin unter der Leitung von Prof. Strecker,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2 Praxisfamulaturen in einer Praxis für innere Medizin in Berlin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2005 – 2006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1. PJ-Tertial Chirurgie, Charite Berlin, Campus Mitte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2. PJ-Tertial, Gynäkologie und Geburtshilfe, Charite Berlin, Campus Virchow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3. PJ-Tertial, Innere Medizin, Charite Berlin, Campus Virchow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2006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3. Staatsexamen und Approbation in Berlin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2007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Beginn Facharztausbildung Gynäkologie und Geburtshilfe, St. Martinus Hospital, Olpe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2008 – 31.05.2012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Weiterführung Facharztausbildung Gynäkologie und Geburtshilfe, St. Barbara Krankenhaus, Attendorn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2011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Promotion zum Dr. med., Charite – Universitätsmedizin Berlin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Dissertation: Einfluss Heimparenteraler Ernährung auf die Überlebenszeit von Tumorpatienten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Klinik für Visceral-, Gefäss- und Thoraxchirurgie, Leitung PD Dr. med. Paul Thul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28.04.2012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Anerkennung Fachärztin für Frauenheilkunde und Geburtshilfe, Ärztekammer Westfalen-Lippe, NRW</w:t>
      </w:r>
    </w:p>
    <w:p>
      <w:pPr>
        <w:keepLines/>
        <w:pageBreakBefore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01.01.2013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Niederlassung als selbständige Fachärztin für Frauenheilkunde und Geburtshilfe in Neuss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03.2013 – 03.2015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Masterstudiengang Medizinrecht, Westfälische Wilhelmsuniversität Münster, JurGrad, LL.M.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Masterthesis: Off-Label-Use – Möglichkeiten, Grenzen und Gefahren (mit klinischem Beispiel Fibrinkleber)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Leitung: Prof. Dr. jur. Thomas Gutmann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04.2015 – 04.2016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Masterstudiengang Gesundheitsökonomie, Universität Bielefeld, Master of Health Administration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31.03.2017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Beendigung der selbständigen Niederlassung in Neuss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17.04.2017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Leitende Oberärztin, gyn. Onkologie, Nordfriesland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01.01.2018 – 31.03.2019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Niederlassung als selbständige Fachärztin für Frauenheilkunde und Geburtshilfe in Goch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01.05.2019 – 30.04.2023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Leitende Ärztin für Arzthaftung und Medizinrecht bei der Techniker Krankenkasse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10/2018 – 02/2020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Refreshing Masterstudiengang Medizinrecht, Westfälische Wilhelmsuniversität Münster, JurGrad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11/2021 – 03/2023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Gleichstellungsbeauftragte FZUR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01.05.2023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Oberärztin Patientenversorgung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04/2022 – 01/2025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Beendigung Masterstudiengang Gesundheitsökonomie / MHA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Masterthesis: Gesundheitsökonomische Bedeutung der Patientensicherheit für die GKV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seit 09/2025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Beratende Tätigkeit Patientensicherheit</w:t>
      </w:r>
    </w:p>
    <w:p>
      <w:pPr>
        <w:spacing w:after="0" w:before="180"/>
      </w:pPr>
      <w:r>
        <w:t xml:space="preserve"/>
      </w:r>
    </w:p>
    <w:p>
      <w:pPr>
        <w:pBdr>
          <w:bottom w:val="single" w:color="01a1e3" w:sz="8" w:space="4"/>
        </w:pBdr>
        <w:spacing w:after="80" w:before="260"/>
      </w:pPr>
      <w:r>
        <w:rPr>
          <w:rFonts w:ascii="Arial" w:cs="Arial" w:eastAsia="Arial" w:hAnsi="Arial"/>
          <w:b/>
          <w:bCs/>
          <w:color w:val="003e63"/>
          <w:spacing w:val="80"/>
          <w:sz w:val="20"/>
          <w:szCs w:val="20"/>
        </w:rPr>
        <w:t xml:space="preserve">PUBLIKATIONEN</w:t>
      </w:r>
    </w:p>
    <w:p>
      <w:pPr>
        <w:spacing w:after="0" w:before="80"/>
      </w:pPr>
      <w:r>
        <w:t xml:space="preserve"/>
      </w:r>
    </w:p>
    <w:p>
      <w:pPr>
        <w:tabs>
          <w:tab w:val="left" w:pos="2500"/>
        </w:tabs>
        <w:spacing w:after="60" w:before="4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Publikationen:	</w:t>
      </w:r>
      <w:r>
        <w:rPr>
          <w:rFonts w:ascii="Arial" w:cs="Arial" w:eastAsia="Arial" w:hAnsi="Arial"/>
          <w:i/>
          <w:iCs/>
          <w:color w:val="003e63"/>
          <w:sz w:val="17"/>
          <w:szCs w:val="17"/>
        </w:rPr>
        <w:t xml:space="preserve">Predictability of Survival of Cancer Patients on Parenteral Nutrition,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 ESPEN Late Break, 21.07.2007: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Thul P., Hilgers R., Rameil D.</w:t>
      </w:r>
    </w:p>
    <w:p>
      <w:pPr>
        <w:spacing w:after="0" w:before="40"/>
      </w:pPr>
      <w:r>
        <w:t xml:space="preserve"/>
      </w:r>
    </w:p>
    <w:p>
      <w:pPr>
        <w:spacing w:after="40" w:before="0"/>
        <w:ind w:left="2500"/>
      </w:pPr>
      <w:r>
        <w:rPr>
          <w:rFonts w:ascii="Arial" w:cs="Arial" w:eastAsia="Arial" w:hAnsi="Arial"/>
          <w:color w:val="003e63"/>
          <w:sz w:val="17"/>
          <w:szCs w:val="17"/>
        </w:rPr>
        <w:t xml:space="preserve">Der TK-Patientensicherheitszirkel PSZ:</w:t>
      </w:r>
    </w:p>
    <w:p>
      <w:pPr>
        <w:spacing w:after="40" w:before="0"/>
        <w:ind w:left="2500"/>
      </w:pPr>
      <w:r>
        <w:rPr>
          <w:rFonts w:ascii="Arial" w:cs="Arial" w:eastAsia="Arial" w:hAnsi="Arial"/>
          <w:i/>
          <w:iCs/>
          <w:color w:val="003e63"/>
          <w:sz w:val="17"/>
          <w:szCs w:val="17"/>
        </w:rPr>
        <w:t xml:space="preserve">Kooperation zwischen Behandlungsfehlermanagement in der gesetzlichen Krankenversicherung und externem klinischen Risikomanagement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Rameil D., Soltau C., Arendt S., Rall M., Huckels-Baumgart S., Tannheimer M., Hinsch K., Müller H.</w:t>
      </w:r>
    </w:p>
    <w:p>
      <w:pPr>
        <w:spacing w:after="0" w:before="180"/>
      </w:pPr>
      <w:r>
        <w:t xml:space="preserve"/>
      </w:r>
    </w:p>
    <w:p>
      <w:pPr>
        <w:pBdr>
          <w:bottom w:val="single" w:color="01a1e3" w:sz="8" w:space="4"/>
        </w:pBdr>
        <w:spacing w:after="80" w:before="260"/>
      </w:pPr>
      <w:r>
        <w:rPr>
          <w:rFonts w:ascii="Arial" w:cs="Arial" w:eastAsia="Arial" w:hAnsi="Arial"/>
          <w:b/>
          <w:bCs/>
          <w:color w:val="003e63"/>
          <w:spacing w:val="80"/>
          <w:sz w:val="20"/>
          <w:szCs w:val="20"/>
        </w:rPr>
        <w:t xml:space="preserve">MITGLIEDSCHAFTEN</w:t>
      </w:r>
    </w:p>
    <w:p>
      <w:pPr>
        <w:spacing w:after="0" w:before="80"/>
      </w:pPr>
      <w:r>
        <w:t xml:space="preserve"/>
      </w:r>
    </w:p>
    <w:p>
      <w:pPr>
        <w:tabs>
          <w:tab w:val="left" w:pos="2500"/>
        </w:tabs>
        <w:spacing w:after="50" w:before="5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Mitgliedschaften: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DEGUM (Deutsche Gesellschaft für Ultraschall in der Medizin)</w:t>
      </w:r>
    </w:p>
    <w:p>
      <w:pPr>
        <w:spacing w:after="50" w:before="50"/>
        <w:ind w:left="2500"/>
      </w:pPr>
      <w:r>
        <w:rPr>
          <w:rFonts w:ascii="Arial" w:cs="Arial" w:eastAsia="Arial" w:hAnsi="Arial"/>
          <w:color w:val="003e63"/>
          <w:sz w:val="17"/>
          <w:szCs w:val="17"/>
        </w:rPr>
        <w:t xml:space="preserve">Arbeitsgemeinschaft für Zervixpathologie und Kolposkopie e.V. (AG CPC)</w:t>
      </w:r>
    </w:p>
    <w:p>
      <w:pPr>
        <w:spacing w:after="0" w:before="180"/>
      </w:pPr>
      <w:r>
        <w:t xml:space="preserve"/>
      </w:r>
    </w:p>
    <w:p>
      <w:pPr>
        <w:pBdr>
          <w:bottom w:val="single" w:color="01a1e3" w:sz="8" w:space="4"/>
        </w:pBdr>
        <w:spacing w:after="80" w:before="260"/>
      </w:pPr>
      <w:r>
        <w:rPr>
          <w:rFonts w:ascii="Arial" w:cs="Arial" w:eastAsia="Arial" w:hAnsi="Arial"/>
          <w:b/>
          <w:bCs/>
          <w:color w:val="003e63"/>
          <w:spacing w:val="80"/>
          <w:sz w:val="20"/>
          <w:szCs w:val="20"/>
        </w:rPr>
        <w:t xml:space="preserve">WEITERE BERUFLICHE TÄTIGKEITEN</w:t>
      </w:r>
    </w:p>
    <w:p>
      <w:pPr>
        <w:spacing w:after="0" w:before="80"/>
      </w:pPr>
      <w:r>
        <w:t xml:space="preserve"/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Seit 2011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Beratende Tätigkeit für die medizinrechtliche Kanzlei Dr. Holl;</w:t>
      </w:r>
    </w:p>
    <w:p>
      <w:pPr>
        <w:keepLines/>
        <w:spacing w:after="60" w:before="0"/>
        <w:ind w:left="2500"/>
      </w:pPr>
      <w:r>
        <w:rPr>
          <w:rFonts w:ascii="Arial" w:cs="Arial" w:eastAsia="Arial" w:hAnsi="Arial"/>
          <w:i/>
          <w:iCs/>
          <w:color w:val="5a7a91"/>
          <w:sz w:val="17"/>
          <w:szCs w:val="17"/>
        </w:rPr>
        <w:t xml:space="preserve">Lehrbeauftragter der Heinrich-Heine-Universität Düsseldorf für das Arzthaftungsrecht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2015 – 2021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Tätigkeit als externe Gutachterin für den MDK Berlin-Brandenburg und Anwaltskanzleien</w:t>
      </w:r>
    </w:p>
    <w:p>
      <w:pPr>
        <w:keepLines/>
        <w:tabs>
          <w:tab w:val="left" w:pos="2500"/>
        </w:tabs>
        <w:spacing w:after="40" w:before="130"/>
        <w:ind w:left="2500" w:hanging="2500"/>
      </w:pPr>
      <w:r>
        <w:rPr>
          <w:rFonts w:ascii="Arial" w:cs="Arial" w:eastAsia="Arial" w:hAnsi="Arial"/>
          <w:color w:val="5a7a91"/>
          <w:sz w:val="17"/>
          <w:szCs w:val="17"/>
        </w:rPr>
        <w:t xml:space="preserve">2023 –</w:t>
      </w:r>
      <w:r>
        <w:t xml:space="preserve">	</w:t>
      </w:r>
      <w:r>
        <w:rPr>
          <w:rFonts w:ascii="Arial" w:cs="Arial" w:eastAsia="Arial" w:hAnsi="Arial"/>
          <w:color w:val="003e63"/>
          <w:sz w:val="17"/>
          <w:szCs w:val="17"/>
        </w:rPr>
        <w:t xml:space="preserve">Beratende Tätigkeit Patientensicherheit und Behandlungsfehler</w:t>
      </w:r>
    </w:p>
    <w:p>
      <w:pPr>
        <w:spacing w:after="0" w:before="300"/>
      </w:pPr>
      <w:r>
        <w:t xml:space="preserve"/>
      </w:r>
    </w:p>
    <w:p>
      <w:pPr>
        <w:pBdr>
          <w:top w:val="single" w:color="01a1e3" w:sz="4" w:space="8"/>
        </w:pBdr>
        <w:tabs>
          <w:tab w:val="right" w:pos="9026"/>
        </w:tabs>
        <w:spacing w:after="0" w:before="0"/>
      </w:pPr>
      <w:r>
        <w:rPr>
          <w:rFonts w:ascii="Arial" w:cs="Arial" w:eastAsia="Arial" w:hAnsi="Arial"/>
          <w:color w:val="5a7a91"/>
          <w:sz w:val="16"/>
          <w:szCs w:val="16"/>
        </w:rPr>
        <w:t xml:space="preserve">Dr. Diana Rameil, LL.M., M.A.</w:t>
      </w:r>
      <w:r>
        <w:t xml:space="preserve">	</w:t>
      </w:r>
      <w:r>
        <w:rPr>
          <w:rFonts w:ascii="Arial" w:cs="Arial" w:eastAsia="Arial" w:hAnsi="Arial"/>
          <w:color w:val="5a7a91"/>
          <w:sz w:val="16"/>
          <w:szCs w:val="16"/>
        </w:rPr>
        <w:t xml:space="preserve">info@patientensicherheit-gkv.de  ·  +49 151 23464872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0e952fb8d87c1c7a860e3e8b0dc49e777ff40d8.png"/><Relationship Id="rId8" Type="http://schemas.openxmlformats.org/officeDocument/2006/relationships/image" Target="media/dd3b9f736426bd33b780c5a1e0cf453d2a5b634f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2026-05-21T12:31:41.980Z</dcterms:created>
  <dcterms:modified xsi:type="dcterms:W3CDTF">2026-05-21T12:31:41.981Z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