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2"/>
        <w:gridCol w:w="2986"/>
      </w:tblGrid>
      <w:tr w:rsidR="00BF1486" w14:paraId="29C2E5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0" w:type="dxa"/>
              <w:left w:w="0" w:type="dxa"/>
              <w:bottom w:w="0" w:type="dxa"/>
              <w:right w:w="300" w:type="dxa"/>
            </w:tcMar>
          </w:tcPr>
          <w:p w14:paraId="652159B1" w14:textId="77777777" w:rsidR="00BF1486" w:rsidRDefault="00000000">
            <w:r>
              <w:rPr>
                <w:rFonts w:ascii="Arial" w:eastAsia="Arial" w:hAnsi="Arial" w:cs="Arial"/>
                <w:b/>
                <w:bCs/>
                <w:color w:val="003E63"/>
                <w:spacing w:val="80"/>
              </w:rPr>
              <w:t>LEBENSLAUF</w:t>
            </w:r>
          </w:p>
          <w:p w14:paraId="4B7AB524" w14:textId="77777777" w:rsidR="00BF1486" w:rsidRDefault="00BF1486">
            <w:pPr>
              <w:spacing w:before="1280"/>
            </w:pPr>
          </w:p>
          <w:p w14:paraId="3D83F7C0" w14:textId="77777777" w:rsidR="00BF1486" w:rsidRDefault="00000000">
            <w:r>
              <w:rPr>
                <w:noProof/>
              </w:rPr>
              <w:drawing>
                <wp:inline distT="0" distB="0" distL="0" distR="0" wp14:anchorId="3BFB7003" wp14:editId="3804EDF2">
                  <wp:extent cx="2667000" cy="438150"/>
                  <wp:effectExtent l="0" t="0" r="0" b="0"/>
                  <wp:docPr id="1" name="Logo" descr="Dr. Diana Rameil 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45A25" w14:textId="77777777" w:rsidR="00BF1486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0292200" wp14:editId="277A76C9">
                  <wp:extent cx="1279244" cy="1546722"/>
                  <wp:effectExtent l="0" t="0" r="3810" b="3175"/>
                  <wp:docPr id="1467301686" name="Foto" descr="Dr. Diana Rameil" title="F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503" cy="1572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E3AD17" w14:textId="77777777" w:rsidR="00BF1486" w:rsidRDefault="00BF1486">
      <w:pPr>
        <w:spacing w:before="200"/>
      </w:pPr>
    </w:p>
    <w:p w14:paraId="1D741756" w14:textId="77777777" w:rsidR="00BF1486" w:rsidRDefault="00000000">
      <w:pPr>
        <w:pBdr>
          <w:bottom w:val="single" w:sz="8" w:space="4" w:color="01A1E3"/>
        </w:pBdr>
        <w:spacing w:before="260" w:after="80"/>
      </w:pPr>
      <w:r>
        <w:rPr>
          <w:rFonts w:ascii="Arial" w:eastAsia="Arial" w:hAnsi="Arial" w:cs="Arial"/>
          <w:b/>
          <w:bCs/>
          <w:color w:val="003E63"/>
          <w:spacing w:val="80"/>
        </w:rPr>
        <w:t>PERSÖNLICHE DATEN</w:t>
      </w:r>
    </w:p>
    <w:p w14:paraId="09AFF8C4" w14:textId="77777777" w:rsidR="00BF1486" w:rsidRDefault="00BF1486">
      <w:pPr>
        <w:spacing w:before="80"/>
      </w:pPr>
    </w:p>
    <w:p w14:paraId="3EE7255C" w14:textId="77777777" w:rsidR="00BF1486" w:rsidRDefault="00000000">
      <w:pPr>
        <w:tabs>
          <w:tab w:val="left" w:pos="2500"/>
        </w:tabs>
        <w:spacing w:before="50" w:after="5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Name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Dr. med. Diana Rameil, geb. Kloss</w:t>
      </w:r>
    </w:p>
    <w:p w14:paraId="44911011" w14:textId="77777777" w:rsidR="00BF1486" w:rsidRDefault="00000000">
      <w:pPr>
        <w:tabs>
          <w:tab w:val="left" w:pos="2500"/>
        </w:tabs>
        <w:spacing w:before="50" w:after="5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Vorname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Diana</w:t>
      </w:r>
    </w:p>
    <w:p w14:paraId="0C222742" w14:textId="77777777" w:rsidR="00BF1486" w:rsidRDefault="00000000">
      <w:pPr>
        <w:tabs>
          <w:tab w:val="left" w:pos="2500"/>
        </w:tabs>
        <w:spacing w:before="50" w:after="5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Geburtsdatum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04. August 1970</w:t>
      </w:r>
    </w:p>
    <w:p w14:paraId="1548C29B" w14:textId="77777777" w:rsidR="00BF1486" w:rsidRDefault="00000000">
      <w:pPr>
        <w:tabs>
          <w:tab w:val="left" w:pos="2500"/>
        </w:tabs>
        <w:spacing w:before="50" w:after="5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Geburtsort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Berlin</w:t>
      </w:r>
    </w:p>
    <w:p w14:paraId="235E6D8E" w14:textId="77777777" w:rsidR="00BF1486" w:rsidRDefault="00000000">
      <w:pPr>
        <w:tabs>
          <w:tab w:val="left" w:pos="2500"/>
        </w:tabs>
        <w:spacing w:before="50" w:after="5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Staatsangehörigkeit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Deutsch</w:t>
      </w:r>
    </w:p>
    <w:p w14:paraId="789DB1BB" w14:textId="77777777" w:rsidR="00BF1486" w:rsidRDefault="00000000">
      <w:pPr>
        <w:tabs>
          <w:tab w:val="left" w:pos="2500"/>
        </w:tabs>
        <w:spacing w:before="50" w:after="5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Konfession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Konfessionslos</w:t>
      </w:r>
    </w:p>
    <w:p w14:paraId="54B84845" w14:textId="77777777" w:rsidR="00BF1486" w:rsidRDefault="00000000">
      <w:pPr>
        <w:tabs>
          <w:tab w:val="left" w:pos="2500"/>
        </w:tabs>
        <w:spacing w:before="50" w:after="5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Familienstand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verheiratet mit Burkhard Rameil, Brand Manager, Vorstand a.D.</w:t>
      </w:r>
    </w:p>
    <w:p w14:paraId="3CB96A24" w14:textId="77777777" w:rsidR="00BF1486" w:rsidRDefault="00000000">
      <w:pPr>
        <w:tabs>
          <w:tab w:val="left" w:pos="2500"/>
        </w:tabs>
        <w:spacing w:before="50" w:after="5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Kinder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Tizian, Phileas, Laurin, Annalies, Henni</w:t>
      </w:r>
    </w:p>
    <w:p w14:paraId="3029B036" w14:textId="77777777" w:rsidR="00BF1486" w:rsidRDefault="00BF1486">
      <w:pPr>
        <w:spacing w:before="180"/>
      </w:pPr>
    </w:p>
    <w:p w14:paraId="4A59C5E2" w14:textId="77777777" w:rsidR="00BF1486" w:rsidRDefault="00000000">
      <w:pPr>
        <w:pBdr>
          <w:bottom w:val="single" w:sz="8" w:space="4" w:color="01A1E3"/>
        </w:pBdr>
        <w:spacing w:before="260" w:after="80"/>
      </w:pPr>
      <w:r>
        <w:rPr>
          <w:rFonts w:ascii="Arial" w:eastAsia="Arial" w:hAnsi="Arial" w:cs="Arial"/>
          <w:b/>
          <w:bCs/>
          <w:color w:val="003E63"/>
          <w:spacing w:val="80"/>
        </w:rPr>
        <w:t>SCHULISCHE UND BERUFLICHE AUSBILDUNG</w:t>
      </w:r>
    </w:p>
    <w:p w14:paraId="710946C4" w14:textId="77777777" w:rsidR="00BF1486" w:rsidRDefault="00BF1486">
      <w:pPr>
        <w:spacing w:before="80"/>
      </w:pPr>
    </w:p>
    <w:p w14:paraId="0BECBAFA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1977 – 1983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Grundschule</w:t>
      </w:r>
    </w:p>
    <w:p w14:paraId="13CDC058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1983 – 1989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Gymnasium (Abgang 12. Klasse mit mittlerer Reife)</w:t>
      </w:r>
    </w:p>
    <w:p w14:paraId="5758BA4C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1990 – 1993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Ausbildung zur Arzthelferin in der gynäkologischen Praxis von E. Fischdick, Berlin</w:t>
      </w:r>
    </w:p>
    <w:p w14:paraId="01EFD6A5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1994 – 1997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Berlin Kolleg, Institut zur Erlangung der Allgemeinen Hochschulreife (Abschluss Allgemeine Hochschulreife)</w:t>
      </w:r>
    </w:p>
    <w:p w14:paraId="690A3408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1997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Aufnahme des Studiums der Humanmedizin an der FU Berlin</w:t>
      </w:r>
    </w:p>
    <w:p w14:paraId="477B0AAC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2002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Physikum</w:t>
      </w:r>
    </w:p>
    <w:p w14:paraId="56554B50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2003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1. Staatsexamen</w:t>
      </w:r>
    </w:p>
    <w:p w14:paraId="21372C4F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2005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2. Staatsexamen</w:t>
      </w:r>
    </w:p>
    <w:p w14:paraId="5CAB89EC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2003 – 2005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2 Klinikfamulaturen in der Abteilung für Gynäkologie und Geburtshilfe,</w:t>
      </w:r>
    </w:p>
    <w:p w14:paraId="3BD6F78E" w14:textId="77777777" w:rsidR="00BF1486" w:rsidRDefault="00000000">
      <w:pPr>
        <w:keepLines/>
        <w:spacing w:after="60"/>
        <w:ind w:left="2500"/>
      </w:pPr>
      <w:r>
        <w:rPr>
          <w:rFonts w:ascii="Arial" w:eastAsia="Arial" w:hAnsi="Arial" w:cs="Arial"/>
          <w:i/>
          <w:iCs/>
          <w:color w:val="5A7A91"/>
          <w:sz w:val="17"/>
          <w:szCs w:val="17"/>
        </w:rPr>
        <w:t>Vivantes-Humboldt-Klinikum Berlin unter der Leitung von Prof. Strecker,</w:t>
      </w:r>
    </w:p>
    <w:p w14:paraId="40E3CDBD" w14:textId="77777777" w:rsidR="00BF1486" w:rsidRDefault="00000000">
      <w:pPr>
        <w:keepLines/>
        <w:spacing w:after="60"/>
        <w:ind w:left="2500"/>
      </w:pPr>
      <w:r>
        <w:rPr>
          <w:rFonts w:ascii="Arial" w:eastAsia="Arial" w:hAnsi="Arial" w:cs="Arial"/>
          <w:i/>
          <w:iCs/>
          <w:color w:val="5A7A91"/>
          <w:sz w:val="17"/>
          <w:szCs w:val="17"/>
        </w:rPr>
        <w:t>2 Praxisfamulaturen in einer Praxis für innere Medizin in Berlin</w:t>
      </w:r>
    </w:p>
    <w:p w14:paraId="7E58AC9D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2005 – 2006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1. PJ-Tertial Chirurgie, Charite Berlin, Campus Mitte</w:t>
      </w:r>
    </w:p>
    <w:p w14:paraId="2AE304E3" w14:textId="77777777" w:rsidR="00BF1486" w:rsidRDefault="00000000">
      <w:pPr>
        <w:keepLines/>
        <w:spacing w:after="60"/>
        <w:ind w:left="2500"/>
      </w:pPr>
      <w:r>
        <w:rPr>
          <w:rFonts w:ascii="Arial" w:eastAsia="Arial" w:hAnsi="Arial" w:cs="Arial"/>
          <w:i/>
          <w:iCs/>
          <w:color w:val="5A7A91"/>
          <w:sz w:val="17"/>
          <w:szCs w:val="17"/>
        </w:rPr>
        <w:t>2. PJ-Tertial, Gynäkologie und Geburtshilfe, Charite Berlin, Campus Virchow</w:t>
      </w:r>
    </w:p>
    <w:p w14:paraId="623F4A0F" w14:textId="77777777" w:rsidR="00BF1486" w:rsidRDefault="00000000">
      <w:pPr>
        <w:keepLines/>
        <w:spacing w:after="60"/>
        <w:ind w:left="2500"/>
      </w:pPr>
      <w:r>
        <w:rPr>
          <w:rFonts w:ascii="Arial" w:eastAsia="Arial" w:hAnsi="Arial" w:cs="Arial"/>
          <w:i/>
          <w:iCs/>
          <w:color w:val="5A7A91"/>
          <w:sz w:val="17"/>
          <w:szCs w:val="17"/>
        </w:rPr>
        <w:t>3. PJ-Tertial, Innere Medizin, Charite Berlin, Campus Virchow</w:t>
      </w:r>
    </w:p>
    <w:p w14:paraId="31091A3C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2006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3. Staatsexamen und Approbation in Berlin</w:t>
      </w:r>
    </w:p>
    <w:p w14:paraId="45404225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2007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Beginn Facharztausbildung Gynäkologie und Geburtshilfe, St. Martinus Hospital, Olpe</w:t>
      </w:r>
    </w:p>
    <w:p w14:paraId="4D3650D2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2008 – 31.05.2012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Weiterführung Facharztausbildung Gynäkologie und Geburtshilfe, St. Barbara Krankenhaus, Attendorn</w:t>
      </w:r>
    </w:p>
    <w:p w14:paraId="37C757CA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2011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Promotion zum Dr. med., Charite – Universitätsmedizin Berlin</w:t>
      </w:r>
    </w:p>
    <w:p w14:paraId="757FAF81" w14:textId="77777777" w:rsidR="00BF1486" w:rsidRDefault="00000000">
      <w:pPr>
        <w:keepLines/>
        <w:spacing w:after="60"/>
        <w:ind w:left="2500"/>
      </w:pPr>
      <w:r>
        <w:rPr>
          <w:rFonts w:ascii="Arial" w:eastAsia="Arial" w:hAnsi="Arial" w:cs="Arial"/>
          <w:i/>
          <w:iCs/>
          <w:color w:val="5A7A91"/>
          <w:sz w:val="17"/>
          <w:szCs w:val="17"/>
        </w:rPr>
        <w:t>Dissertation: Einfluss Heimparenteraler Ernährung auf die Überlebenszeit von Tumorpatienten</w:t>
      </w:r>
    </w:p>
    <w:p w14:paraId="3E7CE0DF" w14:textId="77777777" w:rsidR="00BF1486" w:rsidRDefault="00000000">
      <w:pPr>
        <w:keepLines/>
        <w:spacing w:after="60"/>
        <w:ind w:left="2500"/>
      </w:pPr>
      <w:r>
        <w:rPr>
          <w:rFonts w:ascii="Arial" w:eastAsia="Arial" w:hAnsi="Arial" w:cs="Arial"/>
          <w:i/>
          <w:iCs/>
          <w:color w:val="5A7A91"/>
          <w:sz w:val="17"/>
          <w:szCs w:val="17"/>
        </w:rPr>
        <w:t>Klinik für Visceral-, Gefäss- und Thoraxchirurgie, Leitung PD Dr. med. Paul Thul</w:t>
      </w:r>
    </w:p>
    <w:p w14:paraId="57CBB256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28.04.2012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Anerkennung Fachärztin für Frauenheilkunde und Geburtshilfe, Ärztekammer Westfalen-Lippe, NRW</w:t>
      </w:r>
    </w:p>
    <w:p w14:paraId="3C857997" w14:textId="77777777" w:rsidR="00BF1486" w:rsidRDefault="00000000">
      <w:pPr>
        <w:keepLines/>
        <w:pageBreakBefore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lastRenderedPageBreak/>
        <w:t>01.01.2013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Niederlassung als selbständige Fachärztin für Frauenheilkunde und Geburtshilfe in Neuss</w:t>
      </w:r>
    </w:p>
    <w:p w14:paraId="6796625B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03.2013 – 03.2015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Masterstudiengang Medizinrecht, Westfälische Wilhelmsuniversität Münster, JurGrad, LL.M.</w:t>
      </w:r>
    </w:p>
    <w:p w14:paraId="0F48285C" w14:textId="77777777" w:rsidR="00BF1486" w:rsidRDefault="00000000">
      <w:pPr>
        <w:keepLines/>
        <w:spacing w:after="60"/>
        <w:ind w:left="2500"/>
      </w:pPr>
      <w:r>
        <w:rPr>
          <w:rFonts w:ascii="Arial" w:eastAsia="Arial" w:hAnsi="Arial" w:cs="Arial"/>
          <w:i/>
          <w:iCs/>
          <w:color w:val="5A7A91"/>
          <w:sz w:val="17"/>
          <w:szCs w:val="17"/>
        </w:rPr>
        <w:t>Masterthesis: Off-Label-Use – Möglichkeiten, Grenzen und Gefahren (mit klinischem Beispiel Fibrinkleber)</w:t>
      </w:r>
    </w:p>
    <w:p w14:paraId="5E410918" w14:textId="77777777" w:rsidR="00BF1486" w:rsidRDefault="00000000">
      <w:pPr>
        <w:keepLines/>
        <w:spacing w:after="60"/>
        <w:ind w:left="2500"/>
      </w:pPr>
      <w:r>
        <w:rPr>
          <w:rFonts w:ascii="Arial" w:eastAsia="Arial" w:hAnsi="Arial" w:cs="Arial"/>
          <w:i/>
          <w:iCs/>
          <w:color w:val="5A7A91"/>
          <w:sz w:val="17"/>
          <w:szCs w:val="17"/>
        </w:rPr>
        <w:t>Leitung: Prof. Dr. jur. Thomas Gutmann</w:t>
      </w:r>
    </w:p>
    <w:p w14:paraId="0006B5FD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04.2015 – 04.2016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Masterstudiengang Gesundheitsökonomie, Universität Bielefeld, Master of Health Administration</w:t>
      </w:r>
    </w:p>
    <w:p w14:paraId="1C805D57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31.03.2017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Beendigung der selbständigen Niederlassung in Neuss</w:t>
      </w:r>
    </w:p>
    <w:p w14:paraId="03898F74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17.04.2017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Leitende Oberärztin, gyn. Onkologie, Nordfriesland</w:t>
      </w:r>
    </w:p>
    <w:p w14:paraId="4F5102C5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01.01.2018 – 31.03.2019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Niederlassung als selbständige Fachärztin für Frauenheilkunde und Geburtshilfe in Goch</w:t>
      </w:r>
    </w:p>
    <w:p w14:paraId="71E43128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01.05.2019 – 30.04.2023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Leitende Ärztin für Arzthaftung und Medizinrecht bei der Techniker Krankenkasse</w:t>
      </w:r>
    </w:p>
    <w:p w14:paraId="5A3EB375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10/2018 – 02/2020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Refreshing Masterstudiengang Medizinrecht, Westfälische Wilhelmsuniversität Münster, JurGrad</w:t>
      </w:r>
    </w:p>
    <w:p w14:paraId="327766F2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11/2021 – 03/2023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Gleichstellungsbeauftragte FZUR</w:t>
      </w:r>
    </w:p>
    <w:p w14:paraId="29B52AC8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01.05.2023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Oberärztin Patientenversorgung</w:t>
      </w:r>
    </w:p>
    <w:p w14:paraId="2636FE78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04/2022 – 01/2025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Beendigung Masterstudiengang Gesundheitsökonomie / MHA</w:t>
      </w:r>
    </w:p>
    <w:p w14:paraId="26CD03D5" w14:textId="77777777" w:rsidR="00BF1486" w:rsidRDefault="00000000">
      <w:pPr>
        <w:keepLines/>
        <w:spacing w:after="60"/>
        <w:ind w:left="2500"/>
      </w:pPr>
      <w:r>
        <w:rPr>
          <w:rFonts w:ascii="Arial" w:eastAsia="Arial" w:hAnsi="Arial" w:cs="Arial"/>
          <w:i/>
          <w:iCs/>
          <w:color w:val="5A7A91"/>
          <w:sz w:val="17"/>
          <w:szCs w:val="17"/>
        </w:rPr>
        <w:t>Masterthesis: Gesundheitsökonomische Bedeutung der Patientensicherheit für die GKV</w:t>
      </w:r>
    </w:p>
    <w:p w14:paraId="2218CBBC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seit 09/2025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Beratende Tätigkeit Patientensicherheit</w:t>
      </w:r>
    </w:p>
    <w:p w14:paraId="2C4CBE78" w14:textId="77777777" w:rsidR="00BF1486" w:rsidRDefault="00BF1486">
      <w:pPr>
        <w:spacing w:before="180"/>
      </w:pPr>
    </w:p>
    <w:p w14:paraId="1733CCE6" w14:textId="77777777" w:rsidR="00BF1486" w:rsidRDefault="00000000">
      <w:pPr>
        <w:pBdr>
          <w:bottom w:val="single" w:sz="8" w:space="4" w:color="01A1E3"/>
        </w:pBdr>
        <w:spacing w:before="260" w:after="80"/>
      </w:pPr>
      <w:r>
        <w:rPr>
          <w:rFonts w:ascii="Arial" w:eastAsia="Arial" w:hAnsi="Arial" w:cs="Arial"/>
          <w:b/>
          <w:bCs/>
          <w:color w:val="003E63"/>
          <w:spacing w:val="80"/>
        </w:rPr>
        <w:t>PUBLIKATIONEN</w:t>
      </w:r>
    </w:p>
    <w:p w14:paraId="39485C16" w14:textId="77777777" w:rsidR="00BF1486" w:rsidRDefault="00BF1486">
      <w:pPr>
        <w:spacing w:before="80"/>
      </w:pPr>
    </w:p>
    <w:p w14:paraId="28018B3D" w14:textId="77777777" w:rsidR="00BF1486" w:rsidRDefault="00000000">
      <w:pPr>
        <w:tabs>
          <w:tab w:val="left" w:pos="2500"/>
        </w:tabs>
        <w:spacing w:before="40" w:after="6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Publikationen:</w:t>
      </w:r>
      <w:r>
        <w:rPr>
          <w:rFonts w:ascii="Arial" w:eastAsia="Arial" w:hAnsi="Arial" w:cs="Arial"/>
          <w:color w:val="5A7A91"/>
          <w:sz w:val="17"/>
          <w:szCs w:val="17"/>
        </w:rPr>
        <w:tab/>
      </w:r>
      <w:r>
        <w:rPr>
          <w:rFonts w:ascii="Arial" w:eastAsia="Arial" w:hAnsi="Arial" w:cs="Arial"/>
          <w:i/>
          <w:iCs/>
          <w:color w:val="003E63"/>
          <w:sz w:val="17"/>
          <w:szCs w:val="17"/>
        </w:rPr>
        <w:t>Predictability of Survival of Cancer Patients on Parenteral Nutrition,</w:t>
      </w:r>
      <w:r>
        <w:rPr>
          <w:rFonts w:ascii="Arial" w:eastAsia="Arial" w:hAnsi="Arial" w:cs="Arial"/>
          <w:color w:val="003E63"/>
          <w:sz w:val="17"/>
          <w:szCs w:val="17"/>
        </w:rPr>
        <w:t xml:space="preserve"> ESPEN Late Break, 21.07.2007:</w:t>
      </w:r>
    </w:p>
    <w:p w14:paraId="5E47756E" w14:textId="77777777" w:rsidR="00BF1486" w:rsidRDefault="00000000">
      <w:pPr>
        <w:keepLines/>
        <w:spacing w:after="60"/>
        <w:ind w:left="2500"/>
      </w:pPr>
      <w:r>
        <w:rPr>
          <w:rFonts w:ascii="Arial" w:eastAsia="Arial" w:hAnsi="Arial" w:cs="Arial"/>
          <w:i/>
          <w:iCs/>
          <w:color w:val="5A7A91"/>
          <w:sz w:val="17"/>
          <w:szCs w:val="17"/>
        </w:rPr>
        <w:t>Thul P., Hilgers R., Rameil D.</w:t>
      </w:r>
    </w:p>
    <w:p w14:paraId="7670E7BB" w14:textId="77777777" w:rsidR="00BF1486" w:rsidRDefault="00BF1486">
      <w:pPr>
        <w:spacing w:before="40"/>
      </w:pPr>
    </w:p>
    <w:p w14:paraId="6476EAEA" w14:textId="77777777" w:rsidR="00BF1486" w:rsidRDefault="00000000">
      <w:pPr>
        <w:spacing w:after="40"/>
        <w:ind w:left="2500"/>
      </w:pPr>
      <w:r>
        <w:rPr>
          <w:rFonts w:ascii="Arial" w:eastAsia="Arial" w:hAnsi="Arial" w:cs="Arial"/>
          <w:color w:val="003E63"/>
          <w:sz w:val="17"/>
          <w:szCs w:val="17"/>
        </w:rPr>
        <w:t>Der TK-Patientensicherheitszirkel PSZ:</w:t>
      </w:r>
    </w:p>
    <w:p w14:paraId="411F081F" w14:textId="77777777" w:rsidR="00BF1486" w:rsidRDefault="00000000">
      <w:pPr>
        <w:spacing w:after="40"/>
        <w:ind w:left="2500"/>
      </w:pPr>
      <w:r>
        <w:rPr>
          <w:rFonts w:ascii="Arial" w:eastAsia="Arial" w:hAnsi="Arial" w:cs="Arial"/>
          <w:i/>
          <w:iCs/>
          <w:color w:val="003E63"/>
          <w:sz w:val="17"/>
          <w:szCs w:val="17"/>
        </w:rPr>
        <w:t>Kooperation zwischen Behandlungsfehlermanagement in der gesetzlichen Krankenversicherung und externem klinischen Risikomanagement</w:t>
      </w:r>
    </w:p>
    <w:p w14:paraId="5E87636D" w14:textId="77777777" w:rsidR="00BF1486" w:rsidRDefault="00000000">
      <w:pPr>
        <w:keepLines/>
        <w:spacing w:after="60"/>
        <w:ind w:left="2500"/>
      </w:pPr>
      <w:r>
        <w:rPr>
          <w:rFonts w:ascii="Arial" w:eastAsia="Arial" w:hAnsi="Arial" w:cs="Arial"/>
          <w:i/>
          <w:iCs/>
          <w:color w:val="5A7A91"/>
          <w:sz w:val="17"/>
          <w:szCs w:val="17"/>
        </w:rPr>
        <w:t>Rameil D., Soltau C., Arendt S., Rall M., Huckels-Baumgart S., Tannheimer M., Hinsch K., Müller H.</w:t>
      </w:r>
    </w:p>
    <w:p w14:paraId="0AFE4875" w14:textId="77777777" w:rsidR="00BF1486" w:rsidRDefault="00BF1486">
      <w:pPr>
        <w:spacing w:before="180"/>
      </w:pPr>
    </w:p>
    <w:p w14:paraId="582E6DA5" w14:textId="77777777" w:rsidR="00BF1486" w:rsidRDefault="00000000">
      <w:pPr>
        <w:pBdr>
          <w:bottom w:val="single" w:sz="8" w:space="4" w:color="01A1E3"/>
        </w:pBdr>
        <w:spacing w:before="260" w:after="80"/>
      </w:pPr>
      <w:r>
        <w:rPr>
          <w:rFonts w:ascii="Arial" w:eastAsia="Arial" w:hAnsi="Arial" w:cs="Arial"/>
          <w:b/>
          <w:bCs/>
          <w:color w:val="003E63"/>
          <w:spacing w:val="80"/>
        </w:rPr>
        <w:t>MITGLIEDSCHAFTEN</w:t>
      </w:r>
    </w:p>
    <w:p w14:paraId="0831352D" w14:textId="77777777" w:rsidR="00BF1486" w:rsidRDefault="00BF1486">
      <w:pPr>
        <w:spacing w:before="80"/>
      </w:pPr>
    </w:p>
    <w:p w14:paraId="62D1B7D7" w14:textId="77777777" w:rsidR="00BF1486" w:rsidRDefault="00000000">
      <w:pPr>
        <w:tabs>
          <w:tab w:val="left" w:pos="2500"/>
        </w:tabs>
        <w:spacing w:before="50" w:after="5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Mitgliedschaften:</w:t>
      </w:r>
      <w:r>
        <w:rPr>
          <w:rFonts w:ascii="Arial" w:eastAsia="Arial" w:hAnsi="Arial" w:cs="Arial"/>
          <w:color w:val="5A7A91"/>
          <w:sz w:val="17"/>
          <w:szCs w:val="17"/>
        </w:rPr>
        <w:tab/>
      </w:r>
      <w:r>
        <w:rPr>
          <w:rFonts w:ascii="Arial" w:eastAsia="Arial" w:hAnsi="Arial" w:cs="Arial"/>
          <w:color w:val="003E63"/>
          <w:sz w:val="17"/>
          <w:szCs w:val="17"/>
        </w:rPr>
        <w:t>DEGUM (Deutsche Gesellschaft für Ultraschall in der Medizin)</w:t>
      </w:r>
    </w:p>
    <w:p w14:paraId="2286B1A9" w14:textId="77777777" w:rsidR="00BF1486" w:rsidRDefault="00000000">
      <w:pPr>
        <w:spacing w:before="50" w:after="50"/>
        <w:ind w:left="2500"/>
      </w:pPr>
      <w:r>
        <w:rPr>
          <w:rFonts w:ascii="Arial" w:eastAsia="Arial" w:hAnsi="Arial" w:cs="Arial"/>
          <w:color w:val="003E63"/>
          <w:sz w:val="17"/>
          <w:szCs w:val="17"/>
        </w:rPr>
        <w:t>Arbeitsgemeinschaft für Zervixpathologie und Kolposkopie e.V. (AG CPC)</w:t>
      </w:r>
    </w:p>
    <w:p w14:paraId="245A7238" w14:textId="77777777" w:rsidR="00BF1486" w:rsidRDefault="00BF1486">
      <w:pPr>
        <w:spacing w:before="180"/>
      </w:pPr>
    </w:p>
    <w:p w14:paraId="3CDC8F4F" w14:textId="77777777" w:rsidR="00BF1486" w:rsidRDefault="00000000">
      <w:pPr>
        <w:pBdr>
          <w:bottom w:val="single" w:sz="8" w:space="4" w:color="01A1E3"/>
        </w:pBdr>
        <w:spacing w:before="260" w:after="80"/>
      </w:pPr>
      <w:r>
        <w:rPr>
          <w:rFonts w:ascii="Arial" w:eastAsia="Arial" w:hAnsi="Arial" w:cs="Arial"/>
          <w:b/>
          <w:bCs/>
          <w:color w:val="003E63"/>
          <w:spacing w:val="80"/>
        </w:rPr>
        <w:t>WEITERE BERUFLICHE TÄTIGKEITEN</w:t>
      </w:r>
    </w:p>
    <w:p w14:paraId="74728FAE" w14:textId="77777777" w:rsidR="00BF1486" w:rsidRDefault="00BF1486">
      <w:pPr>
        <w:spacing w:before="80"/>
      </w:pPr>
    </w:p>
    <w:p w14:paraId="69FEF913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Seit 2011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Beratende Tätigkeit für die medizinrechtliche Kanzlei Dr. Holl;</w:t>
      </w:r>
    </w:p>
    <w:p w14:paraId="75A63946" w14:textId="77777777" w:rsidR="00BF1486" w:rsidRDefault="00000000">
      <w:pPr>
        <w:keepLines/>
        <w:spacing w:after="60"/>
        <w:ind w:left="2500"/>
      </w:pPr>
      <w:r>
        <w:rPr>
          <w:rFonts w:ascii="Arial" w:eastAsia="Arial" w:hAnsi="Arial" w:cs="Arial"/>
          <w:i/>
          <w:iCs/>
          <w:color w:val="5A7A91"/>
          <w:sz w:val="17"/>
          <w:szCs w:val="17"/>
        </w:rPr>
        <w:t>Lehrbeauftragter der Heinrich-Heine-Universität Düsseldorf für das Arzthaftungsrecht</w:t>
      </w:r>
    </w:p>
    <w:p w14:paraId="04F01770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2015 – 2021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Tätigkeit als externe Gutachterin für den MDK Berlin-Brandenburg und Anwaltskanzleien</w:t>
      </w:r>
    </w:p>
    <w:p w14:paraId="09BFD179" w14:textId="77777777" w:rsidR="00BF1486" w:rsidRDefault="00000000">
      <w:pPr>
        <w:keepLines/>
        <w:tabs>
          <w:tab w:val="left" w:pos="2500"/>
        </w:tabs>
        <w:spacing w:before="130" w:after="40"/>
        <w:ind w:left="2500" w:hanging="2500"/>
      </w:pPr>
      <w:r>
        <w:rPr>
          <w:rFonts w:ascii="Arial" w:eastAsia="Arial" w:hAnsi="Arial" w:cs="Arial"/>
          <w:color w:val="5A7A91"/>
          <w:sz w:val="17"/>
          <w:szCs w:val="17"/>
        </w:rPr>
        <w:t>2023 –</w:t>
      </w:r>
      <w:r>
        <w:tab/>
      </w:r>
      <w:r>
        <w:rPr>
          <w:rFonts w:ascii="Arial" w:eastAsia="Arial" w:hAnsi="Arial" w:cs="Arial"/>
          <w:color w:val="003E63"/>
          <w:sz w:val="17"/>
          <w:szCs w:val="17"/>
        </w:rPr>
        <w:t>Beratende Tätigkeit Patientensicherheit und Behandlungsfehler</w:t>
      </w:r>
    </w:p>
    <w:p w14:paraId="1ED3C1C3" w14:textId="77777777" w:rsidR="00BF1486" w:rsidRDefault="00BF1486">
      <w:pPr>
        <w:spacing w:before="300"/>
      </w:pPr>
    </w:p>
    <w:p w14:paraId="3CBD0F29" w14:textId="77777777" w:rsidR="00BF1486" w:rsidRDefault="00000000">
      <w:pPr>
        <w:pBdr>
          <w:top w:val="single" w:sz="4" w:space="8" w:color="01A1E3"/>
        </w:pBdr>
        <w:tabs>
          <w:tab w:val="right" w:pos="9026"/>
        </w:tabs>
      </w:pPr>
      <w:r>
        <w:rPr>
          <w:rFonts w:ascii="Arial" w:eastAsia="Arial" w:hAnsi="Arial" w:cs="Arial"/>
          <w:color w:val="5A7A91"/>
          <w:sz w:val="16"/>
          <w:szCs w:val="16"/>
        </w:rPr>
        <w:t>Dr. Diana Rameil, LL.M., M.A.</w:t>
      </w:r>
      <w:r>
        <w:tab/>
      </w:r>
      <w:proofErr w:type="gramStart"/>
      <w:r>
        <w:rPr>
          <w:rFonts w:ascii="Arial" w:eastAsia="Arial" w:hAnsi="Arial" w:cs="Arial"/>
          <w:color w:val="5A7A91"/>
          <w:sz w:val="16"/>
          <w:szCs w:val="16"/>
        </w:rPr>
        <w:t>info@patientensicherheit-gkv.de  ·</w:t>
      </w:r>
      <w:proofErr w:type="gramEnd"/>
      <w:r>
        <w:rPr>
          <w:rFonts w:ascii="Arial" w:eastAsia="Arial" w:hAnsi="Arial" w:cs="Arial"/>
          <w:color w:val="5A7A91"/>
          <w:sz w:val="16"/>
          <w:szCs w:val="16"/>
        </w:rPr>
        <w:t xml:space="preserve">  +49 151 23464872</w:t>
      </w:r>
    </w:p>
    <w:sectPr w:rsidR="00BF1486"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32011"/>
    <w:multiLevelType w:val="hybridMultilevel"/>
    <w:tmpl w:val="ACB8C19E"/>
    <w:lvl w:ilvl="0" w:tplc="47A6FAA4">
      <w:start w:val="1"/>
      <w:numFmt w:val="bullet"/>
      <w:lvlText w:val="●"/>
      <w:lvlJc w:val="left"/>
      <w:pPr>
        <w:ind w:left="720" w:hanging="360"/>
      </w:pPr>
    </w:lvl>
    <w:lvl w:ilvl="1" w:tplc="244AB370">
      <w:start w:val="1"/>
      <w:numFmt w:val="bullet"/>
      <w:lvlText w:val="○"/>
      <w:lvlJc w:val="left"/>
      <w:pPr>
        <w:ind w:left="1440" w:hanging="360"/>
      </w:pPr>
    </w:lvl>
    <w:lvl w:ilvl="2" w:tplc="5C64D8BC">
      <w:start w:val="1"/>
      <w:numFmt w:val="bullet"/>
      <w:lvlText w:val="■"/>
      <w:lvlJc w:val="left"/>
      <w:pPr>
        <w:ind w:left="2160" w:hanging="360"/>
      </w:pPr>
    </w:lvl>
    <w:lvl w:ilvl="3" w:tplc="4EDCC84A">
      <w:start w:val="1"/>
      <w:numFmt w:val="bullet"/>
      <w:lvlText w:val="●"/>
      <w:lvlJc w:val="left"/>
      <w:pPr>
        <w:ind w:left="2880" w:hanging="360"/>
      </w:pPr>
    </w:lvl>
    <w:lvl w:ilvl="4" w:tplc="57F232E6">
      <w:start w:val="1"/>
      <w:numFmt w:val="bullet"/>
      <w:lvlText w:val="○"/>
      <w:lvlJc w:val="left"/>
      <w:pPr>
        <w:ind w:left="3600" w:hanging="360"/>
      </w:pPr>
    </w:lvl>
    <w:lvl w:ilvl="5" w:tplc="2E92DE70">
      <w:start w:val="1"/>
      <w:numFmt w:val="bullet"/>
      <w:lvlText w:val="■"/>
      <w:lvlJc w:val="left"/>
      <w:pPr>
        <w:ind w:left="4320" w:hanging="360"/>
      </w:pPr>
    </w:lvl>
    <w:lvl w:ilvl="6" w:tplc="236E9BB8">
      <w:start w:val="1"/>
      <w:numFmt w:val="bullet"/>
      <w:lvlText w:val="●"/>
      <w:lvlJc w:val="left"/>
      <w:pPr>
        <w:ind w:left="5040" w:hanging="360"/>
      </w:pPr>
    </w:lvl>
    <w:lvl w:ilvl="7" w:tplc="61EAB1C4">
      <w:start w:val="1"/>
      <w:numFmt w:val="bullet"/>
      <w:lvlText w:val="●"/>
      <w:lvlJc w:val="left"/>
      <w:pPr>
        <w:ind w:left="5760" w:hanging="360"/>
      </w:pPr>
    </w:lvl>
    <w:lvl w:ilvl="8" w:tplc="5462BC8C">
      <w:start w:val="1"/>
      <w:numFmt w:val="bullet"/>
      <w:lvlText w:val="●"/>
      <w:lvlJc w:val="left"/>
      <w:pPr>
        <w:ind w:left="6480" w:hanging="360"/>
      </w:pPr>
    </w:lvl>
  </w:abstractNum>
  <w:num w:numId="1" w16cid:durableId="20026548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486"/>
    <w:rsid w:val="00397A48"/>
    <w:rsid w:val="003B2CFE"/>
    <w:rsid w:val="00BF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40FC99"/>
  <w15:docId w15:val="{1546C6A8-0117-4C47-916D-CB26C7F58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554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von Versen</cp:lastModifiedBy>
  <cp:revision>2</cp:revision>
  <dcterms:created xsi:type="dcterms:W3CDTF">2026-05-23T09:00:00Z</dcterms:created>
  <dcterms:modified xsi:type="dcterms:W3CDTF">2026-05-23T09:01:00Z</dcterms:modified>
</cp:coreProperties>
</file>