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16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830"/>
        <w:gridCol w:w="5160"/>
        <w:gridCol w:w="3926"/>
      </w:tblGrid>
      <w:tr w:rsidR="00AC5B41" w:rsidRPr="004B75FB" w14:paraId="67A2C7DF" w14:textId="77777777" w:rsidTr="00AC5B41">
        <w:trPr>
          <w:trHeight w:val="366"/>
        </w:trPr>
        <w:tc>
          <w:tcPr>
            <w:tcW w:w="1091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  <w:shd w:val="clear" w:color="auto" w:fill="auto"/>
            <w:vAlign w:val="bottom"/>
          </w:tcPr>
          <w:p w14:paraId="41C2C23F" w14:textId="3C64C6B9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Table </w:t>
            </w:r>
            <w:r w:rsidR="004B75FB">
              <w:rPr>
                <w:lang w:val="en-US"/>
              </w:rPr>
              <w:t>S</w:t>
            </w:r>
            <w:r w:rsidRPr="00AC5B41">
              <w:rPr>
                <w:lang w:val="en-US"/>
              </w:rPr>
              <w:t>1. Classification of the variables obtained from each of the included articles</w:t>
            </w:r>
          </w:p>
        </w:tc>
      </w:tr>
      <w:tr w:rsidR="00AC5B41" w:rsidRPr="00AC5B41" w14:paraId="3403F5EB" w14:textId="77777777" w:rsidTr="00AC5B41">
        <w:trPr>
          <w:trHeight w:val="366"/>
        </w:trPr>
        <w:tc>
          <w:tcPr>
            <w:tcW w:w="1830" w:type="dxa"/>
            <w:tcBorders>
              <w:top w:val="single" w:sz="4" w:space="0" w:color="FFFFFF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6ADA9FCF" w14:textId="77777777" w:rsidR="00AC5B41" w:rsidRPr="00AC5B41" w:rsidRDefault="00AC5B41" w:rsidP="00AC5B41">
            <w:pPr>
              <w:rPr>
                <w:b/>
                <w:lang w:val="en-US"/>
              </w:rPr>
            </w:pPr>
            <w:r w:rsidRPr="00AC5B41">
              <w:rPr>
                <w:b/>
                <w:lang w:val="en-US"/>
              </w:rPr>
              <w:t>Variable</w:t>
            </w:r>
          </w:p>
        </w:tc>
        <w:tc>
          <w:tcPr>
            <w:tcW w:w="5160" w:type="dxa"/>
            <w:tcBorders>
              <w:top w:val="single" w:sz="4" w:space="0" w:color="FFFFFF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6031B452" w14:textId="77777777" w:rsidR="00AC5B41" w:rsidRPr="00AC5B41" w:rsidRDefault="00AC5B41" w:rsidP="00AC5B41">
            <w:pPr>
              <w:rPr>
                <w:b/>
                <w:lang w:val="en-US"/>
              </w:rPr>
            </w:pPr>
            <w:r w:rsidRPr="00AC5B41">
              <w:rPr>
                <w:b/>
                <w:lang w:val="en-US"/>
              </w:rPr>
              <w:t>Types</w:t>
            </w:r>
          </w:p>
        </w:tc>
        <w:tc>
          <w:tcPr>
            <w:tcW w:w="3926" w:type="dxa"/>
            <w:tcBorders>
              <w:top w:val="single" w:sz="4" w:space="0" w:color="FFFFFF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6DDF8BD2" w14:textId="77777777" w:rsidR="00AC5B41" w:rsidRPr="00AC5B41" w:rsidRDefault="00AC5B41" w:rsidP="00AC5B41">
            <w:pPr>
              <w:rPr>
                <w:b/>
                <w:lang w:val="en-US"/>
              </w:rPr>
            </w:pPr>
            <w:r w:rsidRPr="00AC5B41">
              <w:rPr>
                <w:b/>
                <w:lang w:val="en-US"/>
              </w:rPr>
              <w:t>Description</w:t>
            </w:r>
          </w:p>
        </w:tc>
      </w:tr>
      <w:tr w:rsidR="00AC5B41" w:rsidRPr="004B75FB" w14:paraId="2A4C0439" w14:textId="77777777" w:rsidTr="00AC5B41">
        <w:trPr>
          <w:trHeight w:val="288"/>
        </w:trPr>
        <w:tc>
          <w:tcPr>
            <w:tcW w:w="1830" w:type="dxa"/>
            <w:tcBorders>
              <w:top w:val="single" w:sz="2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6FE1150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Year</w:t>
            </w:r>
          </w:p>
        </w:tc>
        <w:tc>
          <w:tcPr>
            <w:tcW w:w="5160" w:type="dxa"/>
            <w:tcBorders>
              <w:top w:val="single" w:sz="2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EAF4D8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Number of the year</w:t>
            </w:r>
          </w:p>
        </w:tc>
        <w:tc>
          <w:tcPr>
            <w:tcW w:w="3926" w:type="dxa"/>
            <w:tcBorders>
              <w:top w:val="single" w:sz="2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FBFC095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Year in which the study was published</w:t>
            </w:r>
          </w:p>
        </w:tc>
      </w:tr>
      <w:tr w:rsidR="00AC5B41" w:rsidRPr="004B75FB" w14:paraId="60AA3AD5" w14:textId="77777777" w:rsidTr="00AC5B41">
        <w:trPr>
          <w:trHeight w:val="2304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14ACE5B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Marine Realm*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DDB561E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Temperate Northern Atlantic</w:t>
            </w:r>
            <w:r w:rsidRPr="00AC5B41">
              <w:rPr>
                <w:lang w:val="en-US"/>
              </w:rPr>
              <w:br/>
              <w:t xml:space="preserve"> Central Indo-Pacific</w:t>
            </w:r>
            <w:r w:rsidRPr="00AC5B41">
              <w:rPr>
                <w:lang w:val="en-US"/>
              </w:rPr>
              <w:br/>
              <w:t xml:space="preserve">Temperate Australasia </w:t>
            </w:r>
            <w:r w:rsidRPr="00AC5B41">
              <w:rPr>
                <w:lang w:val="en-US"/>
              </w:rPr>
              <w:br/>
              <w:t xml:space="preserve">Temperate Northern Pacific </w:t>
            </w:r>
            <w:r w:rsidRPr="00AC5B41">
              <w:rPr>
                <w:lang w:val="en-US"/>
              </w:rPr>
              <w:br/>
              <w:t xml:space="preserve">Tropical Atlantic </w:t>
            </w:r>
            <w:r w:rsidRPr="00AC5B41">
              <w:rPr>
                <w:lang w:val="en-US"/>
              </w:rPr>
              <w:br/>
              <w:t xml:space="preserve">Southern Ocean </w:t>
            </w:r>
            <w:r w:rsidRPr="00AC5B41">
              <w:rPr>
                <w:lang w:val="en-US"/>
              </w:rPr>
              <w:br/>
              <w:t xml:space="preserve">Temperate South America </w:t>
            </w:r>
            <w:r w:rsidRPr="00AC5B41">
              <w:rPr>
                <w:lang w:val="en-US"/>
              </w:rPr>
              <w:br/>
              <w:t>Arctic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283ADAB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Marine Realms as proposed by Spalding et al 2007</w:t>
            </w:r>
          </w:p>
        </w:tc>
      </w:tr>
      <w:tr w:rsidR="00AC5B41" w:rsidRPr="004B75FB" w14:paraId="2636FEAA" w14:textId="77777777" w:rsidTr="00AC5B41">
        <w:trPr>
          <w:trHeight w:val="502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D9FE2AE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Provinces*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9C81D3A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Northern European Seas  </w:t>
            </w:r>
            <w:r w:rsidRPr="00AC5B41">
              <w:rPr>
                <w:lang w:val="en-US"/>
              </w:rPr>
              <w:br/>
              <w:t xml:space="preserve">Cold Temperate Northeast Pacific </w:t>
            </w:r>
            <w:r w:rsidRPr="00AC5B41">
              <w:rPr>
                <w:lang w:val="en-US"/>
              </w:rPr>
              <w:br/>
              <w:t xml:space="preserve">South China Sea  </w:t>
            </w:r>
            <w:r w:rsidRPr="00AC5B41">
              <w:rPr>
                <w:lang w:val="en-US"/>
              </w:rPr>
              <w:br/>
              <w:t xml:space="preserve">Mediterranean Sea </w:t>
            </w:r>
            <w:r w:rsidRPr="00AC5B41">
              <w:rPr>
                <w:lang w:val="en-US"/>
              </w:rPr>
              <w:br/>
              <w:t xml:space="preserve">Tropical Northwestern Atlantic </w:t>
            </w:r>
            <w:r w:rsidRPr="00AC5B41">
              <w:rPr>
                <w:lang w:val="en-US"/>
              </w:rPr>
              <w:br/>
              <w:t xml:space="preserve">Sunda Shelf  </w:t>
            </w:r>
            <w:r w:rsidRPr="00AC5B41">
              <w:rPr>
                <w:lang w:val="en-US"/>
              </w:rPr>
              <w:br/>
              <w:t xml:space="preserve">Cold Temperate Northwest Pacific </w:t>
            </w:r>
            <w:r w:rsidRPr="00AC5B41">
              <w:rPr>
                <w:lang w:val="en-US"/>
              </w:rPr>
              <w:br/>
              <w:t xml:space="preserve">Southeast Australian Shelf  </w:t>
            </w:r>
            <w:r w:rsidRPr="00AC5B41">
              <w:rPr>
                <w:lang w:val="en-US"/>
              </w:rPr>
              <w:br/>
              <w:t xml:space="preserve">Cold Temperate Northwest Atlantic </w:t>
            </w:r>
            <w:r w:rsidRPr="00AC5B41">
              <w:rPr>
                <w:lang w:val="en-US"/>
              </w:rPr>
              <w:br/>
              <w:t xml:space="preserve">Lusitanian </w:t>
            </w:r>
            <w:r w:rsidRPr="00AC5B41">
              <w:rPr>
                <w:lang w:val="en-US"/>
              </w:rPr>
              <w:br/>
              <w:t xml:space="preserve">West Central Australian Shelf </w:t>
            </w:r>
            <w:r w:rsidRPr="00AC5B41">
              <w:rPr>
                <w:lang w:val="en-US"/>
              </w:rPr>
              <w:br/>
              <w:t xml:space="preserve">Warm Temperate Northwest Atlantic  </w:t>
            </w:r>
            <w:r w:rsidRPr="00AC5B41">
              <w:rPr>
                <w:lang w:val="en-US"/>
              </w:rPr>
              <w:br/>
              <w:t xml:space="preserve">Southern New Zealand </w:t>
            </w:r>
            <w:r w:rsidRPr="00AC5B41">
              <w:rPr>
                <w:lang w:val="en-US"/>
              </w:rPr>
              <w:br/>
              <w:t xml:space="preserve">Scotia Sea and Continental High Antarctic  </w:t>
            </w:r>
            <w:r w:rsidRPr="00AC5B41">
              <w:rPr>
                <w:lang w:val="en-US"/>
              </w:rPr>
              <w:br/>
              <w:t xml:space="preserve">Warm Temperate Southwestern Atlantic  </w:t>
            </w:r>
            <w:r w:rsidRPr="00AC5B41">
              <w:rPr>
                <w:lang w:val="en-US"/>
              </w:rPr>
              <w:br/>
              <w:t xml:space="preserve">East Central Australian Shelf </w:t>
            </w:r>
            <w:r w:rsidRPr="00AC5B41">
              <w:rPr>
                <w:lang w:val="en-US"/>
              </w:rPr>
              <w:br/>
              <w:t xml:space="preserve">Arctic  </w:t>
            </w:r>
            <w:r w:rsidRPr="00AC5B41">
              <w:rPr>
                <w:lang w:val="en-US"/>
              </w:rPr>
              <w:br/>
              <w:t xml:space="preserve">Northeast Australian Shelf </w:t>
            </w:r>
            <w:r w:rsidRPr="00AC5B41">
              <w:rPr>
                <w:lang w:val="en-US"/>
              </w:rPr>
              <w:br/>
              <w:t>Warm Temperate Northwest Pacific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D162931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Marine Provinces as proposed by Spalding et al. 2007</w:t>
            </w:r>
          </w:p>
        </w:tc>
      </w:tr>
      <w:tr w:rsidR="00AC5B41" w:rsidRPr="004B75FB" w14:paraId="3ADC9083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6D48CA3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Species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3240AA1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Valid name of the species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8B88BEB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Species studied updated according to the WoRMS Sea Anemone database in case of changes after the study was published</w:t>
            </w:r>
          </w:p>
        </w:tc>
      </w:tr>
      <w:tr w:rsidR="00AC5B41" w:rsidRPr="004B75FB" w14:paraId="31C22AA0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A0B8C6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Family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2DD4CD6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Valid name of the family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ED97D7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Family of the species studied updated according to the WoRMS </w:t>
            </w:r>
          </w:p>
          <w:p w14:paraId="38AF2243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Sea Anemone database in case of changes after the study was published</w:t>
            </w:r>
          </w:p>
        </w:tc>
      </w:tr>
      <w:tr w:rsidR="00AC5B41" w:rsidRPr="004B75FB" w14:paraId="36945329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E9FE24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Depth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C75F88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Shallow (0 - 199m) </w:t>
            </w:r>
          </w:p>
          <w:p w14:paraId="1AA89D95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Deep (200m - bellow)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1B20C72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The depth in which the species were sampled </w:t>
            </w:r>
          </w:p>
        </w:tc>
      </w:tr>
      <w:tr w:rsidR="00AC5B41" w:rsidRPr="004B75FB" w14:paraId="42C4D39F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34710AD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lastRenderedPageBreak/>
              <w:t>Gamete Reported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57B350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Oocyte </w:t>
            </w:r>
          </w:p>
          <w:p w14:paraId="2786BE49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Spermaries </w:t>
            </w:r>
          </w:p>
          <w:p w14:paraId="773EAF2A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Spermaries + Oocyte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D2C463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If the study describes one (and which one) or both the gametes</w:t>
            </w:r>
          </w:p>
        </w:tc>
      </w:tr>
      <w:tr w:rsidR="00AC5B41" w:rsidRPr="004B75FB" w14:paraId="52A88626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3F74372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Sampling periodicity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FE3273C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Monthly </w:t>
            </w:r>
          </w:p>
          <w:p w14:paraId="1864F2D4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Other</w:t>
            </w:r>
          </w:p>
          <w:p w14:paraId="73C4742C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NA (if not reported)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2A9AEEC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Frequency in which the species were sampled (other may include weekly, bimonthly, annually or a combination of those)</w:t>
            </w:r>
          </w:p>
        </w:tc>
      </w:tr>
      <w:tr w:rsidR="00AC5B41" w:rsidRPr="004B75FB" w14:paraId="23B1137C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62F47A8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Temp/Sal report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EDCC86D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Yes  </w:t>
            </w:r>
          </w:p>
          <w:p w14:paraId="7701F9FA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No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1DFD9BE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If the authors report salinity or temperature sampling during the study</w:t>
            </w:r>
          </w:p>
        </w:tc>
      </w:tr>
      <w:tr w:rsidR="00AC5B41" w:rsidRPr="004B75FB" w14:paraId="4A33120D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B453E22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Female Peak Maturity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A6D8023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Months of the year </w:t>
            </w:r>
          </w:p>
          <w:p w14:paraId="25D973C4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NA (if not reported)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23AF0C2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Period in which the female gametes (oocytes) reached their complete maturity or the period of spawning</w:t>
            </w:r>
          </w:p>
        </w:tc>
      </w:tr>
      <w:tr w:rsidR="00AC5B41" w:rsidRPr="004B75FB" w14:paraId="28CCD9D0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44852D1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Male peak maturity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59DEA74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Months of the year </w:t>
            </w:r>
          </w:p>
          <w:p w14:paraId="16382568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NA (if not reported)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FFC24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Period in which the male gametes (spermatic cysts) reached their complete maturity or the period of spawning</w:t>
            </w:r>
          </w:p>
        </w:tc>
      </w:tr>
      <w:tr w:rsidR="00AC5B41" w:rsidRPr="004B75FB" w14:paraId="009C5779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5CCC6FF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Largest Oocyte (µm)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FB0B9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Measurement in micrometers</w:t>
            </w:r>
          </w:p>
          <w:p w14:paraId="58F8695C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NA (if not reported)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CEECF8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Largest oocyte mentioned by the study measured from histological slides</w:t>
            </w:r>
          </w:p>
        </w:tc>
      </w:tr>
      <w:tr w:rsidR="00AC5B41" w:rsidRPr="004B75FB" w14:paraId="62BDE433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D45FE1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Use of microanatomical technique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66EE094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Yes</w:t>
            </w:r>
          </w:p>
          <w:p w14:paraId="76AA68B0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No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7F2512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If the study applied at some point any microanatomical technique</w:t>
            </w:r>
          </w:p>
        </w:tc>
      </w:tr>
      <w:tr w:rsidR="00AC5B41" w:rsidRPr="004B75FB" w14:paraId="148D217E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E86F5E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Hermaphrodites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50536C6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 xml:space="preserve">Yes </w:t>
            </w:r>
          </w:p>
          <w:p w14:paraId="44132AAA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No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E58825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If the presence of hermaphrodites is explicitly mentioned</w:t>
            </w:r>
          </w:p>
        </w:tc>
      </w:tr>
      <w:tr w:rsidR="00AC5B41" w:rsidRPr="004B75FB" w14:paraId="2B8FA4B2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54AA91B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Cyst classification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C462B7B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Reference used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AFEC9C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The classification used to determine the stage for male gametogenesis</w:t>
            </w:r>
          </w:p>
        </w:tc>
      </w:tr>
      <w:tr w:rsidR="00AC5B41" w:rsidRPr="004B75FB" w14:paraId="19DCF25B" w14:textId="77777777" w:rsidTr="00AC5B41">
        <w:trPr>
          <w:trHeight w:val="288"/>
        </w:trPr>
        <w:tc>
          <w:tcPr>
            <w:tcW w:w="18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0AE0C7E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Environmental factor influencing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2210B7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Environmental variable such as (Temperature, Daylight, Lunar Cycle, Phytoplankton abundance)</w:t>
            </w:r>
          </w:p>
        </w:tc>
        <w:tc>
          <w:tcPr>
            <w:tcW w:w="39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5E83F9A" w14:textId="77777777" w:rsidR="00AC5B41" w:rsidRPr="00AC5B41" w:rsidRDefault="00AC5B41" w:rsidP="00AC5B41">
            <w:pPr>
              <w:rPr>
                <w:lang w:val="en-US"/>
              </w:rPr>
            </w:pPr>
            <w:r w:rsidRPr="00AC5B41">
              <w:rPr>
                <w:lang w:val="en-US"/>
              </w:rPr>
              <w:t>Environmental variables explicitly mentioned by the authors as possible drivers for gametogenesis/spawning</w:t>
            </w:r>
          </w:p>
        </w:tc>
      </w:tr>
    </w:tbl>
    <w:p w14:paraId="6CD7D176" w14:textId="77777777" w:rsidR="00AC5B41" w:rsidRPr="00425973" w:rsidRDefault="00AC5B41" w:rsidP="00AC5B41">
      <w:pPr>
        <w:ind w:left="-709" w:right="-994"/>
        <w:rPr>
          <w:lang w:val="en-US"/>
        </w:rPr>
      </w:pPr>
      <w:r w:rsidRPr="00425973">
        <w:rPr>
          <w:lang w:val="en-US"/>
        </w:rPr>
        <w:t>*Despite the divisions proposed by Spalding et al. (2007) apply only to coastal species, here we have used it to include deep sea species as well.</w:t>
      </w:r>
    </w:p>
    <w:p w14:paraId="41A5BF5F" w14:textId="77777777" w:rsidR="00F83F16" w:rsidRPr="00AC5B41" w:rsidRDefault="00F83F16">
      <w:pPr>
        <w:rPr>
          <w:lang w:val="en-US"/>
        </w:rPr>
      </w:pPr>
    </w:p>
    <w:sectPr w:rsidR="00F83F16" w:rsidRPr="00AC5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41"/>
    <w:rsid w:val="000547E0"/>
    <w:rsid w:val="0010082D"/>
    <w:rsid w:val="001B073B"/>
    <w:rsid w:val="004B75FB"/>
    <w:rsid w:val="00995B66"/>
    <w:rsid w:val="00AC5B41"/>
    <w:rsid w:val="00F8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375F"/>
  <w15:chartTrackingRefBased/>
  <w15:docId w15:val="{5238B2F5-4318-449F-BF25-9E4C0D63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B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B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B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B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B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B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Antônio Brandão</dc:creator>
  <cp:keywords/>
  <dc:description/>
  <cp:lastModifiedBy>Rafael Antônio Brandão</cp:lastModifiedBy>
  <cp:revision>2</cp:revision>
  <dcterms:created xsi:type="dcterms:W3CDTF">2024-07-08T22:05:00Z</dcterms:created>
  <dcterms:modified xsi:type="dcterms:W3CDTF">2024-07-08T22:33:00Z</dcterms:modified>
</cp:coreProperties>
</file>