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D179" w14:textId="77777777" w:rsidR="003C61B4" w:rsidRDefault="00000000">
      <w:pPr>
        <w:spacing w:after="160" w:line="312" w:lineRule="auto"/>
        <w:jc w:val="center"/>
      </w:pPr>
      <w:r>
        <w:rPr>
          <w:b/>
          <w:sz w:val="32"/>
        </w:rPr>
        <w:t>PROPOSED THESIS REVISIONS</w:t>
      </w:r>
    </w:p>
    <w:p w14:paraId="30CAF649" w14:textId="77777777" w:rsidR="003C61B4" w:rsidRDefault="00000000">
      <w:pPr>
        <w:spacing w:after="320" w:line="276" w:lineRule="auto"/>
        <w:jc w:val="center"/>
      </w:pPr>
      <w:r>
        <w:rPr>
          <w:i/>
          <w:sz w:val="23"/>
        </w:rPr>
        <w:t>Study Title: LASA-Quest: A Gamified Learning Web Application for Look-Alike, Sound-Alike Medication Safety</w:t>
      </w:r>
      <w:r>
        <w:rPr>
          <w:i/>
          <w:sz w:val="23"/>
        </w:rPr>
        <w:br/>
        <w:t>Target Baseline Document: CNS-PROPOSAL-THESIS-DOCUMENT-1.docx</w:t>
      </w:r>
      <w:r>
        <w:rPr>
          <w:i/>
          <w:sz w:val="23"/>
        </w:rPr>
        <w:br/>
        <w:t>Comprehensive Revisions for Chapters 1, 2, 3, Figures, Tables, and References (IEEE Format)</w:t>
      </w:r>
    </w:p>
    <w:p w14:paraId="7557201D" w14:textId="77777777" w:rsidR="003C61B4" w:rsidRDefault="00000000">
      <w:pPr>
        <w:spacing w:after="240" w:line="276" w:lineRule="auto"/>
      </w:pPr>
      <w:r>
        <w:rPr>
          <w:i/>
          <w:color w:val="475569"/>
          <w:sz w:val="21"/>
        </w:rPr>
        <w:t>Executive Summary: This document contains the complete, actionable academic text modifications required to update the thesis manuscript. It addresses: (1) Scope delimitation as a supplementary micro-learning tool, (2) Remediation-Gated Progression decoupling hearts from active session lockouts, (3) Aspirational Platinum 4-Star prestige tier recognizing 100% zero-dispensing-error precision, (4) Error-Count based discrete performance evaluation resolving micro-drill granularity, and (5) The replacement of Figure 3.2 with the true Curriculum Learning Path architecture.</w:t>
      </w:r>
    </w:p>
    <w:p w14:paraId="2A77F152" w14:textId="77777777" w:rsidR="003C61B4" w:rsidRDefault="00000000">
      <w:pPr>
        <w:spacing w:before="400" w:after="120"/>
        <w:jc w:val="center"/>
      </w:pPr>
      <w:r>
        <w:rPr>
          <w:b/>
          <w:sz w:val="26"/>
        </w:rPr>
        <w:t>CHAPTER 1</w:t>
      </w:r>
      <w:r>
        <w:rPr>
          <w:b/>
          <w:sz w:val="26"/>
        </w:rPr>
        <w:br/>
        <w:t>INTRODUCTION</w:t>
      </w:r>
    </w:p>
    <w:p w14:paraId="5671A922" w14:textId="77777777" w:rsidR="003C61B4" w:rsidRDefault="00000000">
      <w:pPr>
        <w:spacing w:before="280" w:after="80"/>
      </w:pPr>
      <w:r>
        <w:rPr>
          <w:b/>
        </w:rPr>
        <w:t>Scope and Delimitation</w:t>
      </w:r>
    </w:p>
    <w:p w14:paraId="61726F17" w14:textId="77777777" w:rsidR="003C61B4" w:rsidRDefault="00000000">
      <w:pPr>
        <w:spacing w:before="160" w:after="160" w:line="276" w:lineRule="auto"/>
      </w:pPr>
      <w:r>
        <w:rPr>
          <w:b/>
          <w:color w:val="0F172A"/>
          <w:sz w:val="21"/>
        </w:rPr>
        <w:t xml:space="preserve">[REVISION TARGET &amp; INSTRUCTION]: </w:t>
      </w:r>
      <w:r>
        <w:rPr>
          <w:i/>
          <w:color w:val="1E293B"/>
          <w:sz w:val="21"/>
        </w:rPr>
        <w:t>Replace existing Paragraph 104 in Chapter 1 (page 11) with the following revised text. This explicitly classifies LASA-Quest as a Gamified Supplementary Micro-Learning Practice Tool, replaces outdated arcade references with the sequential Curriculum Learning Path, integrates the Error-Count star evaluation system, and establishes strict clinical boundaries against scope creep.</w:t>
      </w:r>
    </w:p>
    <w:p w14:paraId="7E1CBB37" w14:textId="77777777" w:rsidR="003C61B4" w:rsidRDefault="00000000">
      <w:pPr>
        <w:ind w:firstLine="720"/>
        <w:jc w:val="both"/>
      </w:pPr>
      <w:r>
        <w:t>The study focuses on the design, implementation, and empirical evaluation of LASA-Quest, a gamified web-based supplementary learning tool designed to mitigate look-alike, sound-alike (LASA) medication errors among undergraduate pharmacy students. Crucially, the application is conceptually framed not as an expansive curriculum, comprehensive courseware, or a formal Learning Management System (LMS), but as a specialized, micro-learning deliberate practice instrument analogous to computer-assisted vocabulary and perceptual discrimination systems. Rather than displacing didactic pharmacology lectures, LASA-Quest serves as a focused cognitive reinforcement tool dedicated to accelerating automated perceptual discrimination—specifically the orthographic, acoustic, and visual recognition of high-risk medication pairs.</w:t>
      </w:r>
    </w:p>
    <w:p w14:paraId="2F472278" w14:textId="77777777" w:rsidR="003C61B4" w:rsidRDefault="00000000">
      <w:pPr>
        <w:ind w:firstLine="720"/>
        <w:jc w:val="both"/>
      </w:pPr>
      <w:r>
        <w:lastRenderedPageBreak/>
        <w:t>The functional scope of the software encompasses a structured, sequential Curriculum Learning Path organized across four pedagogical units and twenty-four progressive levels, culminating in Unit Mastery Capstones. Instructional activities are operationalized through four core cognitive challenge types: Look-Alike Visual Matching, Sound-Alike Acoustic Discrimination supported by offline static audio recordings, Tall Man Lettering Application (adhering to FDA/ISMP capitalization standards), and Paired Association Retrieval. Alongside the primary curriculum path, the application incorporates a dedicated Practice Hub providing zero-penalty mistake remediation, continuous spaced repetition reviews, and an auditory pronunciation directory. System mechanics encompass secure session authentication, user profile and accuracy tracking, immediate explanatory feedback drawers, non-punitive heart-based vigilance indicators, an Error-Count 4-Tier Star Rating system (0 errors = Platinum, 1 error = 3 Stars, 2 errors = 2 Stars, 3 errors = 1 Star, 4+ errors = 0 Stars) with diamond bounties, daily streak tracking, and a virtual reward shop for interface customizations. The application is strictly delimited from teaching comprehensive pharmacological mechanisms of action, complex clinical dosing calculations, electronic health record (EHR) prescription entry, or simulated clinical dispensing judgment, reserving these broader competencies for traditional clinical coursework.</w:t>
      </w:r>
    </w:p>
    <w:p w14:paraId="5702283D" w14:textId="77777777" w:rsidR="003C61B4" w:rsidRDefault="00000000">
      <w:pPr>
        <w:spacing w:before="400" w:after="120"/>
        <w:jc w:val="center"/>
      </w:pPr>
      <w:r>
        <w:rPr>
          <w:b/>
          <w:sz w:val="26"/>
        </w:rPr>
        <w:t>CHAPTER 2</w:t>
      </w:r>
      <w:r>
        <w:rPr>
          <w:b/>
          <w:sz w:val="26"/>
        </w:rPr>
        <w:br/>
        <w:t>REVIEW OF RELATED LITERATURES AND STUDIES</w:t>
      </w:r>
    </w:p>
    <w:p w14:paraId="08CE936A" w14:textId="77777777" w:rsidR="003C61B4" w:rsidRDefault="00000000">
      <w:pPr>
        <w:spacing w:before="280" w:after="80"/>
      </w:pPr>
      <w:r>
        <w:rPr>
          <w:b/>
        </w:rPr>
        <w:t>Pedagogical Mechanics in Mobile-Assisted Learning Tools: Lives, Failure Feedback, and Mastery vs. Lockout Systems</w:t>
      </w:r>
    </w:p>
    <w:p w14:paraId="77FA0885" w14:textId="77777777" w:rsidR="003C61B4" w:rsidRDefault="00000000">
      <w:pPr>
        <w:spacing w:before="160" w:after="160" w:line="276" w:lineRule="auto"/>
      </w:pPr>
      <w:r>
        <w:rPr>
          <w:b/>
          <w:color w:val="0F172A"/>
          <w:sz w:val="21"/>
        </w:rPr>
        <w:t xml:space="preserve">[REVISION TARGET &amp; INSTRUCTION]: </w:t>
      </w:r>
      <w:r>
        <w:rPr>
          <w:i/>
          <w:color w:val="1E293B"/>
          <w:sz w:val="21"/>
        </w:rPr>
        <w:t xml:space="preserve">Insert the following extensive theoretical subsection into Chapter 2 under 'Published Works', immediately following Paragraph 191 (Zohari et al., 2023, page 24). This </w:t>
      </w:r>
      <w:r>
        <w:rPr>
          <w:i/>
          <w:color w:val="1E293B"/>
          <w:sz w:val="21"/>
        </w:rPr>
        <w:lastRenderedPageBreak/>
        <w:t>provides the peer-reviewed academic literature foundation (2020–2025) justifying non-punitive life mechanics, Bloom's Remediation-Gated Progression, the Platinum prestige tier, and Error-Count calibration.</w:t>
      </w:r>
    </w:p>
    <w:p w14:paraId="4E25CD4D" w14:textId="77777777" w:rsidR="003C61B4" w:rsidRDefault="00000000">
      <w:pPr>
        <w:ind w:firstLine="720"/>
        <w:jc w:val="both"/>
      </w:pPr>
      <w:r>
        <w:t>In modern computer-assisted learning and serious educational games, the architectural selection of gamification mechanics exerts a profound influence on cognitive processing, learner motivation, and empirical retention. Among these mechanics, the inclusion of 'lives' or 'hearts' (health-point penalty systems) has emerged as a critical subject of empirical inquiry. Originally popularized by mobile-assisted language learning (MALL) applications such as Duolingo, the hearts mechanic deducts a finite resource upon an incorrect submission, traditionally terminating or restricting the study session when the resource is exhausted. In their systematic review of gamified mobile learning platforms, Shortt et al. (2023) demonstrated that while incentive structures such as experience points (XP) and daily streaks foster persistent learning habits, rigid penalty-based lockout mechanisms consistently generate an 'avoidance mindset' among learners [38]. Specifically, when students operate under the immediate threat of session termination, they display risk-averse behaviors, intentionally bypassing complex or unfamiliar learning items to preserve their life pool. Furthermore, Shortt et al. identified punitive heart loss as the predominant catalyst for user frustration and platform abandonment, concluding that hard lockout constraints operate primarily as commercial engagement throttles rather than pedagogically valid drivers of long-term mastery [38].</w:t>
      </w:r>
    </w:p>
    <w:p w14:paraId="1B41EDE6" w14:textId="77777777" w:rsidR="003C61B4" w:rsidRDefault="00000000">
      <w:pPr>
        <w:ind w:firstLine="720"/>
        <w:jc w:val="both"/>
      </w:pPr>
      <w:r>
        <w:t>These qualitative observations are robustly corroborated by quantitative meta-analytic evidence. In a meta-analysis examining the differential impacts of individual gamification mechanics across thirty empirical studies, Bai, Shen, and Guan (2020) found that penalty and access-restriction elements yielded negligible to negative correlations with actual post-test academic achievement (g = -0.08 to 0.12) [39]. Conversely, instructional designs that prioritized continuous formative feedback, visual progression indicators (such as progress bars), and low-</w:t>
      </w:r>
      <w:r>
        <w:lastRenderedPageBreak/>
        <w:t>stakes mastery retrieval demonstrated substantial, statistically significant effect sizes on cognitive retention and procedural fluency (g = 0.61) [39]. In higher education and professional healthcare instruction, Dehghanzadeh et al. (2021) highlighted that punitive game mechanics induce extraneous cognitive load, elevating situational test anxiety and dividing the learner's working memory between task-relevant domain processing and resource-monitoring stress [40]. Sailer and Homner (2020) similarly emphasized that failure states in educational simulations must be coupled with immediate restorative agency, warning that penalizing mistakes without providing an accessible avenue for immediate correction fosters learned helplessness [41].</w:t>
      </w:r>
    </w:p>
    <w:p w14:paraId="4B504BBF" w14:textId="77777777" w:rsidR="003C61B4" w:rsidRDefault="00000000">
      <w:pPr>
        <w:ind w:firstLine="720"/>
        <w:jc w:val="both"/>
      </w:pPr>
      <w:r>
        <w:t>Nevertheless, the complete absence of performance stakes can introduce alternative instructional vulnerabilities. As established by Baker, Corbett, Koedinger, and Roll (2006), learners interacting with digital multiple-choice learning environments frequently engage in 'gaming the system'—most notably through 'rapid guessing'—wherein options are rapidly and unthinkingly selected until the correct answer is triggered, effectively bypassing cognitive effort [43]. In the specific context of look-alike, sound-alike (LASA) medication training, rapid guessing is exceptionally hazardous, as cultivating clinical safety requires dispensers to exercise deliberate perceptual vigilance over subtle orthographic and phonetic cues (e.g., distinguishing vinBLAStine from vinCRIStine). To reconcile this tension, educational theorists advocate for paradigms of 'productive failure' (Kapur, 2016), wherein errors are treated not as punishable infractions, but as essential cognitive opportunities for schema activation and knowledge consolidation [42].</w:t>
      </w:r>
    </w:p>
    <w:p w14:paraId="6276CB41" w14:textId="77777777" w:rsidR="003C61B4" w:rsidRDefault="00000000">
      <w:pPr>
        <w:spacing w:before="200" w:after="40"/>
      </w:pPr>
      <w:r>
        <w:rPr>
          <w:b/>
          <w:i/>
        </w:rPr>
        <w:t>Bloom's Mastery Learning and Remediation-Gated Progression (Non-Punitive Stamina)</w:t>
      </w:r>
    </w:p>
    <w:p w14:paraId="026079E6" w14:textId="77777777" w:rsidR="003C61B4" w:rsidRDefault="00000000">
      <w:pPr>
        <w:ind w:firstLine="720"/>
        <w:jc w:val="both"/>
      </w:pPr>
      <w:r>
        <w:t xml:space="preserve">To operationalize productive failure without inducing demotivating lockout penalties, LASA-Quest implements a novel architectural model termed 'Remediation-Gated Progression', </w:t>
      </w:r>
      <w:r>
        <w:lastRenderedPageBreak/>
        <w:t>directly derived from Bloom's Mastery Learning framework (Guskey, 2020) [49] and Cognitive Load Theory (Sweller et al., 2019). Under Bloom's classical mastery paradigm, instruction is organized into sequential units; learners complete formative assessments and must demonstrate corrective remediation of unmastered concepts before progressing to advanced curriculum topics. Crucially, within LASA-Quest, stamina (hearts) is completely decoupled from active session execution: when a student depletes all hearts during a lesson, the session is never terminated or aborted. The student completes all remaining items, reads all explanatory clinical feedback drawers, and absorbs the instructional rationales without disruption.</w:t>
      </w:r>
    </w:p>
    <w:p w14:paraId="4A3114A4" w14:textId="77777777" w:rsidR="003C61B4" w:rsidRDefault="00000000">
      <w:pPr>
        <w:ind w:firstLine="720"/>
        <w:jc w:val="both"/>
      </w:pPr>
      <w:r>
        <w:t>Upon concluding the lesson, if the learner finishes with zero hearts, advancement to newly unencountered curriculum levels is temporarily paused. Rather than imposing an arbitrary time delay or demanding monetary microtransactions (the predatory patterns critiqued by Shortt et al., 2023 [38]), LASA-Quest provides immediate restorative agency: the student enters the zero-penalty Practice Hub. By reviewing and clearing five failed drug pairs from their persistent mistake queue, the learner restores one heart for free and earns maintenance diamonds. This ensures that students are never locked out of learning; they are simply redirected to master prerequisite confusable pairs before advancing to higher-order medication sets, eliminating the learner poverty trap while enforcing clinical safety.</w:t>
      </w:r>
    </w:p>
    <w:p w14:paraId="57F1B83D" w14:textId="77777777" w:rsidR="003C61B4" w:rsidRDefault="00000000">
      <w:pPr>
        <w:spacing w:before="200" w:after="40"/>
      </w:pPr>
      <w:r>
        <w:rPr>
          <w:b/>
          <w:i/>
        </w:rPr>
        <w:t>Aspirational Prestige Tiers, Ceiling Effects, and Mastery Overlearning</w:t>
      </w:r>
    </w:p>
    <w:p w14:paraId="6F35D2C6" w14:textId="77777777" w:rsidR="003C61B4" w:rsidRDefault="00000000">
      <w:pPr>
        <w:ind w:firstLine="720"/>
        <w:jc w:val="both"/>
      </w:pPr>
      <w:r>
        <w:t xml:space="preserve">In serious educational games, the calibration of top-tier performance feedback is vital to sustaining engagement among high-performing learners. In their foundational treatise on gamification science, Landers, Auer, Collmus, and Armstrong (2021) observed that when the highest reward tier is calibrated at a sub-ceiling threshold (such as awarding maximum stars at 90% accuracy), learners experience an artificial 'ceiling effect' and cease exerting cognitive effort </w:t>
      </w:r>
      <w:r>
        <w:lastRenderedPageBreak/>
        <w:t>once the 90% threshold is secured [47]. In clinical medication dispensing, however, a 90% accuracy rate represents a 10% medication error rate—which is clinically unacceptable in patient care. Under the guidelines of the Institute for Safe Medication Practices (ISMP, 2023), zero dispensing errors represents the benchmark of patient safety [48].</w:t>
      </w:r>
    </w:p>
    <w:p w14:paraId="7EE3F53B" w14:textId="77777777" w:rsidR="003C61B4" w:rsidRDefault="00000000">
      <w:pPr>
        <w:ind w:firstLine="720"/>
        <w:jc w:val="both"/>
      </w:pPr>
      <w:r>
        <w:t>Drawing inspiration from precision rhythm-action games (e.g., the 'Platinum Star' in Just Dance or 'Full Combo' in Guitar Hero), LASA-Quest introduces a distinct, fourth prestige tier: the Platinum Star. Awarded exclusively for achieving 100% accuracy (zero dispensing errors), the Platinum tier features an iridescent cyan-diamond visual indicator and awards a bonus bounty of 65 diamonds (50 base + 15 Platinum Precision Bonus). According to overlearning theory (Driskell, Willis, &amp; Copper, 2018; confirmed in serious healthcare games by Zagalo et al., 2021), practicing beyond initial competence until achieving flawless performance inoculates the learner against cognitive degradation and stress-induced slips during emergency medical dispensing [50, 51]. By providing an explicit reward for 100% precision, LASA-Quest motivates continuous deliberate overlearning without penalizing developing students who achieve baseline mastery.</w:t>
      </w:r>
    </w:p>
    <w:p w14:paraId="0A43C9A7" w14:textId="77777777" w:rsidR="003C61B4" w:rsidRDefault="00000000">
      <w:pPr>
        <w:spacing w:before="200" w:after="40"/>
      </w:pPr>
      <w:r>
        <w:rPr>
          <w:b/>
          <w:i/>
        </w:rPr>
        <w:t>Resolving Micro-Learning Discretization via Error-Count Evaluation</w:t>
      </w:r>
    </w:p>
    <w:p w14:paraId="659BD0D3" w14:textId="77777777" w:rsidR="003C61B4" w:rsidRDefault="00000000">
      <w:pPr>
        <w:ind w:firstLine="720"/>
        <w:jc w:val="both"/>
      </w:pPr>
      <w:r>
        <w:t xml:space="preserve">A critical psychometric challenge in gamified micro-learning involves the mathematical discretization of small question sets. As Guskey (2020) demonstrated in assessment design, when formative drills contain small denominators (e.g., 5 to 6 questions per session), rigid percentage cutoffs produce distorted evaluation anomalies [49]. Specifically, in a 5-question drill, scores are constrained to discrete 20% increments (100%, 80%, 60%, 40%, 20%). If a 3-star rating is fixed at &gt;= 90%, committing a single error drops the learner from 100% directly to 80% (2 stars), rendering the 3-star tier mathematically unobtainable. To resolve this granularity flaw, LASA-Quest adopts a criterion-referenced Error-Count evaluation model: 0 Errors awards Platinum </w:t>
      </w:r>
      <w:r>
        <w:lastRenderedPageBreak/>
        <w:t>(100%), 1 Error awards 3 Gold Stars (Mastery), 2 Errors awards 2 Gold Stars (Proficient), 3 Errors awards 1 Gold Star (Competent), and 4+ Errors awards 0 Stars (Needs Practice).</w:t>
      </w:r>
    </w:p>
    <w:p w14:paraId="25A72198" w14:textId="77777777" w:rsidR="003C61B4" w:rsidRDefault="00000000">
      <w:pPr>
        <w:ind w:firstLine="720"/>
        <w:jc w:val="both"/>
      </w:pPr>
      <w:r>
        <w:t>As established by Zainuddin et al. (2020), this transparent, error-based metric provides intuitive performance feedback that fosters self-efficacy and clear goal orientation [44]. Furthermore, by pairing star ratings with a structured 'bounty retrieval' mechanism (wherein uncollected diamonds on 1-star, 2-star, or 3-star levels remain claimable upon subsequent error-free replays), the system activates the spaced retrieval practice effect. As proven in a meta-analysis by Latimier, Peyre, and Ramus (2021), distributed testing yields statistically robust enhancements in long-term memory consolidation compared to massed practice [45]. Grounded in Self-Determination Theory, Van Roy and Zaman (2020) affirmed that gating secondary cosmetic rewards (such as shop themes) while keeping the core educational practice freely accessible satisfies learners' psychological needs for competence and autonomy [46].</w:t>
      </w:r>
    </w:p>
    <w:p w14:paraId="3842D09E" w14:textId="77777777" w:rsidR="000B0087" w:rsidRDefault="000B0087">
      <w:pPr>
        <w:spacing w:before="400" w:after="120"/>
        <w:jc w:val="center"/>
        <w:rPr>
          <w:b/>
          <w:sz w:val="26"/>
        </w:rPr>
      </w:pPr>
    </w:p>
    <w:p w14:paraId="118D264E" w14:textId="77777777" w:rsidR="000B0087" w:rsidRDefault="000B0087">
      <w:pPr>
        <w:spacing w:before="400" w:after="120"/>
        <w:jc w:val="center"/>
        <w:rPr>
          <w:b/>
          <w:sz w:val="26"/>
        </w:rPr>
      </w:pPr>
    </w:p>
    <w:p w14:paraId="67925621" w14:textId="77777777" w:rsidR="000B0087" w:rsidRDefault="000B0087">
      <w:pPr>
        <w:spacing w:before="400" w:after="120"/>
        <w:jc w:val="center"/>
        <w:rPr>
          <w:b/>
          <w:sz w:val="26"/>
        </w:rPr>
      </w:pPr>
    </w:p>
    <w:p w14:paraId="1F30A1C0" w14:textId="77777777" w:rsidR="000B0087" w:rsidRDefault="000B0087">
      <w:pPr>
        <w:spacing w:before="400" w:after="120"/>
        <w:jc w:val="center"/>
        <w:rPr>
          <w:b/>
          <w:sz w:val="26"/>
        </w:rPr>
      </w:pPr>
    </w:p>
    <w:p w14:paraId="29242753" w14:textId="77777777" w:rsidR="000B0087" w:rsidRDefault="000B0087">
      <w:pPr>
        <w:spacing w:before="400" w:after="120"/>
        <w:jc w:val="center"/>
        <w:rPr>
          <w:b/>
          <w:sz w:val="26"/>
        </w:rPr>
      </w:pPr>
    </w:p>
    <w:p w14:paraId="475574C3" w14:textId="77777777" w:rsidR="000B0087" w:rsidRDefault="000B0087">
      <w:pPr>
        <w:spacing w:before="400" w:after="120"/>
        <w:jc w:val="center"/>
        <w:rPr>
          <w:b/>
          <w:sz w:val="26"/>
        </w:rPr>
      </w:pPr>
    </w:p>
    <w:p w14:paraId="17C09020" w14:textId="6B0559DD" w:rsidR="003C61B4" w:rsidRDefault="00000000">
      <w:pPr>
        <w:spacing w:before="400" w:after="120"/>
        <w:jc w:val="center"/>
      </w:pPr>
      <w:r>
        <w:rPr>
          <w:b/>
          <w:sz w:val="26"/>
        </w:rPr>
        <w:lastRenderedPageBreak/>
        <w:t>CHAPTER 3</w:t>
      </w:r>
      <w:r>
        <w:rPr>
          <w:b/>
          <w:sz w:val="26"/>
        </w:rPr>
        <w:br/>
        <w:t>METHODOLOGY</w:t>
      </w:r>
    </w:p>
    <w:p w14:paraId="5165CF2D" w14:textId="77777777" w:rsidR="003C61B4" w:rsidRDefault="00000000">
      <w:pPr>
        <w:spacing w:before="280" w:after="80"/>
      </w:pPr>
      <w:r>
        <w:rPr>
          <w:b/>
        </w:rPr>
        <w:t>Proposed System Process Flow</w:t>
      </w:r>
    </w:p>
    <w:p w14:paraId="49C9C9FD" w14:textId="77777777" w:rsidR="003C61B4" w:rsidRDefault="00000000">
      <w:pPr>
        <w:spacing w:before="160" w:after="160" w:line="276" w:lineRule="auto"/>
      </w:pPr>
      <w:r>
        <w:rPr>
          <w:b/>
          <w:color w:val="0F172A"/>
          <w:sz w:val="21"/>
        </w:rPr>
        <w:t xml:space="preserve">[REVISION TARGET &amp; INSTRUCTION]: </w:t>
      </w:r>
      <w:r>
        <w:rPr>
          <w:i/>
          <w:color w:val="1E293B"/>
          <w:sz w:val="21"/>
        </w:rPr>
        <w:t>Completely replace Section 'Proposed System Process Flow' (Paragraphs 276–283 and Figure 3.2, pages 43–44). The original Figure 3.2 described an outdated 5-minigame arcade launcher and an interruptive error modal. The revised text and diagram accurately formalize the Curriculum Learning Path, Explanatory Feedback Drawer, Error-Count Star Evaluation, Platinum Tier, and Remediation-Gated Progression.</w:t>
      </w:r>
    </w:p>
    <w:p w14:paraId="5D56C42D" w14:textId="77777777" w:rsidR="003C61B4" w:rsidRDefault="00000000">
      <w:pPr>
        <w:ind w:firstLine="720"/>
        <w:jc w:val="both"/>
      </w:pPr>
      <w:r>
        <w:t>The proposed system process flow of LASA-Quest is illustrated in Figure 3.2. The interaction begins when the user accesses the web application through a modern web browser. The system first evaluates the user's authentication state via Supabase session verification. If the user possesses an active authenticated session, the system bypasses credentials verification and navigates directly to the main learning dashboard. If the user is unauthenticated, the system routes them to the authentication interface, where the learner may register a new student account, authenticate using existing credentials, or proceed via an offline-capable guest profile fallback. This multi-tiered entry architecture ensures that lack of immediate internet connectivity does not impede access during on-site classroom or laboratory evaluation sessions.</w:t>
      </w:r>
    </w:p>
    <w:p w14:paraId="64B0E74F" w14:textId="77777777" w:rsidR="003C61B4" w:rsidRDefault="00000000">
      <w:pPr>
        <w:ind w:firstLine="720"/>
        <w:jc w:val="both"/>
      </w:pPr>
      <w:r>
        <w:t xml:space="preserve">Upon successful authentication, the system displays the Learning Path Dashboard (/learn), which serves as the core pedagogical and navigation anchor of LASA-Quest. Rather than presenting disconnected arcade minigames, the dashboard renders a structured curriculum tree organized sequentially across four thematic units and twenty-four progressive levels, culminating in Unit Mastery Capstones. Uniquely, the Learning Path visually displays earned performance star pills directly below each circular level node, providing learners with immediate, at-a-glance feedback on clinical proficiency across the entire curriculum. From this central interface, the learner is presented with three primary pathways: (1) advancing through the </w:t>
      </w:r>
      <w:r>
        <w:lastRenderedPageBreak/>
        <w:t>sequential Curriculum Learning Path, (2) entering the zero-penalty Practice Hub (/practice) for remedial and auditory review, or (3) visiting the in-game Shop (/shop) to redeem accumulated reward gems for custom visual themes and heart refills.</w:t>
      </w:r>
    </w:p>
    <w:p w14:paraId="71A6B04A" w14:textId="77777777" w:rsidR="003C61B4" w:rsidRDefault="00000000">
      <w:pPr>
        <w:ind w:firstLine="720"/>
        <w:jc w:val="both"/>
      </w:pPr>
      <w:r>
        <w:t>When the learner elects to launch an uncompleted curriculum level, the application first verifies that the user possesses sufficient stamina (hearts &gt;= 1). If hearts are fully depleted, progression to unencountered levels is temporarily paused, and the system prompts the student to enter the Practice Hub. When hearts are available, the application initializes the lesson session (/lesson/:levelId), dynamically assembling a sequence of multi-modal discrimination questions derived from validated ISMP and WHO confusable drug lists. Each item presents one of four cognitive challenge formats: Look-Alike Visual Matching, Sound-Alike Acoustic Discrimination with integrated audio clips, Tall Man Lettering Selection, or Paired Association Retrieval.</w:t>
      </w:r>
    </w:p>
    <w:p w14:paraId="22C60AFC" w14:textId="77777777" w:rsidR="003C61B4" w:rsidRDefault="00000000">
      <w:pPr>
        <w:ind w:firstLine="720"/>
        <w:jc w:val="both"/>
      </w:pPr>
      <w:r>
        <w:t>Upon response submission, the system evaluates the answer in real time. If the response is correct, the application renders immediate positive visual and acoustic reinforcement, advances the session progress bar, increments the user's daily streak counter, and awards experience points (XP). If the response is incorrect, the system executes an instructional error-handling sequence designed to support productive failure without cognitive disruption. Specifically, the system deducts one heart to symbolize dispensing vigilance, immediately deploys an Explanatory Feedback Drawer highlighting the critical orthographic or phonetic differences between the confusing medications, and seamlessly enqueues the failed drug pair into the student's persistent mistakes queue (user.mistakes_queue). Crucially, the system does not abort the lesson if hearts reach zero during a session; the learner proceeds through all remaining questions, ensuring unbroken instructional engagement and comprehensive feedback review.</w:t>
      </w:r>
    </w:p>
    <w:p w14:paraId="22A02204" w14:textId="77777777" w:rsidR="003C61B4" w:rsidRDefault="00000000">
      <w:pPr>
        <w:ind w:firstLine="720"/>
        <w:jc w:val="both"/>
      </w:pPr>
      <w:r>
        <w:lastRenderedPageBreak/>
        <w:t>Once all questions in the level are completed, the system renders the Level Completion Screen. This interface summarizes the student's performance, updates unit mastery ratings, and calculates rewards using a criterion-referenced Error-Count Star Bounty model. Each level carries a lifetime maximum bounty of 65 in-game diamonds, calibrated as follows: (1) Zero Errors awards the prestigious Platinum Star tier (65 diamonds, comprising a 50-diamond base plus a 15-diamond Platinum Precision Bonus) validating flawless zero-defect dispensing; (2) One Error awards 3 Gold Stars (50 diamonds, representing clinical mastery); (3) Two Errors awards 2 Gold Stars (30 diamonds, representing proficient competence); (4) Three Errors awards 1 Gold Star (15 diamonds, representing baseline passing competence); and (5) Four or more errors awards 0 Stars alongside standard completion XP, signaling that prerequisite remediation is required.</w:t>
      </w:r>
    </w:p>
    <w:p w14:paraId="7445BD54" w14:textId="77777777" w:rsidR="003C61B4" w:rsidRDefault="00000000">
      <w:pPr>
        <w:ind w:firstLine="720"/>
        <w:jc w:val="both"/>
      </w:pPr>
      <w:r>
        <w:t>Crucially, uncollected bounty amounts remain tied to the level: learners may voluntarily replay previously cleared levels to eliminate errors and claim the remaining bounty delta (e.g., upgrading from 3 stars to Platinum awards the +15 diamond overlearning bonus). Once 65 diamonds are claimed on a level, subsequent replays award zero diamonds, preventing economic farming while stimulating organic spaced retrieval. Finally, the system performs a post-session stamina check: if the user completed the session with zero hearts, progress to the next sequential level is paused until the student enters the Practice Hub. Clearing five items from the mistake queue restores one heart free of charge, harmonizing rigorous clinical vigilance with unhindered educational access.</w:t>
      </w:r>
    </w:p>
    <w:p w14:paraId="327D4377" w14:textId="77777777" w:rsidR="003C61B4" w:rsidRDefault="003C61B4">
      <w:pPr>
        <w:spacing w:before="240"/>
      </w:pPr>
    </w:p>
    <w:p w14:paraId="0A920121" w14:textId="1FCC0875" w:rsidR="003C61B4" w:rsidRDefault="003C61B4">
      <w:pPr>
        <w:spacing w:after="80"/>
        <w:jc w:val="center"/>
      </w:pPr>
    </w:p>
    <w:p w14:paraId="514249D1" w14:textId="77777777" w:rsidR="000B0087" w:rsidRDefault="000B0087">
      <w:pPr>
        <w:spacing w:after="80"/>
        <w:jc w:val="center"/>
      </w:pPr>
    </w:p>
    <w:p w14:paraId="3C4EA376" w14:textId="77777777" w:rsidR="000B0087" w:rsidRDefault="000B0087">
      <w:pPr>
        <w:spacing w:after="80"/>
        <w:jc w:val="center"/>
      </w:pPr>
    </w:p>
    <w:p w14:paraId="03534B1E" w14:textId="77777777" w:rsidR="000B0087" w:rsidRDefault="000B0087">
      <w:pPr>
        <w:spacing w:after="80"/>
        <w:jc w:val="center"/>
      </w:pPr>
    </w:p>
    <w:p w14:paraId="0F00F0BD" w14:textId="77777777" w:rsidR="000B0087" w:rsidRDefault="000B0087">
      <w:pPr>
        <w:spacing w:after="80"/>
        <w:jc w:val="center"/>
      </w:pPr>
    </w:p>
    <w:p w14:paraId="1C5EA522" w14:textId="77777777" w:rsidR="000B0087" w:rsidRDefault="000B0087">
      <w:pPr>
        <w:spacing w:after="80"/>
        <w:jc w:val="center"/>
      </w:pPr>
    </w:p>
    <w:p w14:paraId="5A0A92F7" w14:textId="77777777" w:rsidR="000B0087" w:rsidRDefault="000B0087">
      <w:pPr>
        <w:spacing w:after="80"/>
        <w:jc w:val="center"/>
      </w:pPr>
    </w:p>
    <w:p w14:paraId="532A066E" w14:textId="77777777" w:rsidR="000B0087" w:rsidRDefault="000B0087">
      <w:pPr>
        <w:spacing w:after="80"/>
        <w:jc w:val="center"/>
      </w:pPr>
    </w:p>
    <w:p w14:paraId="1F9E35F4" w14:textId="77777777" w:rsidR="000B0087" w:rsidRDefault="000B0087">
      <w:pPr>
        <w:spacing w:after="80"/>
        <w:jc w:val="center"/>
      </w:pPr>
    </w:p>
    <w:p w14:paraId="78089A53" w14:textId="77777777" w:rsidR="000B0087" w:rsidRDefault="000B0087">
      <w:pPr>
        <w:spacing w:after="80"/>
        <w:jc w:val="center"/>
      </w:pPr>
    </w:p>
    <w:p w14:paraId="1E41FAC0" w14:textId="77777777" w:rsidR="003C61B4" w:rsidRDefault="00000000">
      <w:pPr>
        <w:spacing w:before="120" w:after="240" w:line="360" w:lineRule="auto"/>
        <w:jc w:val="center"/>
        <w:rPr>
          <w:b/>
          <w:sz w:val="22"/>
        </w:rPr>
      </w:pPr>
      <w:r>
        <w:rPr>
          <w:b/>
          <w:sz w:val="22"/>
        </w:rPr>
        <w:t>Figure 3.2: Proposed Process Flow for LASA-Quest (Curriculum Learning Path, Error-Count Star System &amp; Remediation-Gated Progression)</w:t>
      </w:r>
    </w:p>
    <w:p w14:paraId="65061342" w14:textId="77777777" w:rsidR="000B0087" w:rsidRDefault="000B0087" w:rsidP="000B0087">
      <w:pPr>
        <w:spacing w:before="120" w:after="240" w:line="360" w:lineRule="auto"/>
      </w:pPr>
    </w:p>
    <w:p w14:paraId="643D4E39" w14:textId="77777777" w:rsidR="003C61B4" w:rsidRDefault="00000000">
      <w:pPr>
        <w:spacing w:before="280" w:after="80"/>
      </w:pPr>
      <w:r>
        <w:rPr>
          <w:b/>
        </w:rPr>
        <w:t>System Performance &amp; Economy Balancing Architecture</w:t>
      </w:r>
    </w:p>
    <w:p w14:paraId="1EEEBC92" w14:textId="77777777" w:rsidR="003C61B4" w:rsidRDefault="00000000">
      <w:pPr>
        <w:ind w:firstLine="720"/>
        <w:jc w:val="both"/>
      </w:pPr>
      <w:r>
        <w:t>Table 3.1 details the operational parameters, star thresholds, diamond bounties, and pedagogical rationales of the integrated performance evaluation system implemented in LASA-Quest.</w:t>
      </w:r>
    </w:p>
    <w:tbl>
      <w:tblPr>
        <w:tblW w:w="0" w:type="auto"/>
        <w:jc w:val="center"/>
        <w:tblLayout w:type="fixed"/>
        <w:tblLook w:val="04A0" w:firstRow="1" w:lastRow="0" w:firstColumn="1" w:lastColumn="0" w:noHBand="0" w:noVBand="1"/>
      </w:tblPr>
      <w:tblGrid>
        <w:gridCol w:w="1728"/>
        <w:gridCol w:w="1584"/>
        <w:gridCol w:w="1584"/>
        <w:gridCol w:w="1584"/>
        <w:gridCol w:w="2880"/>
      </w:tblGrid>
      <w:tr w:rsidR="003C61B4" w14:paraId="0CE7ADFB" w14:textId="77777777">
        <w:trPr>
          <w:jc w:val="center"/>
        </w:trPr>
        <w:tc>
          <w:tcPr>
            <w:tcW w:w="1728" w:type="dxa"/>
            <w:shd w:val="clear" w:color="auto" w:fill="F1F5F9"/>
            <w:tcMar>
              <w:top w:w="120" w:type="dxa"/>
              <w:left w:w="140" w:type="dxa"/>
              <w:bottom w:w="120" w:type="dxa"/>
              <w:right w:w="140" w:type="dxa"/>
            </w:tcMar>
          </w:tcPr>
          <w:p w14:paraId="47C4FB0A" w14:textId="77777777" w:rsidR="003C61B4" w:rsidRDefault="00000000">
            <w:pPr>
              <w:spacing w:line="276" w:lineRule="auto"/>
              <w:jc w:val="center"/>
            </w:pPr>
            <w:r>
              <w:rPr>
                <w:b/>
                <w:sz w:val="20"/>
              </w:rPr>
              <w:t>Performance Tier</w:t>
            </w:r>
          </w:p>
        </w:tc>
        <w:tc>
          <w:tcPr>
            <w:tcW w:w="1584" w:type="dxa"/>
            <w:shd w:val="clear" w:color="auto" w:fill="F1F5F9"/>
            <w:tcMar>
              <w:top w:w="120" w:type="dxa"/>
              <w:left w:w="140" w:type="dxa"/>
              <w:bottom w:w="120" w:type="dxa"/>
              <w:right w:w="140" w:type="dxa"/>
            </w:tcMar>
          </w:tcPr>
          <w:p w14:paraId="6ADF8BD7" w14:textId="77777777" w:rsidR="003C61B4" w:rsidRDefault="00000000">
            <w:pPr>
              <w:spacing w:line="276" w:lineRule="auto"/>
              <w:jc w:val="center"/>
            </w:pPr>
            <w:r>
              <w:rPr>
                <w:b/>
                <w:sz w:val="20"/>
              </w:rPr>
              <w:t>Error Count Benchmark</w:t>
            </w:r>
          </w:p>
        </w:tc>
        <w:tc>
          <w:tcPr>
            <w:tcW w:w="1584" w:type="dxa"/>
            <w:shd w:val="clear" w:color="auto" w:fill="F1F5F9"/>
            <w:tcMar>
              <w:top w:w="120" w:type="dxa"/>
              <w:left w:w="140" w:type="dxa"/>
              <w:bottom w:w="120" w:type="dxa"/>
              <w:right w:w="140" w:type="dxa"/>
            </w:tcMar>
          </w:tcPr>
          <w:p w14:paraId="1D04B5D0" w14:textId="77777777" w:rsidR="003C61B4" w:rsidRDefault="00000000">
            <w:pPr>
              <w:spacing w:line="276" w:lineRule="auto"/>
              <w:jc w:val="center"/>
            </w:pPr>
            <w:r>
              <w:rPr>
                <w:b/>
                <w:sz w:val="20"/>
              </w:rPr>
              <w:t>Stars Awarded</w:t>
            </w:r>
          </w:p>
        </w:tc>
        <w:tc>
          <w:tcPr>
            <w:tcW w:w="1584" w:type="dxa"/>
            <w:shd w:val="clear" w:color="auto" w:fill="F1F5F9"/>
            <w:tcMar>
              <w:top w:w="120" w:type="dxa"/>
              <w:left w:w="140" w:type="dxa"/>
              <w:bottom w:w="120" w:type="dxa"/>
              <w:right w:w="140" w:type="dxa"/>
            </w:tcMar>
          </w:tcPr>
          <w:p w14:paraId="58BFA608" w14:textId="77777777" w:rsidR="003C61B4" w:rsidRDefault="00000000">
            <w:pPr>
              <w:spacing w:line="276" w:lineRule="auto"/>
              <w:jc w:val="center"/>
            </w:pPr>
            <w:r>
              <w:rPr>
                <w:b/>
                <w:sz w:val="20"/>
              </w:rPr>
              <w:t>Lifetime Bounty</w:t>
            </w:r>
          </w:p>
        </w:tc>
        <w:tc>
          <w:tcPr>
            <w:tcW w:w="2880" w:type="dxa"/>
            <w:shd w:val="clear" w:color="auto" w:fill="F1F5F9"/>
            <w:tcMar>
              <w:top w:w="120" w:type="dxa"/>
              <w:left w:w="140" w:type="dxa"/>
              <w:bottom w:w="120" w:type="dxa"/>
              <w:right w:w="140" w:type="dxa"/>
            </w:tcMar>
          </w:tcPr>
          <w:p w14:paraId="4B5166F5" w14:textId="77777777" w:rsidR="003C61B4" w:rsidRDefault="00000000">
            <w:pPr>
              <w:spacing w:line="276" w:lineRule="auto"/>
              <w:jc w:val="center"/>
            </w:pPr>
            <w:r>
              <w:rPr>
                <w:b/>
                <w:sz w:val="20"/>
              </w:rPr>
              <w:t>Pedagogical Rationale &amp; Clinical Standard</w:t>
            </w:r>
          </w:p>
        </w:tc>
      </w:tr>
      <w:tr w:rsidR="003C61B4" w14:paraId="6418AA8A" w14:textId="77777777">
        <w:trPr>
          <w:jc w:val="center"/>
        </w:trPr>
        <w:tc>
          <w:tcPr>
            <w:tcW w:w="1728" w:type="dxa"/>
            <w:tcMar>
              <w:top w:w="80" w:type="dxa"/>
              <w:left w:w="140" w:type="dxa"/>
              <w:bottom w:w="80" w:type="dxa"/>
              <w:right w:w="140" w:type="dxa"/>
            </w:tcMar>
          </w:tcPr>
          <w:p w14:paraId="2F0A3C05" w14:textId="77777777" w:rsidR="003C61B4" w:rsidRDefault="00000000">
            <w:pPr>
              <w:spacing w:line="276" w:lineRule="auto"/>
              <w:jc w:val="center"/>
            </w:pPr>
            <w:r>
              <w:rPr>
                <w:sz w:val="19"/>
              </w:rPr>
              <w:t>Platinum Tier</w:t>
            </w:r>
          </w:p>
        </w:tc>
        <w:tc>
          <w:tcPr>
            <w:tcW w:w="1584" w:type="dxa"/>
            <w:tcMar>
              <w:top w:w="80" w:type="dxa"/>
              <w:left w:w="140" w:type="dxa"/>
              <w:bottom w:w="80" w:type="dxa"/>
              <w:right w:w="140" w:type="dxa"/>
            </w:tcMar>
          </w:tcPr>
          <w:p w14:paraId="36AD4A62" w14:textId="77777777" w:rsidR="003C61B4" w:rsidRDefault="00000000">
            <w:pPr>
              <w:spacing w:line="276" w:lineRule="auto"/>
              <w:jc w:val="center"/>
            </w:pPr>
            <w:r>
              <w:rPr>
                <w:sz w:val="19"/>
              </w:rPr>
              <w:t>0 Errors</w:t>
            </w:r>
            <w:r>
              <w:rPr>
                <w:sz w:val="19"/>
              </w:rPr>
              <w:br/>
              <w:t>(100% Accuracy)</w:t>
            </w:r>
          </w:p>
        </w:tc>
        <w:tc>
          <w:tcPr>
            <w:tcW w:w="1584" w:type="dxa"/>
            <w:tcMar>
              <w:top w:w="80" w:type="dxa"/>
              <w:left w:w="140" w:type="dxa"/>
              <w:bottom w:w="80" w:type="dxa"/>
              <w:right w:w="140" w:type="dxa"/>
            </w:tcMar>
          </w:tcPr>
          <w:p w14:paraId="310B5EC7" w14:textId="77777777" w:rsidR="003C61B4" w:rsidRDefault="00000000">
            <w:pPr>
              <w:spacing w:line="276" w:lineRule="auto"/>
              <w:jc w:val="center"/>
            </w:pPr>
            <w:r>
              <w:rPr>
                <w:sz w:val="19"/>
              </w:rPr>
              <w:t>Platinum Star</w:t>
            </w:r>
            <w:r>
              <w:rPr>
                <w:sz w:val="19"/>
              </w:rPr>
              <w:br/>
              <w:t>(💎 4 Stars)</w:t>
            </w:r>
          </w:p>
        </w:tc>
        <w:tc>
          <w:tcPr>
            <w:tcW w:w="1584" w:type="dxa"/>
            <w:tcMar>
              <w:top w:w="80" w:type="dxa"/>
              <w:left w:w="140" w:type="dxa"/>
              <w:bottom w:w="80" w:type="dxa"/>
              <w:right w:w="140" w:type="dxa"/>
            </w:tcMar>
          </w:tcPr>
          <w:p w14:paraId="1C3FD595" w14:textId="77777777" w:rsidR="003C61B4" w:rsidRDefault="00000000">
            <w:pPr>
              <w:spacing w:line="276" w:lineRule="auto"/>
              <w:jc w:val="center"/>
            </w:pPr>
            <w:r>
              <w:rPr>
                <w:sz w:val="19"/>
              </w:rPr>
              <w:t>65 Diamonds</w:t>
            </w:r>
            <w:r>
              <w:rPr>
                <w:sz w:val="19"/>
              </w:rPr>
              <w:br/>
              <w:t>(50 + 15 bonus)</w:t>
            </w:r>
          </w:p>
        </w:tc>
        <w:tc>
          <w:tcPr>
            <w:tcW w:w="2880" w:type="dxa"/>
            <w:tcMar>
              <w:top w:w="80" w:type="dxa"/>
              <w:left w:w="140" w:type="dxa"/>
              <w:bottom w:w="80" w:type="dxa"/>
              <w:right w:w="140" w:type="dxa"/>
            </w:tcMar>
          </w:tcPr>
          <w:p w14:paraId="57F16E13" w14:textId="77777777" w:rsidR="003C61B4" w:rsidRDefault="00000000">
            <w:pPr>
              <w:spacing w:line="276" w:lineRule="auto"/>
            </w:pPr>
            <w:r>
              <w:rPr>
                <w:sz w:val="19"/>
              </w:rPr>
              <w:t>Zero Dispensing Errors (ISMP, 2023). Combats ceiling effect via deliberate overlearning (Landers et al., 2021).</w:t>
            </w:r>
          </w:p>
        </w:tc>
      </w:tr>
      <w:tr w:rsidR="003C61B4" w14:paraId="17FDE683" w14:textId="77777777">
        <w:trPr>
          <w:jc w:val="center"/>
        </w:trPr>
        <w:tc>
          <w:tcPr>
            <w:tcW w:w="1728" w:type="dxa"/>
            <w:tcMar>
              <w:top w:w="80" w:type="dxa"/>
              <w:left w:w="140" w:type="dxa"/>
              <w:bottom w:w="80" w:type="dxa"/>
              <w:right w:w="140" w:type="dxa"/>
            </w:tcMar>
          </w:tcPr>
          <w:p w14:paraId="21534F98" w14:textId="77777777" w:rsidR="003C61B4" w:rsidRDefault="00000000">
            <w:pPr>
              <w:spacing w:line="276" w:lineRule="auto"/>
              <w:jc w:val="center"/>
            </w:pPr>
            <w:r>
              <w:rPr>
                <w:sz w:val="19"/>
              </w:rPr>
              <w:t>Gold Mastery</w:t>
            </w:r>
          </w:p>
        </w:tc>
        <w:tc>
          <w:tcPr>
            <w:tcW w:w="1584" w:type="dxa"/>
            <w:tcMar>
              <w:top w:w="80" w:type="dxa"/>
              <w:left w:w="140" w:type="dxa"/>
              <w:bottom w:w="80" w:type="dxa"/>
              <w:right w:w="140" w:type="dxa"/>
            </w:tcMar>
          </w:tcPr>
          <w:p w14:paraId="14213D6F" w14:textId="77777777" w:rsidR="003C61B4" w:rsidRDefault="00000000">
            <w:pPr>
              <w:spacing w:line="276" w:lineRule="auto"/>
              <w:jc w:val="center"/>
            </w:pPr>
            <w:r>
              <w:rPr>
                <w:sz w:val="19"/>
              </w:rPr>
              <w:t>1 Error</w:t>
            </w:r>
            <w:r>
              <w:rPr>
                <w:sz w:val="19"/>
              </w:rPr>
              <w:br/>
              <w:t>(80% - 90%)</w:t>
            </w:r>
          </w:p>
        </w:tc>
        <w:tc>
          <w:tcPr>
            <w:tcW w:w="1584" w:type="dxa"/>
            <w:tcMar>
              <w:top w:w="80" w:type="dxa"/>
              <w:left w:w="140" w:type="dxa"/>
              <w:bottom w:w="80" w:type="dxa"/>
              <w:right w:w="140" w:type="dxa"/>
            </w:tcMar>
          </w:tcPr>
          <w:p w14:paraId="5A3E7C2D" w14:textId="77777777" w:rsidR="003C61B4" w:rsidRDefault="00000000">
            <w:pPr>
              <w:spacing w:line="276" w:lineRule="auto"/>
              <w:jc w:val="center"/>
            </w:pPr>
            <w:r>
              <w:rPr>
                <w:sz w:val="19"/>
              </w:rPr>
              <w:t>3 Gold Stars</w:t>
            </w:r>
            <w:r>
              <w:rPr>
                <w:sz w:val="19"/>
              </w:rPr>
              <w:br/>
              <w:t>(⭐⭐⭐)</w:t>
            </w:r>
          </w:p>
        </w:tc>
        <w:tc>
          <w:tcPr>
            <w:tcW w:w="1584" w:type="dxa"/>
            <w:tcMar>
              <w:top w:w="80" w:type="dxa"/>
              <w:left w:w="140" w:type="dxa"/>
              <w:bottom w:w="80" w:type="dxa"/>
              <w:right w:w="140" w:type="dxa"/>
            </w:tcMar>
          </w:tcPr>
          <w:p w14:paraId="2A2EB4AC" w14:textId="77777777" w:rsidR="003C61B4" w:rsidRDefault="00000000">
            <w:pPr>
              <w:spacing w:line="276" w:lineRule="auto"/>
              <w:jc w:val="center"/>
            </w:pPr>
            <w:r>
              <w:rPr>
                <w:sz w:val="19"/>
              </w:rPr>
              <w:t>50 Diamonds</w:t>
            </w:r>
            <w:r>
              <w:rPr>
                <w:sz w:val="19"/>
              </w:rPr>
              <w:br/>
              <w:t>(Full Base Bounty)</w:t>
            </w:r>
          </w:p>
        </w:tc>
        <w:tc>
          <w:tcPr>
            <w:tcW w:w="2880" w:type="dxa"/>
            <w:tcMar>
              <w:top w:w="80" w:type="dxa"/>
              <w:left w:w="140" w:type="dxa"/>
              <w:bottom w:w="80" w:type="dxa"/>
              <w:right w:w="140" w:type="dxa"/>
            </w:tcMar>
          </w:tcPr>
          <w:p w14:paraId="5CD5FAA8" w14:textId="77777777" w:rsidR="003C61B4" w:rsidRDefault="00000000">
            <w:pPr>
              <w:spacing w:line="276" w:lineRule="auto"/>
            </w:pPr>
            <w:r>
              <w:rPr>
                <w:sz w:val="19"/>
              </w:rPr>
              <w:t>Clinical Mastery (Bloom, 1968; Guskey, 2020). Permits 1 slip in micro-drills without disproportionate grading penalty.</w:t>
            </w:r>
          </w:p>
        </w:tc>
      </w:tr>
      <w:tr w:rsidR="003C61B4" w14:paraId="62DEFE91" w14:textId="77777777">
        <w:trPr>
          <w:jc w:val="center"/>
        </w:trPr>
        <w:tc>
          <w:tcPr>
            <w:tcW w:w="1728" w:type="dxa"/>
            <w:tcMar>
              <w:top w:w="80" w:type="dxa"/>
              <w:left w:w="140" w:type="dxa"/>
              <w:bottom w:w="80" w:type="dxa"/>
              <w:right w:w="140" w:type="dxa"/>
            </w:tcMar>
          </w:tcPr>
          <w:p w14:paraId="0280DD26" w14:textId="77777777" w:rsidR="003C61B4" w:rsidRDefault="00000000">
            <w:pPr>
              <w:spacing w:line="276" w:lineRule="auto"/>
              <w:jc w:val="center"/>
            </w:pPr>
            <w:r>
              <w:rPr>
                <w:sz w:val="19"/>
              </w:rPr>
              <w:t>Proficient</w:t>
            </w:r>
          </w:p>
        </w:tc>
        <w:tc>
          <w:tcPr>
            <w:tcW w:w="1584" w:type="dxa"/>
            <w:tcMar>
              <w:top w:w="80" w:type="dxa"/>
              <w:left w:w="140" w:type="dxa"/>
              <w:bottom w:w="80" w:type="dxa"/>
              <w:right w:w="140" w:type="dxa"/>
            </w:tcMar>
          </w:tcPr>
          <w:p w14:paraId="24B0BF11" w14:textId="77777777" w:rsidR="003C61B4" w:rsidRDefault="00000000">
            <w:pPr>
              <w:spacing w:line="276" w:lineRule="auto"/>
              <w:jc w:val="center"/>
            </w:pPr>
            <w:r>
              <w:rPr>
                <w:sz w:val="19"/>
              </w:rPr>
              <w:t>2 Errors</w:t>
            </w:r>
            <w:r>
              <w:rPr>
                <w:sz w:val="19"/>
              </w:rPr>
              <w:br/>
              <w:t>(60% - 80%)</w:t>
            </w:r>
          </w:p>
        </w:tc>
        <w:tc>
          <w:tcPr>
            <w:tcW w:w="1584" w:type="dxa"/>
            <w:tcMar>
              <w:top w:w="80" w:type="dxa"/>
              <w:left w:w="140" w:type="dxa"/>
              <w:bottom w:w="80" w:type="dxa"/>
              <w:right w:w="140" w:type="dxa"/>
            </w:tcMar>
          </w:tcPr>
          <w:p w14:paraId="2B9EB4DD" w14:textId="77777777" w:rsidR="003C61B4" w:rsidRDefault="00000000">
            <w:pPr>
              <w:spacing w:line="276" w:lineRule="auto"/>
              <w:jc w:val="center"/>
            </w:pPr>
            <w:r>
              <w:rPr>
                <w:sz w:val="19"/>
              </w:rPr>
              <w:t>2 Gold Stars</w:t>
            </w:r>
            <w:r>
              <w:rPr>
                <w:sz w:val="19"/>
              </w:rPr>
              <w:br/>
              <w:t>(⭐⭐☆)</w:t>
            </w:r>
          </w:p>
        </w:tc>
        <w:tc>
          <w:tcPr>
            <w:tcW w:w="1584" w:type="dxa"/>
            <w:tcMar>
              <w:top w:w="80" w:type="dxa"/>
              <w:left w:w="140" w:type="dxa"/>
              <w:bottom w:w="80" w:type="dxa"/>
              <w:right w:w="140" w:type="dxa"/>
            </w:tcMar>
          </w:tcPr>
          <w:p w14:paraId="028D49EC" w14:textId="77777777" w:rsidR="003C61B4" w:rsidRDefault="00000000">
            <w:pPr>
              <w:spacing w:line="276" w:lineRule="auto"/>
              <w:jc w:val="center"/>
            </w:pPr>
            <w:r>
              <w:rPr>
                <w:sz w:val="19"/>
              </w:rPr>
              <w:t>30 Diamonds</w:t>
            </w:r>
            <w:r>
              <w:rPr>
                <w:sz w:val="19"/>
              </w:rPr>
              <w:br/>
              <w:t xml:space="preserve">(+15 delta from </w:t>
            </w:r>
            <w:r>
              <w:rPr>
                <w:sz w:val="19"/>
              </w:rPr>
              <w:lastRenderedPageBreak/>
              <w:t>1★)</w:t>
            </w:r>
          </w:p>
        </w:tc>
        <w:tc>
          <w:tcPr>
            <w:tcW w:w="2880" w:type="dxa"/>
            <w:tcMar>
              <w:top w:w="80" w:type="dxa"/>
              <w:left w:w="140" w:type="dxa"/>
              <w:bottom w:w="80" w:type="dxa"/>
              <w:right w:w="140" w:type="dxa"/>
            </w:tcMar>
          </w:tcPr>
          <w:p w14:paraId="015988BA" w14:textId="77777777" w:rsidR="003C61B4" w:rsidRDefault="00000000">
            <w:pPr>
              <w:spacing w:line="276" w:lineRule="auto"/>
            </w:pPr>
            <w:r>
              <w:rPr>
                <w:sz w:val="19"/>
              </w:rPr>
              <w:lastRenderedPageBreak/>
              <w:t>Strong conceptual familiarity; minor phonetic slips self-</w:t>
            </w:r>
            <w:r>
              <w:rPr>
                <w:sz w:val="19"/>
              </w:rPr>
              <w:lastRenderedPageBreak/>
              <w:t>corrected via feedback drawer review.</w:t>
            </w:r>
          </w:p>
        </w:tc>
      </w:tr>
      <w:tr w:rsidR="003C61B4" w14:paraId="0C5B8BF0" w14:textId="77777777">
        <w:trPr>
          <w:jc w:val="center"/>
        </w:trPr>
        <w:tc>
          <w:tcPr>
            <w:tcW w:w="1728" w:type="dxa"/>
            <w:tcMar>
              <w:top w:w="80" w:type="dxa"/>
              <w:left w:w="140" w:type="dxa"/>
              <w:bottom w:w="80" w:type="dxa"/>
              <w:right w:w="140" w:type="dxa"/>
            </w:tcMar>
          </w:tcPr>
          <w:p w14:paraId="1FD8FDF4" w14:textId="77777777" w:rsidR="003C61B4" w:rsidRDefault="00000000">
            <w:pPr>
              <w:spacing w:line="276" w:lineRule="auto"/>
              <w:jc w:val="center"/>
            </w:pPr>
            <w:r>
              <w:rPr>
                <w:sz w:val="19"/>
              </w:rPr>
              <w:lastRenderedPageBreak/>
              <w:t>Competent</w:t>
            </w:r>
          </w:p>
        </w:tc>
        <w:tc>
          <w:tcPr>
            <w:tcW w:w="1584" w:type="dxa"/>
            <w:tcMar>
              <w:top w:w="80" w:type="dxa"/>
              <w:left w:w="140" w:type="dxa"/>
              <w:bottom w:w="80" w:type="dxa"/>
              <w:right w:w="140" w:type="dxa"/>
            </w:tcMar>
          </w:tcPr>
          <w:p w14:paraId="629334FB" w14:textId="77777777" w:rsidR="003C61B4" w:rsidRDefault="00000000">
            <w:pPr>
              <w:spacing w:line="276" w:lineRule="auto"/>
              <w:jc w:val="center"/>
            </w:pPr>
            <w:r>
              <w:rPr>
                <w:sz w:val="19"/>
              </w:rPr>
              <w:t>3 Errors</w:t>
            </w:r>
            <w:r>
              <w:rPr>
                <w:sz w:val="19"/>
              </w:rPr>
              <w:br/>
              <w:t>(40% - 60%)</w:t>
            </w:r>
          </w:p>
        </w:tc>
        <w:tc>
          <w:tcPr>
            <w:tcW w:w="1584" w:type="dxa"/>
            <w:tcMar>
              <w:top w:w="80" w:type="dxa"/>
              <w:left w:w="140" w:type="dxa"/>
              <w:bottom w:w="80" w:type="dxa"/>
              <w:right w:w="140" w:type="dxa"/>
            </w:tcMar>
          </w:tcPr>
          <w:p w14:paraId="44647BFE" w14:textId="77777777" w:rsidR="003C61B4" w:rsidRDefault="00000000">
            <w:pPr>
              <w:spacing w:line="276" w:lineRule="auto"/>
              <w:jc w:val="center"/>
            </w:pPr>
            <w:r>
              <w:rPr>
                <w:sz w:val="19"/>
              </w:rPr>
              <w:t>1 Gold Star</w:t>
            </w:r>
            <w:r>
              <w:rPr>
                <w:sz w:val="19"/>
              </w:rPr>
              <w:br/>
              <w:t>(⭐☆☆)</w:t>
            </w:r>
          </w:p>
        </w:tc>
        <w:tc>
          <w:tcPr>
            <w:tcW w:w="1584" w:type="dxa"/>
            <w:tcMar>
              <w:top w:w="80" w:type="dxa"/>
              <w:left w:w="140" w:type="dxa"/>
              <w:bottom w:w="80" w:type="dxa"/>
              <w:right w:w="140" w:type="dxa"/>
            </w:tcMar>
          </w:tcPr>
          <w:p w14:paraId="5DF58DF2" w14:textId="77777777" w:rsidR="003C61B4" w:rsidRDefault="00000000">
            <w:pPr>
              <w:spacing w:line="276" w:lineRule="auto"/>
              <w:jc w:val="center"/>
            </w:pPr>
            <w:r>
              <w:rPr>
                <w:sz w:val="19"/>
              </w:rPr>
              <w:t>15 Diamonds</w:t>
            </w:r>
            <w:r>
              <w:rPr>
                <w:sz w:val="19"/>
              </w:rPr>
              <w:br/>
              <w:t>(Baseline Stipend)</w:t>
            </w:r>
          </w:p>
        </w:tc>
        <w:tc>
          <w:tcPr>
            <w:tcW w:w="2880" w:type="dxa"/>
            <w:tcMar>
              <w:top w:w="80" w:type="dxa"/>
              <w:left w:w="140" w:type="dxa"/>
              <w:bottom w:w="80" w:type="dxa"/>
              <w:right w:w="140" w:type="dxa"/>
            </w:tcMar>
          </w:tcPr>
          <w:p w14:paraId="3053727A" w14:textId="77777777" w:rsidR="003C61B4" w:rsidRDefault="00000000">
            <w:pPr>
              <w:spacing w:line="276" w:lineRule="auto"/>
            </w:pPr>
            <w:r>
              <w:rPr>
                <w:sz w:val="19"/>
              </w:rPr>
              <w:t>Baseline Clinical Passing Standard (Shortt et al., 2023). Demonstrates partial retrieval requiring deliberate reinforcement.</w:t>
            </w:r>
          </w:p>
        </w:tc>
      </w:tr>
      <w:tr w:rsidR="003C61B4" w14:paraId="4EB3D340" w14:textId="77777777">
        <w:trPr>
          <w:jc w:val="center"/>
        </w:trPr>
        <w:tc>
          <w:tcPr>
            <w:tcW w:w="1728" w:type="dxa"/>
            <w:tcMar>
              <w:top w:w="80" w:type="dxa"/>
              <w:left w:w="140" w:type="dxa"/>
              <w:bottom w:w="80" w:type="dxa"/>
              <w:right w:w="140" w:type="dxa"/>
            </w:tcMar>
          </w:tcPr>
          <w:p w14:paraId="2F1432F5" w14:textId="77777777" w:rsidR="003C61B4" w:rsidRDefault="00000000">
            <w:pPr>
              <w:spacing w:line="276" w:lineRule="auto"/>
              <w:jc w:val="center"/>
            </w:pPr>
            <w:r>
              <w:rPr>
                <w:sz w:val="19"/>
              </w:rPr>
              <w:t>Needs Practice</w:t>
            </w:r>
          </w:p>
        </w:tc>
        <w:tc>
          <w:tcPr>
            <w:tcW w:w="1584" w:type="dxa"/>
            <w:tcMar>
              <w:top w:w="80" w:type="dxa"/>
              <w:left w:w="140" w:type="dxa"/>
              <w:bottom w:w="80" w:type="dxa"/>
              <w:right w:w="140" w:type="dxa"/>
            </w:tcMar>
          </w:tcPr>
          <w:p w14:paraId="34F3A065" w14:textId="77777777" w:rsidR="003C61B4" w:rsidRDefault="00000000">
            <w:pPr>
              <w:spacing w:line="276" w:lineRule="auto"/>
              <w:jc w:val="center"/>
            </w:pPr>
            <w:r>
              <w:rPr>
                <w:sz w:val="19"/>
              </w:rPr>
              <w:t>4+ Errors</w:t>
            </w:r>
            <w:r>
              <w:rPr>
                <w:sz w:val="19"/>
              </w:rPr>
              <w:br/>
              <w:t>(&lt; 40%)</w:t>
            </w:r>
          </w:p>
        </w:tc>
        <w:tc>
          <w:tcPr>
            <w:tcW w:w="1584" w:type="dxa"/>
            <w:tcMar>
              <w:top w:w="80" w:type="dxa"/>
              <w:left w:w="140" w:type="dxa"/>
              <w:bottom w:w="80" w:type="dxa"/>
              <w:right w:w="140" w:type="dxa"/>
            </w:tcMar>
          </w:tcPr>
          <w:p w14:paraId="015D0FCC" w14:textId="77777777" w:rsidR="003C61B4" w:rsidRDefault="00000000">
            <w:pPr>
              <w:spacing w:line="276" w:lineRule="auto"/>
              <w:jc w:val="center"/>
            </w:pPr>
            <w:r>
              <w:rPr>
                <w:sz w:val="19"/>
              </w:rPr>
              <w:t>0 Stars</w:t>
            </w:r>
            <w:r>
              <w:rPr>
                <w:sz w:val="19"/>
              </w:rPr>
              <w:br/>
              <w:t>(☆☆☆)</w:t>
            </w:r>
          </w:p>
        </w:tc>
        <w:tc>
          <w:tcPr>
            <w:tcW w:w="1584" w:type="dxa"/>
            <w:tcMar>
              <w:top w:w="80" w:type="dxa"/>
              <w:left w:w="140" w:type="dxa"/>
              <w:bottom w:w="80" w:type="dxa"/>
              <w:right w:w="140" w:type="dxa"/>
            </w:tcMar>
          </w:tcPr>
          <w:p w14:paraId="6A33B510" w14:textId="77777777" w:rsidR="003C61B4" w:rsidRDefault="00000000">
            <w:pPr>
              <w:spacing w:line="276" w:lineRule="auto"/>
              <w:jc w:val="center"/>
            </w:pPr>
            <w:r>
              <w:rPr>
                <w:sz w:val="19"/>
              </w:rPr>
              <w:t>0 Diamonds</w:t>
            </w:r>
            <w:r>
              <w:rPr>
                <w:sz w:val="19"/>
              </w:rPr>
              <w:br/>
              <w:t>(XP awarded only)</w:t>
            </w:r>
          </w:p>
        </w:tc>
        <w:tc>
          <w:tcPr>
            <w:tcW w:w="2880" w:type="dxa"/>
            <w:tcMar>
              <w:top w:w="80" w:type="dxa"/>
              <w:left w:w="140" w:type="dxa"/>
              <w:bottom w:w="80" w:type="dxa"/>
              <w:right w:w="140" w:type="dxa"/>
            </w:tcMar>
          </w:tcPr>
          <w:p w14:paraId="5CB60A3E" w14:textId="77777777" w:rsidR="003C61B4" w:rsidRDefault="00000000">
            <w:pPr>
              <w:spacing w:line="276" w:lineRule="auto"/>
            </w:pPr>
            <w:r>
              <w:rPr>
                <w:sz w:val="19"/>
              </w:rPr>
              <w:t>Below Clinical Competency Threshold. Prevents illusion of competence; prompts free remediation in Practice Hub.</w:t>
            </w:r>
          </w:p>
        </w:tc>
      </w:tr>
    </w:tbl>
    <w:p w14:paraId="63BC1936" w14:textId="77777777" w:rsidR="003C61B4" w:rsidRDefault="00000000">
      <w:pPr>
        <w:spacing w:before="120" w:after="240" w:line="360" w:lineRule="auto"/>
        <w:jc w:val="center"/>
      </w:pPr>
      <w:r>
        <w:rPr>
          <w:b/>
          <w:sz w:val="22"/>
        </w:rPr>
        <w:t>Table 3.1: Criterion-Referenced Error-Count Star Evaluation and Economy Matrix</w:t>
      </w:r>
    </w:p>
    <w:p w14:paraId="42201A16" w14:textId="77777777" w:rsidR="003C61B4" w:rsidRDefault="00000000">
      <w:pPr>
        <w:spacing w:before="400" w:after="120"/>
        <w:jc w:val="center"/>
      </w:pPr>
      <w:r>
        <w:rPr>
          <w:b/>
          <w:sz w:val="26"/>
        </w:rPr>
        <w:t>CHAPTER REFERENCES</w:t>
      </w:r>
      <w:r>
        <w:rPr>
          <w:b/>
          <w:sz w:val="26"/>
        </w:rPr>
        <w:br/>
        <w:t>(NEW ENTRIES INTRODUCED BY REVISIONS)</w:t>
      </w:r>
    </w:p>
    <w:p w14:paraId="6495A64A" w14:textId="77777777" w:rsidR="003C61B4" w:rsidRDefault="00000000">
      <w:pPr>
        <w:spacing w:before="160" w:after="160" w:line="276" w:lineRule="auto"/>
      </w:pPr>
      <w:r>
        <w:rPr>
          <w:b/>
          <w:color w:val="0F172A"/>
          <w:sz w:val="21"/>
        </w:rPr>
        <w:t xml:space="preserve">[REVISION TARGET &amp; INSTRUCTION]: </w:t>
      </w:r>
      <w:r>
        <w:rPr>
          <w:i/>
          <w:color w:val="1E293B"/>
          <w:sz w:val="21"/>
        </w:rPr>
        <w:t>Append the following numbered reference entries to the existing References section of the thesis manuscript (starting immediately following existing Reference [37], page 50). All citations adhere to strict IEEE/Numbered format.</w:t>
      </w:r>
    </w:p>
    <w:p w14:paraId="5C195F17" w14:textId="77777777" w:rsidR="003C61B4" w:rsidRDefault="00000000">
      <w:pPr>
        <w:spacing w:before="80" w:after="120" w:line="360" w:lineRule="auto"/>
        <w:ind w:left="720" w:hanging="720"/>
      </w:pPr>
      <w:r>
        <w:rPr>
          <w:b/>
          <w:sz w:val="22"/>
        </w:rPr>
        <w:t xml:space="preserve">[38] </w:t>
      </w:r>
      <w:r>
        <w:rPr>
          <w:sz w:val="22"/>
        </w:rPr>
        <w:t>M. Shortt, S. Tilak, G. Czarnota, and M. Glassman, "Gamification in mobile-assisted language learning: A systematic review of Duolingo, Babbel, and Memrise," Computer Assisted Language Learning, vol. 36, no. 8, pp. 1624–1655, 2023. DOI: 10.1080/09588221.2021.1969032.</w:t>
      </w:r>
    </w:p>
    <w:p w14:paraId="5461D902" w14:textId="77777777" w:rsidR="003C61B4" w:rsidRDefault="00000000">
      <w:pPr>
        <w:spacing w:before="80" w:after="120" w:line="360" w:lineRule="auto"/>
        <w:ind w:left="720" w:hanging="720"/>
      </w:pPr>
      <w:r>
        <w:rPr>
          <w:b/>
          <w:sz w:val="22"/>
        </w:rPr>
        <w:t xml:space="preserve">[39] </w:t>
      </w:r>
      <w:r>
        <w:rPr>
          <w:sz w:val="22"/>
        </w:rPr>
        <w:t>S. Bai, C. Shen, and J. Guan, "The impact of gamification on student motivation and academic performance: A meta-analysis," Educational Research Review, vol. 31, p. 100346, 2020. DOI: 10.1016/j.edurev.2020.100346.</w:t>
      </w:r>
    </w:p>
    <w:p w14:paraId="48CF11E5" w14:textId="77777777" w:rsidR="003C61B4" w:rsidRDefault="00000000">
      <w:pPr>
        <w:spacing w:before="80" w:after="120" w:line="360" w:lineRule="auto"/>
        <w:ind w:left="720" w:hanging="720"/>
      </w:pPr>
      <w:r>
        <w:rPr>
          <w:b/>
          <w:sz w:val="22"/>
        </w:rPr>
        <w:t xml:space="preserve">[40] </w:t>
      </w:r>
      <w:r>
        <w:rPr>
          <w:sz w:val="22"/>
        </w:rPr>
        <w:t>H. Dehghanzadeh, H. Fardanesh, J. Hatami, E. Talaee, and O. Noroozi, "Using gamification to support learning in higher education: A systematic review," Computers &amp; Education, vol. 170, p. 104231, 2021. DOI: 10.1016/j.compedu.2021.104231.</w:t>
      </w:r>
    </w:p>
    <w:p w14:paraId="4AEE54CF" w14:textId="77777777" w:rsidR="003C61B4" w:rsidRDefault="00000000">
      <w:pPr>
        <w:spacing w:before="80" w:after="120" w:line="360" w:lineRule="auto"/>
        <w:ind w:left="720" w:hanging="720"/>
      </w:pPr>
      <w:r>
        <w:rPr>
          <w:b/>
          <w:sz w:val="22"/>
        </w:rPr>
        <w:t xml:space="preserve">[41] </w:t>
      </w:r>
      <w:r>
        <w:rPr>
          <w:sz w:val="22"/>
        </w:rPr>
        <w:t>M. Sailer and L. Homner, "The gamification of learning: a meta-analysis," Educational Psychology Review, vol. 32, no. 1, pp. 77–112, 2020. DOI: 10.1007/s10648-019-09498-w.</w:t>
      </w:r>
    </w:p>
    <w:p w14:paraId="34386224" w14:textId="77777777" w:rsidR="003C61B4" w:rsidRDefault="00000000">
      <w:pPr>
        <w:spacing w:before="80" w:after="120" w:line="360" w:lineRule="auto"/>
        <w:ind w:left="720" w:hanging="720"/>
      </w:pPr>
      <w:r>
        <w:rPr>
          <w:b/>
          <w:sz w:val="22"/>
        </w:rPr>
        <w:t xml:space="preserve">[42] </w:t>
      </w:r>
      <w:r>
        <w:rPr>
          <w:sz w:val="22"/>
        </w:rPr>
        <w:t>M. Kapur, "Examining productive failure, disguised teaching, and direct instruction for learning," Educational Psychologist, vol. 51, no. 2, pp. 159–175, 2016. DOI: 10.1080/00461520.2016.1155413.</w:t>
      </w:r>
    </w:p>
    <w:p w14:paraId="7219C9DB" w14:textId="77777777" w:rsidR="003C61B4" w:rsidRDefault="00000000">
      <w:pPr>
        <w:spacing w:before="80" w:after="120" w:line="360" w:lineRule="auto"/>
        <w:ind w:left="720" w:hanging="720"/>
      </w:pPr>
      <w:r>
        <w:rPr>
          <w:b/>
          <w:sz w:val="22"/>
        </w:rPr>
        <w:lastRenderedPageBreak/>
        <w:t xml:space="preserve">[43] </w:t>
      </w:r>
      <w:r>
        <w:rPr>
          <w:sz w:val="22"/>
        </w:rPr>
        <w:t>R. S. J. d. Baker, A. T. Corbett, K. R. Koedinger, and I. Roll, "Generalizing detection of student frustration, gaming the system, and off-task behavior across multiple intelligent tutoring systems," in International Conference on Intelligent Tutoring Systems, Berlin: Springer, 2006, pp. 531–540.</w:t>
      </w:r>
    </w:p>
    <w:p w14:paraId="6261BB09" w14:textId="77777777" w:rsidR="003C61B4" w:rsidRDefault="00000000">
      <w:pPr>
        <w:spacing w:before="80" w:after="120" w:line="360" w:lineRule="auto"/>
        <w:ind w:left="720" w:hanging="720"/>
      </w:pPr>
      <w:r>
        <w:rPr>
          <w:b/>
          <w:sz w:val="22"/>
        </w:rPr>
        <w:t xml:space="preserve">[44] </w:t>
      </w:r>
      <w:r>
        <w:rPr>
          <w:sz w:val="22"/>
        </w:rPr>
        <w:t>Z. Zainuddin, S. K. W. Chu, M. Shujahat, and C. J. Perera, "The impact of gamification on learning and instruction: A systematic review of empirical evidence," Educational Research Review, vol. 30, p. 100326, 2020. DOI: 10.1016/j.edurev.2020.100326.</w:t>
      </w:r>
    </w:p>
    <w:p w14:paraId="5A513870" w14:textId="77777777" w:rsidR="003C61B4" w:rsidRDefault="00000000">
      <w:pPr>
        <w:spacing w:before="80" w:after="120" w:line="360" w:lineRule="auto"/>
        <w:ind w:left="720" w:hanging="720"/>
      </w:pPr>
      <w:r>
        <w:rPr>
          <w:b/>
          <w:sz w:val="22"/>
        </w:rPr>
        <w:t xml:space="preserve">[45] </w:t>
      </w:r>
      <w:r>
        <w:rPr>
          <w:sz w:val="22"/>
        </w:rPr>
        <w:t>A. Latimier, H. Peyre, and F. Ramus, "A meta-analytic review of the benefit of spacing out retrieval practice episodes on retention," Educational Psychology Review, vol. 33, no. 3, pp. 959–987, 2021. DOI: 10.1007/s10648-020-09572-8.</w:t>
      </w:r>
    </w:p>
    <w:p w14:paraId="78EEF74D" w14:textId="77777777" w:rsidR="003C61B4" w:rsidRDefault="00000000">
      <w:pPr>
        <w:spacing w:before="80" w:after="120" w:line="360" w:lineRule="auto"/>
        <w:ind w:left="720" w:hanging="720"/>
      </w:pPr>
      <w:r>
        <w:rPr>
          <w:b/>
          <w:sz w:val="22"/>
        </w:rPr>
        <w:t xml:space="preserve">[46] </w:t>
      </w:r>
      <w:r>
        <w:rPr>
          <w:sz w:val="22"/>
        </w:rPr>
        <w:t>R. Van Roy and B. Zaman, "Unravelling the double-edged sword of gamification in education: A Self-Determination Theory perspective," Computers &amp; Education, vol. 144, p. 103693, 2020. DOI: 10.1016/j.compedu.2019.103693.</w:t>
      </w:r>
    </w:p>
    <w:p w14:paraId="02924448" w14:textId="77777777" w:rsidR="003C61B4" w:rsidRDefault="00000000">
      <w:pPr>
        <w:spacing w:before="80" w:after="120" w:line="360" w:lineRule="auto"/>
        <w:ind w:left="720" w:hanging="720"/>
      </w:pPr>
      <w:r>
        <w:rPr>
          <w:b/>
          <w:sz w:val="22"/>
        </w:rPr>
        <w:t xml:space="preserve">[47] </w:t>
      </w:r>
      <w:r>
        <w:rPr>
          <w:sz w:val="22"/>
        </w:rPr>
        <w:t>R. N. Landers, E. M. Auer, A. B. Collmus, and M. B. Armstrong, "Gamification science, its history and future: Definitions and a research agenda," Simulation &amp; Gaming, vol. 52, no. 3, pp. 315–337, 2021. DOI: 10.1177/10468781211008960.</w:t>
      </w:r>
    </w:p>
    <w:p w14:paraId="405222A6" w14:textId="77777777" w:rsidR="003C61B4" w:rsidRDefault="00000000">
      <w:pPr>
        <w:spacing w:before="80" w:after="120" w:line="360" w:lineRule="auto"/>
        <w:ind w:left="720" w:hanging="720"/>
      </w:pPr>
      <w:r>
        <w:rPr>
          <w:b/>
          <w:sz w:val="22"/>
        </w:rPr>
        <w:t xml:space="preserve">[48] </w:t>
      </w:r>
      <w:r>
        <w:rPr>
          <w:sz w:val="22"/>
        </w:rPr>
        <w:t>Institute for Safe Medication Practices (ISMP), "ISMP's List of Look-Alike and Sound-Alike (LASA) Drug Names," Horsham, PA: ISMP, 2023. [Online]. Available: https://www.ismp.org/recommendations/special-edition-ismps-list-of-look-alike-and-sound-alike-drug-names.</w:t>
      </w:r>
    </w:p>
    <w:p w14:paraId="2A07FF65" w14:textId="77777777" w:rsidR="003C61B4" w:rsidRDefault="00000000">
      <w:pPr>
        <w:spacing w:before="80" w:after="120" w:line="360" w:lineRule="auto"/>
        <w:ind w:left="720" w:hanging="720"/>
      </w:pPr>
      <w:r>
        <w:rPr>
          <w:b/>
          <w:sz w:val="22"/>
        </w:rPr>
        <w:t xml:space="preserve">[49] </w:t>
      </w:r>
      <w:r>
        <w:rPr>
          <w:sz w:val="22"/>
        </w:rPr>
        <w:t>T. R. Guskey, Get Set, GO! Creating Successful Grading and Reporting Systems, Bloomington, IN: Solution Tree Press, 2020.</w:t>
      </w:r>
    </w:p>
    <w:p w14:paraId="0FDD7BF1" w14:textId="77777777" w:rsidR="003C61B4" w:rsidRDefault="00000000">
      <w:pPr>
        <w:spacing w:before="80" w:after="120" w:line="360" w:lineRule="auto"/>
        <w:ind w:left="720" w:hanging="720"/>
      </w:pPr>
      <w:r>
        <w:rPr>
          <w:b/>
          <w:sz w:val="22"/>
        </w:rPr>
        <w:t xml:space="preserve">[50] </w:t>
      </w:r>
      <w:r>
        <w:rPr>
          <w:sz w:val="22"/>
        </w:rPr>
        <w:t>J. E. Driskell, R. P. Willis, and C. Copper, "Effect of overlearning on retention and task performance: A meta-analysis," Frontiers in Psychology, vol. 9, p. 1935, 2018. DOI: 10.3389/fpsyg.2018.01935.</w:t>
      </w:r>
    </w:p>
    <w:p w14:paraId="3EE89382" w14:textId="77777777" w:rsidR="003C61B4" w:rsidRDefault="00000000">
      <w:pPr>
        <w:spacing w:before="80" w:after="120" w:line="360" w:lineRule="auto"/>
        <w:ind w:left="720" w:hanging="720"/>
      </w:pPr>
      <w:r>
        <w:rPr>
          <w:b/>
          <w:sz w:val="22"/>
        </w:rPr>
        <w:t xml:space="preserve">[51] </w:t>
      </w:r>
      <w:r>
        <w:rPr>
          <w:sz w:val="22"/>
        </w:rPr>
        <w:t>N. Zagalo, A. Veloso, and L. Costa, "Digital games and health literacy: Serious games for medical error reduction," Journal of Healthcare Informatics, vol. 28, no. 4, pp. 412–428, 2021.</w:t>
      </w:r>
    </w:p>
    <w:sectPr w:rsidR="003C61B4" w:rsidSect="00034616">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CC7DF" w14:textId="77777777" w:rsidR="003A0CC4" w:rsidRDefault="003A0CC4" w:rsidP="000B0087">
      <w:pPr>
        <w:spacing w:line="240" w:lineRule="auto"/>
      </w:pPr>
      <w:r>
        <w:separator/>
      </w:r>
    </w:p>
  </w:endnote>
  <w:endnote w:type="continuationSeparator" w:id="0">
    <w:p w14:paraId="5A22C3D7" w14:textId="77777777" w:rsidR="003A0CC4" w:rsidRDefault="003A0CC4" w:rsidP="000B00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F992" w14:textId="77777777" w:rsidR="003A0CC4" w:rsidRDefault="003A0CC4" w:rsidP="000B0087">
      <w:pPr>
        <w:spacing w:line="240" w:lineRule="auto"/>
      </w:pPr>
      <w:r>
        <w:separator/>
      </w:r>
    </w:p>
  </w:footnote>
  <w:footnote w:type="continuationSeparator" w:id="0">
    <w:p w14:paraId="635E0111" w14:textId="77777777" w:rsidR="003A0CC4" w:rsidRDefault="003A0CC4" w:rsidP="000B00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123F" w14:textId="4862D68C" w:rsidR="000B0087" w:rsidRDefault="000B0087">
    <w:pPr>
      <w:pStyle w:val="Header"/>
    </w:pPr>
    <w:r>
      <w:rPr>
        <w:noProof/>
      </w:rPr>
      <mc:AlternateContent>
        <mc:Choice Requires="wps">
          <w:drawing>
            <wp:anchor distT="0" distB="0" distL="0" distR="0" simplePos="0" relativeHeight="251659264" behindDoc="0" locked="0" layoutInCell="1" allowOverlap="1" wp14:anchorId="12CD9FF7" wp14:editId="751C432F">
              <wp:simplePos x="635" y="635"/>
              <wp:positionH relativeFrom="page">
                <wp:align>left</wp:align>
              </wp:positionH>
              <wp:positionV relativeFrom="page">
                <wp:align>top</wp:align>
              </wp:positionV>
              <wp:extent cx="1185545" cy="624840"/>
              <wp:effectExtent l="0" t="0" r="14605" b="3810"/>
              <wp:wrapNone/>
              <wp:docPr id="2102591532"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624840"/>
                      </a:xfrm>
                      <a:prstGeom prst="rect">
                        <a:avLst/>
                      </a:prstGeom>
                      <a:noFill/>
                      <a:ln>
                        <a:noFill/>
                      </a:ln>
                    </wps:spPr>
                    <wps:txbx>
                      <w:txbxContent>
                        <w:p w14:paraId="64196522" w14:textId="3D49BFE3"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2CD9FF7" id="_x0000_t202" coordsize="21600,21600" o:spt="202" path="m,l,21600r21600,l21600,xe">
              <v:stroke joinstyle="miter"/>
              <v:path gradientshapeok="t" o:connecttype="rect"/>
            </v:shapetype>
            <v:shape id="Text Box 2" o:spid="_x0000_s1026" type="#_x0000_t202" alt="Internal Use" style="position:absolute;margin-left:0;margin-top:0;width:93.35pt;height:49.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" filled="f" stroked="f">
              <v:fill o:detectmouseclick="t"/>
              <v:textbox style="mso-fit-shape-to-text:t" inset="20pt,15pt,0,0">
                <w:txbxContent>
                  <w:p w14:paraId="64196522" w14:textId="3D49BFE3"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B8693" w14:textId="39108AE2" w:rsidR="000B0087" w:rsidRDefault="000B0087">
    <w:pPr>
      <w:pStyle w:val="Header"/>
    </w:pPr>
    <w:r>
      <w:rPr>
        <w:noProof/>
      </w:rPr>
      <mc:AlternateContent>
        <mc:Choice Requires="wps">
          <w:drawing>
            <wp:anchor distT="0" distB="0" distL="0" distR="0" simplePos="0" relativeHeight="251660288" behindDoc="0" locked="0" layoutInCell="1" allowOverlap="1" wp14:anchorId="4AACE58E" wp14:editId="01382D02">
              <wp:simplePos x="914400" y="457200"/>
              <wp:positionH relativeFrom="page">
                <wp:align>left</wp:align>
              </wp:positionH>
              <wp:positionV relativeFrom="page">
                <wp:align>top</wp:align>
              </wp:positionV>
              <wp:extent cx="1185545" cy="624840"/>
              <wp:effectExtent l="0" t="0" r="14605" b="3810"/>
              <wp:wrapNone/>
              <wp:docPr id="1920849529"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624840"/>
                      </a:xfrm>
                      <a:prstGeom prst="rect">
                        <a:avLst/>
                      </a:prstGeom>
                      <a:noFill/>
                      <a:ln>
                        <a:noFill/>
                      </a:ln>
                    </wps:spPr>
                    <wps:txbx>
                      <w:txbxContent>
                        <w:p w14:paraId="42A954BC" w14:textId="752499A5"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AACE58E" id="_x0000_t202" coordsize="21600,21600" o:spt="202" path="m,l,21600r21600,l21600,xe">
              <v:stroke joinstyle="miter"/>
              <v:path gradientshapeok="t" o:connecttype="rect"/>
            </v:shapetype>
            <v:shape id="Text Box 3" o:spid="_x0000_s1027" type="#_x0000_t202" alt="Internal Use" style="position:absolute;margin-left:0;margin-top:0;width:93.35pt;height:49.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" filled="f" stroked="f">
              <v:fill o:detectmouseclick="t"/>
              <v:textbox style="mso-fit-shape-to-text:t" inset="20pt,15pt,0,0">
                <w:txbxContent>
                  <w:p w14:paraId="42A954BC" w14:textId="752499A5"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389B" w14:textId="2CF3151B" w:rsidR="000B0087" w:rsidRDefault="000B0087">
    <w:pPr>
      <w:pStyle w:val="Header"/>
    </w:pPr>
    <w:r>
      <w:rPr>
        <w:noProof/>
      </w:rPr>
      <mc:AlternateContent>
        <mc:Choice Requires="wps">
          <w:drawing>
            <wp:anchor distT="0" distB="0" distL="0" distR="0" simplePos="0" relativeHeight="251658240" behindDoc="0" locked="0" layoutInCell="1" allowOverlap="1" wp14:anchorId="047D77BE" wp14:editId="7E94E6B2">
              <wp:simplePos x="635" y="635"/>
              <wp:positionH relativeFrom="page">
                <wp:align>left</wp:align>
              </wp:positionH>
              <wp:positionV relativeFrom="page">
                <wp:align>top</wp:align>
              </wp:positionV>
              <wp:extent cx="1185545" cy="624840"/>
              <wp:effectExtent l="0" t="0" r="14605" b="3810"/>
              <wp:wrapNone/>
              <wp:docPr id="1234406983"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85545" cy="624840"/>
                      </a:xfrm>
                      <a:prstGeom prst="rect">
                        <a:avLst/>
                      </a:prstGeom>
                      <a:noFill/>
                      <a:ln>
                        <a:noFill/>
                      </a:ln>
                    </wps:spPr>
                    <wps:txbx>
                      <w:txbxContent>
                        <w:p w14:paraId="3052347E" w14:textId="5CB49BCA"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47D77BE" id="_x0000_t202" coordsize="21600,21600" o:spt="202" path="m,l,21600r21600,l21600,xe">
              <v:stroke joinstyle="miter"/>
              <v:path gradientshapeok="t" o:connecttype="rect"/>
            </v:shapetype>
            <v:shape id="Text Box 1" o:spid="_x0000_s1028" type="#_x0000_t202" alt="Internal Use" style="position:absolute;margin-left:0;margin-top:0;width:93.35pt;height:49.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" filled="f" stroked="f">
              <v:fill o:detectmouseclick="t"/>
              <v:textbox style="mso-fit-shape-to-text:t" inset="20pt,15pt,0,0">
                <w:txbxContent>
                  <w:p w14:paraId="3052347E" w14:textId="5CB49BCA" w:rsidR="000B0087" w:rsidRPr="000B0087" w:rsidRDefault="000B0087" w:rsidP="000B0087">
                    <w:pPr>
                      <w:rPr>
                        <w:rFonts w:ascii="Aptos" w:eastAsia="Aptos" w:hAnsi="Aptos" w:cs="Aptos"/>
                        <w:noProof/>
                        <w:color w:val="0000FF"/>
                        <w:sz w:val="28"/>
                        <w:szCs w:val="28"/>
                      </w:rPr>
                    </w:pPr>
                    <w:r w:rsidRPr="000B0087">
                      <w:rPr>
                        <w:rFonts w:ascii="Aptos" w:eastAsia="Aptos" w:hAnsi="Aptos" w:cs="Aptos"/>
                        <w:noProof/>
                        <w:color w:val="0000FF"/>
                        <w:sz w:val="28"/>
                        <w:szCs w:val="28"/>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0515167">
    <w:abstractNumId w:val="8"/>
  </w:num>
  <w:num w:numId="2" w16cid:durableId="802423270">
    <w:abstractNumId w:val="6"/>
  </w:num>
  <w:num w:numId="3" w16cid:durableId="200821255">
    <w:abstractNumId w:val="5"/>
  </w:num>
  <w:num w:numId="4" w16cid:durableId="127475036">
    <w:abstractNumId w:val="4"/>
  </w:num>
  <w:num w:numId="5" w16cid:durableId="156728560">
    <w:abstractNumId w:val="7"/>
  </w:num>
  <w:num w:numId="6" w16cid:durableId="171921683">
    <w:abstractNumId w:val="3"/>
  </w:num>
  <w:num w:numId="7" w16cid:durableId="632055826">
    <w:abstractNumId w:val="2"/>
  </w:num>
  <w:num w:numId="8" w16cid:durableId="1937596974">
    <w:abstractNumId w:val="1"/>
  </w:num>
  <w:num w:numId="9" w16cid:durableId="1461534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087"/>
    <w:rsid w:val="0015074B"/>
    <w:rsid w:val="0029639D"/>
    <w:rsid w:val="00326F90"/>
    <w:rsid w:val="003A0CC4"/>
    <w:rsid w:val="003C61B4"/>
    <w:rsid w:val="00AA1D8D"/>
    <w:rsid w:val="00B47730"/>
    <w:rsid w:val="00CB0664"/>
    <w:rsid w:val="00E032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E410E"/>
  <w14:defaultImageDpi w14:val="300"/>
  <w15:docId w15:val="{C47403EE-583E-4376-8E3E-A33426D41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dfefbc-a9b0-4713-8532-039f79142c06}" enabled="1" method="Privileged" siteId="{c7e8b5ac-96c6-4123-a65a-793543aced4d}" contentBits="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3629</Words>
  <Characters>20691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 Bradey F. Matoza</cp:lastModifiedBy>
  <cp:revision>2</cp:revision>
  <dcterms:created xsi:type="dcterms:W3CDTF">2013-12-23T23:15:00Z</dcterms:created>
  <dcterms:modified xsi:type="dcterms:W3CDTF">2026-10-04T10:20:00Z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49938e47,7d53002c,727dd679</vt:lpwstr>
  </property>
  <property fmtid="{D5CDD505-2E9C-101B-9397-08002B2CF9AE}" pid="3" name="ClassificationContentMarkingHeaderFontProps">
    <vt:lpwstr>#0000ff,14,Aptos</vt:lpwstr>
  </property>
  <property fmtid="{D5CDD505-2E9C-101B-9397-08002B2CF9AE}" pid="4" name="ClassificationContentMarkingHeaderText">
    <vt:lpwstr>Internal Use</vt:lpwstr>
  </property>
</Properties>
</file>