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2025-04-13</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bookmarkEnd w:id="21"/>
    <w:bookmarkStart w:id="24"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3"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2">
        <w:r>
          <w:rPr>
            <w:rStyle w:val="Hyperlink"/>
          </w:rPr>
          <w:t xml:space="preserve">github page</w:t>
        </w:r>
      </w:hyperlink>
      <w:r>
        <w:t xml:space="preserve">.</w:t>
      </w:r>
    </w:p>
    <w:bookmarkEnd w:id="23"/>
    <w:bookmarkEnd w:id="24"/>
    <w:bookmarkStart w:id="25" w:name="results"/>
    <w:p>
      <w:pPr>
        <w:pStyle w:val="Heading2"/>
      </w:pPr>
      <w:r>
        <w:t xml:space="preserve">3 Results</w:t>
      </w:r>
    </w:p>
    <w:p>
      <w:pPr>
        <w:pStyle w:val="FirstParagraph"/>
      </w:pPr>
      <w:r>
        <w:t xml:space="preserve">The first stage of the clinical trial was designed to assess the feasibility and safety of the experimental approach.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 ## Conclusion</w:t>
      </w:r>
    </w:p>
    <w:bookmarkEnd w:id="25"/>
    <w:bookmarkStart w:id="37" w:name="figures"/>
    <w:p>
      <w:pPr>
        <w:pStyle w:val="Heading2"/>
      </w:pPr>
      <w:r>
        <w:t xml:space="preserve">4 Figures</w:t>
      </w:r>
    </w:p>
    <w:bookmarkStart w:id="30" w:name="cell-fig-pl-open"/>
    <w:tbl>
      <w:tblPr>
        <w:tblStyle w:val="Table"/>
        <w:tblW w:type="pct" w:w="5000"/>
        <w:tblLayout w:type="fixed"/>
        <w:tblLook w:firstRow="0" w:lastRow="0" w:firstColumn="0" w:lastColumn="0" w:noHBand="0" w:noVBand="0" w:val="0000"/>
      </w:tblPr>
      <w:tblGrid>
        <w:gridCol w:w="7920"/>
      </w:tblGrid>
      <w:tr>
        <w:tc>
          <w:tcPr/>
          <w:bookmarkStart w:id="29" w:name="fig-pl-open"/>
          <w:p>
            <w:pPr>
              <w:pStyle w:val="Compact"/>
              <w:jc w:val="center"/>
            </w:pPr>
            <w:r>
              <w:drawing>
                <wp:inline>
                  <wp:extent cx="5334000" cy="4267200"/>
                  <wp:effectExtent b="0" l="0" r="0" t="0"/>
                  <wp:docPr descr="" title="" id="27" name="Picture"/>
                  <a:graphic>
                    <a:graphicData uri="http://schemas.openxmlformats.org/drawingml/2006/picture">
                      <pic:pic>
                        <pic:nvPicPr>
                          <pic:cNvPr descr="index_files/figure-docx/fig-pl-open-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29"/>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0"/>
    <w:bookmarkStart w:id="36" w:name="cell-fig-bmi"/>
    <w:tbl>
      <w:tblPr>
        <w:tblStyle w:val="Table"/>
        <w:tblW w:type="pct" w:w="5000"/>
        <w:tblLayout w:type="fixed"/>
        <w:tblLook w:firstRow="0" w:lastRow="0" w:firstColumn="0" w:lastColumn="0" w:noHBand="0" w:noVBand="0" w:val="0000"/>
      </w:tblPr>
      <w:tblGrid>
        <w:gridCol w:w="7920"/>
      </w:tblGrid>
      <w:tr>
        <w:tc>
          <w:tcPr/>
          <w:bookmarkStart w:id="35" w:name="fig-bmi"/>
          <w:p>
            <w:pPr>
              <w:pStyle w:val="Compact"/>
              <w:jc w:val="center"/>
            </w:pPr>
            <w:bookmarkStart w:id="34" w:name="fig-bmi"/>
            <w:r>
              <w:drawing>
                <wp:inline>
                  <wp:extent cx="5334000" cy="4267200"/>
                  <wp:effectExtent b="0" l="0" r="0" t="0"/>
                  <wp:docPr descr="" title="" id="32" name="Picture"/>
                  <a:graphic>
                    <a:graphicData uri="http://schemas.openxmlformats.org/drawingml/2006/picture">
                      <pic:pic>
                        <pic:nvPicPr>
                          <pic:cNvPr descr="index_files/figure-docx/fig-bmi-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bookmarkEnd w:id="34"/>
          </w:p>
          <w:p>
            <w:pPr>
              <w:jc w:val="center"/>
            </w:pPr>
            <w:pPr>
              <w:jc w:val="start"/>
              <w:spacing w:before="200"/>
              <w:pStyle w:val="ImageCaption"/>
            </w:pPr>
            <w:r>
              <w:t xml:space="preserve">Figure 2</w:t>
            </w:r>
          </w:p>
          <w:bookmarkEnd w:id="3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6"/>
    <w:bookmarkEnd w:id="37"/>
    <w:bookmarkStart w:id="39" w:name="tables"/>
    <w:p>
      <w:pPr>
        <w:pStyle w:val="Heading2"/>
      </w:pPr>
      <w:r>
        <w:t xml:space="preserve">5 Tables</w:t>
      </w:r>
    </w:p>
    <w:tbl>
      <w:tblPr>
        <w:tblStyle w:val="Table"/>
        <w:tblW w:type="pct" w:w="5000"/>
        <w:tblLayout w:type="fixed"/>
        <w:tblLook w:firstRow="0" w:lastRow="0" w:firstColumn="0" w:lastColumn="0" w:noHBand="0" w:noVBand="0" w:val="0000"/>
      </w:tblPr>
      <w:tblGrid>
        <w:gridCol w:w="7920"/>
      </w:tblGrid>
      <w:tr>
        <w:tc>
          <w:tcPr/>
          <w:bookmarkStart w:id="38"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Chi-squared test; Wilcoxon rank sum test</w:t>
                  </w:r>
                </w:p>
              </w:tc>
            </w:tr>
          </w:tbl>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Start w:id="40" w:name="acknowledgements"/>
    <w:p>
      <w:pPr>
        <w:pStyle w:val="Heading2"/>
      </w:pPr>
      <w:r>
        <w:t xml:space="preserve">6 Acknowledgements</w:t>
      </w:r>
    </w:p>
    <w:bookmarkEnd w:id="40"/>
    <w:bookmarkStart w:id="44" w:name="references"/>
    <w:p>
      <w:pPr>
        <w:pStyle w:val="Heading2"/>
      </w:pPr>
      <w:r>
        <w:t xml:space="preserve">References</w:t>
      </w:r>
    </w:p>
    <w:bookmarkStart w:id="43" w:name="refs"/>
    <w:bookmarkStart w:id="42"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1">
        <w:r>
          <w:rPr>
            <w:rStyle w:val="Hyperlink"/>
          </w:rPr>
          <w:t xml:space="preserve">https://doi.org/10.1093/oxfordjournals.eurheartj.a059476</w:t>
        </w:r>
      </w:hyperlink>
      <w:r>
        <w:t xml:space="preserve">.</w:t>
      </w:r>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41" Target="https://doi.org/10.1093/oxfordjournals.eurheartj.a059476"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oxfordjournals.eurheartj.a059476"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2025-04-13T20:07:58Z</dcterms:created>
  <dcterms:modified xsi:type="dcterms:W3CDTF">2025-04-13T20:07:58Z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