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42"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Start w:id="41" w:name="cell-fig-surv"/>
    <w:tbl>
      <w:tblPr>
        <w:tblStyle w:val="Table"/>
        <w:tblW w:type="pct" w:w="5000"/>
        <w:tblLayout w:type="fixed"/>
        <w:tblLook w:firstRow="0" w:lastRow="0" w:firstColumn="0" w:lastColumn="0" w:noHBand="0" w:noVBand="0" w:val="0000"/>
      </w:tblPr>
      <w:tblGrid>
        <w:gridCol w:w="7920"/>
      </w:tblGrid>
      <w:tr>
        <w:tc>
          <w:tcPr/>
          <w:bookmarkStart w:id="40" w:name="fig-surv"/>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surv-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Discharge probability</w:t>
            </w:r>
          </w:p>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End w:id="42"/>
    <w:bookmarkStart w:id="44"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43"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4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4"/>
    <w:bookmarkStart w:id="45"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5"/>
    <w:bookmarkStart w:id="46"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6"/>
    <w:bookmarkStart w:id="52" w:name="references"/>
    <w:p>
      <w:pPr>
        <w:pStyle w:val="Heading2"/>
      </w:pPr>
      <w:r>
        <w:t xml:space="preserve">References</w:t>
      </w:r>
    </w:p>
    <w:bookmarkStart w:id="51" w:name="refs"/>
    <w:bookmarkStart w:id="48"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7">
        <w:r>
          <w:rPr>
            <w:rStyle w:val="Hyperlink"/>
          </w:rPr>
          <w:t xml:space="preserve">https://doi.org/10.1093/oxfordjournals.eurheartj.a059476</w:t>
        </w:r>
      </w:hyperlink>
      <w:r>
        <w:t xml:space="preserve">.</w:t>
      </w:r>
    </w:p>
    <w:bookmarkEnd w:id="48"/>
    <w:bookmarkStart w:id="50"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9">
        <w:r>
          <w:rPr>
            <w:rStyle w:val="Hyperlink"/>
          </w:rPr>
          <w:t xml:space="preserve">https://doi.org/10.1111/j.1540-8191.2008.00734.x</w:t>
        </w:r>
      </w:hyperlink>
      <w:r>
        <w:t xml:space="preserve">.</w:t>
      </w:r>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2025-04-14T11:17:13Z</dcterms:created>
  <dcterms:modified xsi:type="dcterms:W3CDTF">2025-04-14T11:17:13Z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