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 Trial On Pleural Cavity Opening During Median Sternotomy</w:t>
      </w:r>
    </w:p>
    <w:p>
      <w:pPr>
        <w:pStyle w:val="Author"/>
      </w:pPr>
      <w:r>
        <w:t xml:space="preserve">Rafik Margaryan, MD, PhD</w:t>
      </w:r>
    </w:p>
    <w:p>
      <w:pPr>
        <w:pStyle w:val="Author"/>
      </w:pPr>
      <w:r>
        <w:t xml:space="preserve">Giacomo Bianchi, MD, PhD</w:t>
      </w:r>
    </w:p>
    <w:p>
      <w:pPr>
        <w:pStyle w:val="Date"/>
      </w:pPr>
      <w:r>
        <w:t xml:space="preserve">2025-04-13</w:t>
      </w:r>
    </w:p>
    <w:p>
      <w:pPr>
        <w:pStyle w:val="AbstractTitle"/>
      </w:pPr>
      <w:r>
        <w:t xml:space="preserve">Abstract</w:t>
      </w:r>
    </w:p>
    <w:p>
      <w:pPr>
        <w:pStyle w:val="Abstract"/>
      </w:pPr>
      <w:r>
        <w:t xml:space="preserve">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w:t>
      </w:r>
    </w:p>
    <w:bookmarkStart w:id="20" w:name="introduction"/>
    <w:p>
      <w:pPr>
        <w:pStyle w:val="Heading2"/>
      </w:pPr>
      <w:r>
        <w:t xml:space="preserve">1 Introduction</w:t>
      </w:r>
    </w:p>
    <w:p>
      <w:pPr>
        <w:pStyle w:val="FirstParagraph"/>
      </w:pPr>
      <w:r>
        <w:t xml:space="preserve">The median sternotomy is a common surgical approach used in cardiac surgery. It provides access to the heart and great vessels, allowing for various procedures such as coronary artery bypass grafting (CABG), valve repair or replacement, and aortic surgery. However, one of the potential complications of median sternotomy is the opening of the pleural cavities, which can lead to postoperative complications such as pneumothorax, hemothorax, and respiratory distress.</w:t>
      </w:r>
    </w:p>
    <w:bookmarkEnd w:id="20"/>
    <w:bookmarkStart w:id="21" w:name="sec-data-methods"/>
    <w:p>
      <w:pPr>
        <w:pStyle w:val="Heading2"/>
      </w:pPr>
      <w:r>
        <w:t xml:space="preserve">2 Data &amp; Methods</w:t>
      </w:r>
    </w:p>
    <w:p>
      <w:pPr>
        <w:pStyle w:val="FirstParagraph"/>
      </w:pPr>
      <w:r>
        <w:t xml:space="preserve">Patients were randomly assigned to two groups: the experimental group, which underwent median sternotomy with lungs down 10 second and two thorax compression, and the control group without this maneuver. The primary outcome was the incidence of pleural cavity opening given two operators, hospital mortality. Secondary outcomes included length of hospital stay and postoperative pain from drenages. The data was collected from a single center and included demographic information, surgical details, and postoperative outcomes. The data was analyzed using statistical software to compare the outcomes between the two groups. ## Conclusion</w:t>
      </w:r>
    </w:p>
    <w:bookmarkEnd w:id="21"/>
    <w:bookmarkStart w:id="34" w:name="figures"/>
    <w:p>
      <w:pPr>
        <w:pStyle w:val="Heading2"/>
      </w:pPr>
      <w:r>
        <w:t xml:space="preserve">3 Figures</w:t>
      </w:r>
    </w:p>
    <w:tbl>
      <w:tblPr>
        <w:tblStyle w:val="Table"/>
        <w:tblW w:type="pct" w:w="5000"/>
        <w:tblLayout w:type="fixed"/>
        <w:tblLook w:firstRow="0" w:lastRow="0" w:firstColumn="0" w:lastColumn="0" w:noHBand="0" w:noVBand="0" w:val="0000"/>
      </w:tblPr>
      <w:tblGrid>
        <w:gridCol w:w="7920"/>
      </w:tblGrid>
      <w:tr>
        <w:tc>
          <w:tcPr/>
          <w:bookmarkStart w:id="26" w:name="fig-bmi-first-stage"/>
          <w:p>
            <w:pPr>
              <w:pStyle w:val="Compact"/>
              <w:jc w:val="center"/>
            </w:pPr>
            <w:bookmarkStart w:id="25" w:name="fig-bmi-first-stage"/>
            <w:r>
              <w:drawing>
                <wp:inline>
                  <wp:extent cx="5334000" cy="3810000"/>
                  <wp:effectExtent b="0" l="0" r="0" t="0"/>
                  <wp:docPr descr="" title="" id="23" name="Picture"/>
                  <a:graphic>
                    <a:graphicData uri="http://schemas.openxmlformats.org/drawingml/2006/picture">
                      <pic:pic>
                        <pic:nvPicPr>
                          <pic:cNvPr descr="index_files/figure-docx/notebooks-clinical_trial_first_stage-fig-bmi-first-stage-output-1.png" id="24" name="Picture"/>
                          <pic:cNvPicPr>
                            <a:picLocks noChangeArrowheads="1" noChangeAspect="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bookmarkEnd w:id="25"/>
          </w:p>
          <w:p>
            <w:pPr>
              <w:jc w:val="center"/>
            </w:pPr>
            <w:pPr>
              <w:jc w:val="start"/>
              <w:spacing w:before="200"/>
              <w:pStyle w:val="ImageCaption"/>
            </w:pPr>
            <w:r>
              <w:t xml:space="preserve">Figure 1</w:t>
            </w:r>
          </w:p>
          <w:bookmarkEnd w:id="26"/>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First Stage</w:t>
        </w:r>
      </w:hyperlink>
    </w:p>
    <w:tbl>
      <w:tblPr>
        <w:tblStyle w:val="Table"/>
        <w:tblW w:type="pct" w:w="5000"/>
        <w:tblLayout w:type="fixed"/>
        <w:tblLook w:firstRow="0" w:lastRow="0" w:firstColumn="0" w:lastColumn="0" w:noHBand="0" w:noVBand="0" w:val="0000"/>
      </w:tblPr>
      <w:tblGrid>
        <w:gridCol w:w="7920"/>
      </w:tblGrid>
      <w:tr>
        <w:tc>
          <w:tcPr/>
          <w:bookmarkStart w:id="32" w:name="fig-bmi-second-stage"/>
          <w:p>
            <w:pPr>
              <w:pStyle w:val="Compact"/>
              <w:jc w:val="center"/>
            </w:pPr>
            <w:bookmarkStart w:id="31" w:name="fig-bmi-second-stage"/>
            <w:r>
              <w:drawing>
                <wp:inline>
                  <wp:extent cx="5334000" cy="3810000"/>
                  <wp:effectExtent b="0" l="0" r="0" t="0"/>
                  <wp:docPr descr="" title="" id="29" name="Picture"/>
                  <a:graphic>
                    <a:graphicData uri="http://schemas.openxmlformats.org/drawingml/2006/picture">
                      <pic:pic>
                        <pic:nvPicPr>
                          <pic:cNvPr descr="index_files/figure-docx/notebooks-clinical_trial_second_stage-fig-bmi-second-stage-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bookmarkEnd w:id="31"/>
          </w:p>
          <w:p>
            <w:pPr>
              <w:jc w:val="center"/>
            </w:pPr>
            <w:pPr>
              <w:jc w:val="start"/>
              <w:spacing w:before="200"/>
              <w:pStyle w:val="ImageCaption"/>
            </w:pPr>
            <w:r>
              <w:t xml:space="preserve">Figure 2</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Second Stage</w:t>
        </w:r>
      </w:hyperlink>
    </w:p>
    <w:bookmarkEnd w:id="34"/>
    <w:bookmarkStart w:id="39" w:name="tables"/>
    <w:p>
      <w:pPr>
        <w:pStyle w:val="Heading2"/>
      </w:pPr>
      <w:r>
        <w:t xml:space="preserve">4 Tables</w:t>
      </w:r>
    </w:p>
    <w:tbl>
      <w:tblPr>
        <w:tblStyle w:val="Table"/>
        <w:tblW w:type="pct" w:w="5000"/>
        <w:tblLayout w:type="fixed"/>
        <w:tblLook w:firstRow="0" w:lastRow="0" w:firstColumn="0" w:lastColumn="0" w:noHBand="0" w:noVBand="0" w:val="0000"/>
      </w:tblPr>
      <w:tblGrid>
        <w:gridCol w:w="7920"/>
      </w:tblGrid>
      <w:tr>
        <w:tc>
          <w:tcPr/>
          <w:bookmarkStart w:id="35" w:name="tbl-demo-stage1"/>
          <w:p>
            <w:pPr>
              <w:jc w:val="center"/>
            </w:pPr>
            <w:pPr>
              <w:jc w:val="start"/>
              <w:spacing w:before="200"/>
              <w:pStyle w:val="ImageCaption"/>
            </w:pPr>
            <w:r>
              <w:t xml:space="preserve">Table 1: Demographics of the first stage</w:t>
            </w:r>
          </w:p>
          <w:tbl>
            <w:tblPr>
              <w:tblStyle w:val="Table"/>
              <w:tblW w:type="pct" w:w="4940"/>
              <w:tblLayout w:type="fixed"/>
              <w:tblLook w:firstRow="1" w:lastRow="0" w:firstColumn="0" w:lastColumn="0" w:noHBand="0" w:noVBand="0" w:val="0020"/>
            </w:tblPr>
            <w:tblGrid>
              <w:gridCol w:w="3912"/>
              <w:gridCol w:w="3912"/>
            </w:tblGrid>
            <w:tr>
              <w:trPr>
                <w:tblHeader w:val="on"/>
              </w:trPr>
              <w:tc>
                <w:tcPr/>
                <w:p>
                  <w:pPr>
                    <w:pStyle w:val="Compact"/>
                    <w:jc w:val="left"/>
                    <w:jc w:val="center"/>
                  </w:pPr>
                  <w:r>
                    <w:rPr>
                      <w:b/>
                      <w:bCs/>
                    </w:rPr>
                    <w:t xml:space="preserve">Characteristic</w:t>
                  </w:r>
                </w:p>
              </w:tc>
              <w:tc>
                <w:tcPr/>
                <w:p>
                  <w:pPr>
                    <w:pStyle w:val="Compact"/>
                    <w:jc w:val="left"/>
                    <w:jc w:val="center"/>
                  </w:pPr>
                  <w:r>
                    <w:rPr>
                      <w:b/>
                      <w:bCs/>
                    </w:rPr>
                    <w:t xml:space="preserve">N = 30</w:t>
                  </w:r>
                  <w:r>
                    <w:rPr>
                      <w:vertAlign w:val="superscript"/>
                    </w:rPr>
                    <w:t xml:space="preserve">1</w:t>
                  </w:r>
                </w:p>
              </w:tc>
            </w:tr>
            <w:tr>
              <w:tc>
                <w:tcPr/>
                <w:p>
                  <w:pPr>
                    <w:pStyle w:val="Compact"/>
                    <w:jc w:val="left"/>
                    <w:jc w:val="center"/>
                  </w:pPr>
                  <w:r>
                    <w:t xml:space="preserve">trt</w:t>
                  </w:r>
                </w:p>
              </w:tc>
              <w:tc>
                <w:tcPr/>
                <w:p>
                  <w:pPr>
                    <w:pStyle w:val="Compact"/>
                    <w:jc w:val="left"/>
                    <w:jc w:val="center"/>
                  </w:pPr>
                  <w:r>
                    <w:br/>
                  </w:r>
                </w:p>
              </w:tc>
            </w:tr>
            <w:tr>
              <w:tc>
                <w:tcPr/>
                <w:p>
                  <w:pPr>
                    <w:pStyle w:val="Compact"/>
                    <w:jc w:val="left"/>
                    <w:jc w:val="center"/>
                  </w:pPr>
                  <w:r>
                    <w:t xml:space="preserve">    case</w:t>
                  </w:r>
                </w:p>
              </w:tc>
              <w:tc>
                <w:tcPr/>
                <w:p>
                  <w:pPr>
                    <w:pStyle w:val="Compact"/>
                    <w:jc w:val="left"/>
                    <w:jc w:val="center"/>
                  </w:pPr>
                  <w:r>
                    <w:t xml:space="preserve">15 (50%)</w:t>
                  </w:r>
                </w:p>
              </w:tc>
            </w:tr>
            <w:tr>
              <w:tc>
                <w:tcPr/>
                <w:p>
                  <w:pPr>
                    <w:pStyle w:val="Compact"/>
                    <w:jc w:val="left"/>
                    <w:jc w:val="center"/>
                  </w:pPr>
                  <w:r>
                    <w:t xml:space="preserve">    control</w:t>
                  </w:r>
                </w:p>
              </w:tc>
              <w:tc>
                <w:tcPr/>
                <w:p>
                  <w:pPr>
                    <w:pStyle w:val="Compact"/>
                    <w:jc w:val="left"/>
                    <w:jc w:val="center"/>
                  </w:pPr>
                  <w:r>
                    <w:t xml:space="preserve">15 (50%)</w:t>
                  </w:r>
                </w:p>
              </w:tc>
            </w:tr>
            <w:tr>
              <w:tc>
                <w:tcPr/>
                <w:p>
                  <w:pPr>
                    <w:pStyle w:val="Compact"/>
                    <w:jc w:val="left"/>
                    <w:jc w:val="center"/>
                  </w:pPr>
                  <w:r>
                    <w:t xml:space="preserve">outcome</w:t>
                  </w:r>
                </w:p>
              </w:tc>
              <w:tc>
                <w:tcPr/>
                <w:p>
                  <w:pPr>
                    <w:pStyle w:val="Compact"/>
                    <w:jc w:val="left"/>
                    <w:jc w:val="center"/>
                  </w:pPr>
                  <w:r>
                    <w:br/>
                  </w:r>
                </w:p>
              </w:tc>
            </w:tr>
            <w:tr>
              <w:tc>
                <w:tcPr/>
                <w:p>
                  <w:pPr>
                    <w:pStyle w:val="Compact"/>
                    <w:jc w:val="left"/>
                    <w:jc w:val="center"/>
                  </w:pPr>
                  <w:r>
                    <w:t xml:space="preserve">    close</w:t>
                  </w:r>
                </w:p>
              </w:tc>
              <w:tc>
                <w:tcPr/>
                <w:p>
                  <w:pPr>
                    <w:pStyle w:val="Compact"/>
                    <w:jc w:val="left"/>
                    <w:jc w:val="center"/>
                  </w:pPr>
                  <w:r>
                    <w:t xml:space="preserve">17 (57%)</w:t>
                  </w:r>
                </w:p>
              </w:tc>
            </w:tr>
            <w:tr>
              <w:tc>
                <w:tcPr/>
                <w:p>
                  <w:pPr>
                    <w:pStyle w:val="Compact"/>
                    <w:jc w:val="left"/>
                    <w:jc w:val="center"/>
                  </w:pPr>
                  <w:r>
                    <w:t xml:space="preserve">    open</w:t>
                  </w:r>
                </w:p>
              </w:tc>
              <w:tc>
                <w:tcPr/>
                <w:p>
                  <w:pPr>
                    <w:pStyle w:val="Compact"/>
                    <w:jc w:val="left"/>
                    <w:jc w:val="center"/>
                  </w:pPr>
                  <w:r>
                    <w:t xml:space="preserve">13 (43%)</w:t>
                  </w:r>
                </w:p>
              </w:tc>
            </w:tr>
            <w:tr>
              <w:tc>
                <w:tcPr/>
                <w:p>
                  <w:pPr>
                    <w:pStyle w:val="Compact"/>
                    <w:jc w:val="left"/>
                    <w:jc w:val="center"/>
                  </w:pPr>
                  <w:r>
                    <w:t xml:space="preserve">bmi</w:t>
                  </w:r>
                </w:p>
              </w:tc>
              <w:tc>
                <w:tcPr/>
                <w:p>
                  <w:pPr>
                    <w:pStyle w:val="Compact"/>
                    <w:jc w:val="left"/>
                    <w:jc w:val="center"/>
                  </w:pPr>
                  <w:r>
                    <w:t xml:space="preserve">32 (26, 36)</w:t>
                  </w:r>
                </w:p>
              </w:tc>
            </w:tr>
            <w:tr>
              <w:tc>
                <w:tcPr/>
                <w:p>
                  <w:pPr>
                    <w:pStyle w:val="Compact"/>
                    <w:jc w:val="left"/>
                    <w:jc w:val="center"/>
                  </w:pPr>
                  <w:r>
                    <w:t xml:space="preserve">diabetis</w:t>
                  </w:r>
                </w:p>
              </w:tc>
              <w:tc>
                <w:tcPr/>
                <w:p>
                  <w:pPr>
                    <w:pStyle w:val="Compact"/>
                    <w:jc w:val="left"/>
                    <w:jc w:val="center"/>
                  </w:pPr>
                  <w:r>
                    <w:t xml:space="preserve">12 (40%)</w:t>
                  </w:r>
                </w:p>
              </w:tc>
            </w:tr>
            <w:tr>
              <w:tc>
                <w:tcPr/>
                <w:p>
                  <w:pPr>
                    <w:pStyle w:val="Compact"/>
                    <w:jc w:val="left"/>
                    <w:jc w:val="center"/>
                  </w:pPr>
                  <w:r>
                    <w:rPr>
                      <w:vertAlign w:val="superscript"/>
                    </w:rPr>
                    <w:t xml:space="preserve">1</w:t>
                  </w:r>
                  <w:r>
                    <w:t xml:space="preserve"> </w:t>
                  </w:r>
                  <w:r>
                    <w:t xml:space="preserve">n (%); Median (Q1, Q3)</w:t>
                  </w:r>
                </w:p>
              </w:tc>
              <w:tc>
                <w:tcPr/>
                <w:p>
                  <w:pPr>
                    <w:pStyle w:val="Compact"/>
                  </w:pPr>
                </w:p>
              </w:tc>
            </w:tr>
          </w:tbl>
          <w:bookmarkEnd w:id="35"/>
          <w:p/>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First Stage</w:t>
        </w:r>
      </w:hyperlink>
    </w:p>
    <w:tbl>
      <w:tblPr>
        <w:tblStyle w:val="Table"/>
        <w:tblW w:type="pct" w:w="5000"/>
        <w:tblLayout w:type="fixed"/>
        <w:tblLook w:firstRow="0" w:lastRow="0" w:firstColumn="0" w:lastColumn="0" w:noHBand="0" w:noVBand="0" w:val="0000"/>
      </w:tblPr>
      <w:tblGrid>
        <w:gridCol w:w="7920"/>
      </w:tblGrid>
      <w:tr>
        <w:tc>
          <w:tcPr/>
          <w:bookmarkStart w:id="37" w:name="tbl-demo-stage2"/>
          <w:p>
            <w:pPr>
              <w:jc w:val="center"/>
            </w:pPr>
            <w:pPr>
              <w:jc w:val="start"/>
              <w:spacing w:before="200"/>
              <w:pStyle w:val="ImageCaption"/>
            </w:pPr>
            <w:r>
              <w:t xml:space="preserve">Table 2: Demographics of the second stage stage</w:t>
            </w:r>
          </w:p>
          <w:tbl>
            <w:tblPr>
              <w:tblStyle w:val="Table"/>
              <w:tblW w:type="pct" w:w="4940"/>
              <w:tblLayout w:type="fixed"/>
              <w:tblLook w:firstRow="1" w:lastRow="0" w:firstColumn="0" w:lastColumn="0" w:noHBand="0" w:noVBand="0" w:val="0020"/>
            </w:tblPr>
            <w:tblGrid>
              <w:gridCol w:w="3912"/>
              <w:gridCol w:w="3912"/>
            </w:tblGrid>
            <w:tr>
              <w:trPr>
                <w:tblHeader w:val="on"/>
              </w:trPr>
              <w:tc>
                <w:tcPr/>
                <w:p>
                  <w:pPr>
                    <w:pStyle w:val="Compact"/>
                    <w:jc w:val="left"/>
                    <w:jc w:val="center"/>
                  </w:pPr>
                  <w:r>
                    <w:rPr>
                      <w:b/>
                      <w:bCs/>
                    </w:rPr>
                    <w:t xml:space="preserve">Characteristic</w:t>
                  </w:r>
                </w:p>
              </w:tc>
              <w:tc>
                <w:tcPr/>
                <w:p>
                  <w:pPr>
                    <w:pStyle w:val="Compact"/>
                    <w:jc w:val="left"/>
                    <w:jc w:val="center"/>
                  </w:pPr>
                  <w:r>
                    <w:rPr>
                      <w:b/>
                      <w:bCs/>
                    </w:rPr>
                    <w:t xml:space="preserve">N = 60</w:t>
                  </w:r>
                  <w:r>
                    <w:rPr>
                      <w:vertAlign w:val="superscript"/>
                    </w:rPr>
                    <w:t xml:space="preserve">1</w:t>
                  </w:r>
                </w:p>
              </w:tc>
            </w:tr>
            <w:tr>
              <w:tc>
                <w:tcPr/>
                <w:p>
                  <w:pPr>
                    <w:pStyle w:val="Compact"/>
                    <w:jc w:val="left"/>
                    <w:jc w:val="center"/>
                  </w:pPr>
                  <w:r>
                    <w:t xml:space="preserve">trt</w:t>
                  </w:r>
                </w:p>
              </w:tc>
              <w:tc>
                <w:tcPr/>
                <w:p>
                  <w:pPr>
                    <w:pStyle w:val="Compact"/>
                    <w:jc w:val="left"/>
                    <w:jc w:val="center"/>
                  </w:pPr>
                  <w:r>
                    <w:br/>
                  </w:r>
                </w:p>
              </w:tc>
            </w:tr>
            <w:tr>
              <w:tc>
                <w:tcPr/>
                <w:p>
                  <w:pPr>
                    <w:pStyle w:val="Compact"/>
                    <w:jc w:val="left"/>
                    <w:jc w:val="center"/>
                  </w:pPr>
                  <w:r>
                    <w:t xml:space="preserve">    case</w:t>
                  </w:r>
                </w:p>
              </w:tc>
              <w:tc>
                <w:tcPr/>
                <w:p>
                  <w:pPr>
                    <w:pStyle w:val="Compact"/>
                    <w:jc w:val="left"/>
                    <w:jc w:val="center"/>
                  </w:pPr>
                  <w:r>
                    <w:t xml:space="preserve">30 (50%)</w:t>
                  </w:r>
                </w:p>
              </w:tc>
            </w:tr>
            <w:tr>
              <w:tc>
                <w:tcPr/>
                <w:p>
                  <w:pPr>
                    <w:pStyle w:val="Compact"/>
                    <w:jc w:val="left"/>
                    <w:jc w:val="center"/>
                  </w:pPr>
                  <w:r>
                    <w:t xml:space="preserve">    control</w:t>
                  </w:r>
                </w:p>
              </w:tc>
              <w:tc>
                <w:tcPr/>
                <w:p>
                  <w:pPr>
                    <w:pStyle w:val="Compact"/>
                    <w:jc w:val="left"/>
                    <w:jc w:val="center"/>
                  </w:pPr>
                  <w:r>
                    <w:t xml:space="preserve">30 (50%)</w:t>
                  </w:r>
                </w:p>
              </w:tc>
            </w:tr>
            <w:tr>
              <w:tc>
                <w:tcPr/>
                <w:p>
                  <w:pPr>
                    <w:pStyle w:val="Compact"/>
                    <w:jc w:val="left"/>
                    <w:jc w:val="center"/>
                  </w:pPr>
                  <w:r>
                    <w:t xml:space="preserve">outcome</w:t>
                  </w:r>
                </w:p>
              </w:tc>
              <w:tc>
                <w:tcPr/>
                <w:p>
                  <w:pPr>
                    <w:pStyle w:val="Compact"/>
                    <w:jc w:val="left"/>
                    <w:jc w:val="center"/>
                  </w:pPr>
                  <w:r>
                    <w:br/>
                  </w:r>
                </w:p>
              </w:tc>
            </w:tr>
            <w:tr>
              <w:tc>
                <w:tcPr/>
                <w:p>
                  <w:pPr>
                    <w:pStyle w:val="Compact"/>
                    <w:jc w:val="left"/>
                    <w:jc w:val="center"/>
                  </w:pPr>
                  <w:r>
                    <w:t xml:space="preserve">    close</w:t>
                  </w:r>
                </w:p>
              </w:tc>
              <w:tc>
                <w:tcPr/>
                <w:p>
                  <w:pPr>
                    <w:pStyle w:val="Compact"/>
                    <w:jc w:val="left"/>
                    <w:jc w:val="center"/>
                  </w:pPr>
                  <w:r>
                    <w:t xml:space="preserve">34 (57%)</w:t>
                  </w:r>
                </w:p>
              </w:tc>
            </w:tr>
            <w:tr>
              <w:tc>
                <w:tcPr/>
                <w:p>
                  <w:pPr>
                    <w:pStyle w:val="Compact"/>
                    <w:jc w:val="left"/>
                    <w:jc w:val="center"/>
                  </w:pPr>
                  <w:r>
                    <w:t xml:space="preserve">    open</w:t>
                  </w:r>
                </w:p>
              </w:tc>
              <w:tc>
                <w:tcPr/>
                <w:p>
                  <w:pPr>
                    <w:pStyle w:val="Compact"/>
                    <w:jc w:val="left"/>
                    <w:jc w:val="center"/>
                  </w:pPr>
                  <w:r>
                    <w:t xml:space="preserve">26 (43%)</w:t>
                  </w:r>
                </w:p>
              </w:tc>
            </w:tr>
            <w:tr>
              <w:tc>
                <w:tcPr/>
                <w:p>
                  <w:pPr>
                    <w:pStyle w:val="Compact"/>
                    <w:jc w:val="left"/>
                    <w:jc w:val="center"/>
                  </w:pPr>
                  <w:r>
                    <w:t xml:space="preserve">bmi</w:t>
                  </w:r>
                </w:p>
              </w:tc>
              <w:tc>
                <w:tcPr/>
                <w:p>
                  <w:pPr>
                    <w:pStyle w:val="Compact"/>
                    <w:jc w:val="left"/>
                    <w:jc w:val="center"/>
                  </w:pPr>
                  <w:r>
                    <w:t xml:space="preserve">32 (26, 36)</w:t>
                  </w:r>
                </w:p>
              </w:tc>
            </w:tr>
            <w:tr>
              <w:tc>
                <w:tcPr/>
                <w:p>
                  <w:pPr>
                    <w:pStyle w:val="Compact"/>
                    <w:jc w:val="left"/>
                    <w:jc w:val="center"/>
                  </w:pPr>
                  <w:r>
                    <w:t xml:space="preserve">diabetis</w:t>
                  </w:r>
                </w:p>
              </w:tc>
              <w:tc>
                <w:tcPr/>
                <w:p>
                  <w:pPr>
                    <w:pStyle w:val="Compact"/>
                    <w:jc w:val="left"/>
                    <w:jc w:val="center"/>
                  </w:pPr>
                  <w:r>
                    <w:t xml:space="preserve">24 (40%)</w:t>
                  </w:r>
                </w:p>
              </w:tc>
            </w:tr>
            <w:tr>
              <w:tc>
                <w:tcPr/>
                <w:p>
                  <w:pPr>
                    <w:pStyle w:val="Compact"/>
                    <w:jc w:val="left"/>
                    <w:jc w:val="center"/>
                  </w:pPr>
                  <w:r>
                    <w:rPr>
                      <w:vertAlign w:val="superscript"/>
                    </w:rPr>
                    <w:t xml:space="preserve">1</w:t>
                  </w:r>
                  <w:r>
                    <w:t xml:space="preserve"> </w:t>
                  </w:r>
                  <w:r>
                    <w:t xml:space="preserve">n (%); Median (Q1, Q3)</w:t>
                  </w:r>
                </w:p>
              </w:tc>
              <w:tc>
                <w:tcPr/>
                <w:p>
                  <w:pPr>
                    <w:pStyle w:val="Compact"/>
                  </w:pPr>
                </w:p>
              </w:tc>
            </w:tr>
          </w:tbl>
          <w:bookmarkEnd w:id="37"/>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Second Stage</w:t>
        </w:r>
      </w:hyperlink>
    </w:p>
    <w:bookmarkEnd w:id="39"/>
    <w:bookmarkStart w:id="40" w:name="acknowledgements"/>
    <w:p>
      <w:pPr>
        <w:pStyle w:val="Heading2"/>
      </w:pPr>
      <w:r>
        <w:t xml:space="preserve">5 Acknowledgements</w:t>
      </w:r>
    </w:p>
    <w:bookmarkEnd w:id="40"/>
    <w:bookmarkStart w:id="42" w:name="references"/>
    <w:p>
      <w:pPr>
        <w:pStyle w:val="Heading2"/>
      </w:pPr>
      <w:r>
        <w:t xml:space="preserve">References</w:t>
      </w:r>
    </w:p>
    <w:bookmarkStart w:id="41" w:name="refs"/>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hyperlink" Id="rId27" Target="https://raffdoc.github.io/manuscript-template/notebooks/clinical_trial_first_stage-preview.html#cell-fig-bmi-first-stage" TargetMode="External" /><Relationship Type="http://schemas.openxmlformats.org/officeDocument/2006/relationships/hyperlink" Id="rId36" Target="https://raffdoc.github.io/manuscript-template/notebooks/clinical_trial_first_stage-preview.html#cell-tbl-demo-stage1" TargetMode="External" /><Relationship Type="http://schemas.openxmlformats.org/officeDocument/2006/relationships/hyperlink" Id="rId33" Target="https://raffdoc.github.io/manuscript-template/notebooks/clinical_trial_second_stage-preview.html#cell-fig-bmi-second-stage" TargetMode="External" /><Relationship Type="http://schemas.openxmlformats.org/officeDocument/2006/relationships/hyperlink" Id="rId38" Target="https://raffdoc.github.io/manuscript-template/notebooks/clinical_trial_second_stage-preview.html#cell-tbl-demo-stage2" TargetMode="External" /></Relationships>
</file>

<file path=word/_rels/footnotes.xml.rels><?xml version="1.0" encoding="UTF-8"?><Relationships xmlns="http://schemas.openxmlformats.org/package/2006/relationships"><Relationship Type="http://schemas.openxmlformats.org/officeDocument/2006/relationships/hyperlink" Id="rId27" Target="https://raffdoc.github.io/manuscript-template/notebooks/clinical_trial_first_stage-preview.html#cell-fig-bmi-first-stage" TargetMode="External" /><Relationship Type="http://schemas.openxmlformats.org/officeDocument/2006/relationships/hyperlink" Id="rId36" Target="https://raffdoc.github.io/manuscript-template/notebooks/clinical_trial_first_stage-preview.html#cell-tbl-demo-stage1" TargetMode="External" /><Relationship Type="http://schemas.openxmlformats.org/officeDocument/2006/relationships/hyperlink" Id="rId33" Target="https://raffdoc.github.io/manuscript-template/notebooks/clinical_trial_second_stage-preview.html#cell-fig-bmi-second-stage" TargetMode="External" /><Relationship Type="http://schemas.openxmlformats.org/officeDocument/2006/relationships/hyperlink" Id="rId38" Target="https://raffdoc.github.io/manuscript-template/notebooks/clinical_trial_second_stage-preview.html#cell-tbl-demo-stag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Trial On Pleural Cavity Opening During Median Sternotomy</dc:title>
  <dc:creator>Rafik Margaryan, MD, PhD; Giacomo Bianchi, MD, PhD</dc:creator>
  <cp:keywords>Clinical Trial, Cardiac Surgery</cp:keywords>
  <dcterms:created xsi:type="dcterms:W3CDTF">2025-04-13T19:21:01Z</dcterms:created>
  <dcterms:modified xsi:type="dcterms:W3CDTF">2025-04-13T19:21:01Z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2025-04-13</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There are to operatore clinical trial stages.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