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35B36" w:rsidR="00135B36" w:rsidP="1BED0322" w:rsidRDefault="00135B36" w14:paraId="546D1A23" w14:textId="77777777" w14:noSpellErr="1">
      <w:pPr>
        <w:pStyle w:val="paragraph"/>
        <w:textAlignment w:val="baseline"/>
        <w:rPr>
          <w:rFonts w:ascii="IBM Plex Mono" w:hAnsi="IBM Plex Mono"/>
          <w:b w:val="1"/>
          <w:bCs w:val="1"/>
          <w:sz w:val="28"/>
          <w:szCs w:val="28"/>
        </w:rPr>
      </w:pPr>
      <w:r w:rsidRPr="1BED0322" w:rsidR="1BED0322">
        <w:rPr>
          <w:rStyle w:val="normaltextrun"/>
          <w:rFonts w:ascii="IBM Plex Mono" w:hAnsi="IBM Plex Mono"/>
          <w:b w:val="1"/>
          <w:bCs w:val="1"/>
          <w:sz w:val="28"/>
          <w:szCs w:val="28"/>
        </w:rPr>
        <w:t>Full Stack Grading Rubric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5030"/>
        <w:gridCol w:w="760"/>
        <w:gridCol w:w="1650"/>
        <w:gridCol w:w="1920"/>
      </w:tblGrid>
      <w:tr w:rsidR="008F000D" w:rsidTr="46A38474" w14:paraId="2BCD73CE" w14:textId="77777777">
        <w:tc>
          <w:tcPr>
            <w:tcW w:w="5030" w:type="dxa"/>
            <w:tcMar/>
          </w:tcPr>
          <w:p w:rsidR="00135B36" w:rsidRDefault="00135B36" w14:paraId="789085E8" w14:textId="77777777" w14:noSpellErr="1">
            <w:r w:rsidR="1BED0322">
              <w:rPr/>
              <w:t>Challenge</w:t>
            </w:r>
          </w:p>
        </w:tc>
        <w:tc>
          <w:tcPr>
            <w:tcW w:w="760" w:type="dxa"/>
            <w:tcMar/>
          </w:tcPr>
          <w:p w:rsidR="00135B36" w:rsidRDefault="00135B36" w14:paraId="5B6E0346" w14:textId="77777777" w14:noSpellErr="1">
            <w:r w:rsidR="1BED0322">
              <w:rPr/>
              <w:t>Score</w:t>
            </w:r>
          </w:p>
        </w:tc>
        <w:tc>
          <w:tcPr>
            <w:tcW w:w="1650" w:type="dxa"/>
            <w:tcMar/>
          </w:tcPr>
          <w:p w:rsidR="46A38474" w:rsidP="46A38474" w:rsidRDefault="46A38474" w14:noSpellErr="1" w14:paraId="10F30DEE" w14:textId="7072B331">
            <w:pPr>
              <w:pStyle w:val="Normal"/>
            </w:pPr>
            <w:r w:rsidR="46A38474">
              <w:rPr/>
              <w:t xml:space="preserve">Pass </w:t>
            </w:r>
            <w:proofErr w:type="gramStart"/>
            <w:r w:rsidR="46A38474">
              <w:rPr/>
              <w:t>Or</w:t>
            </w:r>
            <w:proofErr w:type="gramEnd"/>
            <w:r w:rsidR="46A38474">
              <w:rPr/>
              <w:t xml:space="preserve"> Fail (Yes or No)</w:t>
            </w:r>
          </w:p>
        </w:tc>
        <w:tc>
          <w:tcPr>
            <w:tcW w:w="1920" w:type="dxa"/>
            <w:tcMar/>
          </w:tcPr>
          <w:p w:rsidR="00135B36" w:rsidRDefault="00135B36" w14:paraId="26808726" w14:textId="77777777" w14:noSpellErr="1">
            <w:r w:rsidR="1BED0322">
              <w:rPr/>
              <w:t>Comment</w:t>
            </w:r>
          </w:p>
        </w:tc>
      </w:tr>
      <w:tr w:rsidR="008F000D" w:rsidTr="46A38474" w14:paraId="2CB81044" w14:textId="77777777">
        <w:tc>
          <w:tcPr>
            <w:tcW w:w="5030" w:type="dxa"/>
            <w:tcMar/>
          </w:tcPr>
          <w:p w:rsidR="1BED0322" w:rsidP="1BED0322" w:rsidRDefault="1BED0322" w14:noSpellErr="1" w14:paraId="37A1370D" w14:textId="7CE3FF29">
            <w:pPr>
              <w:pStyle w:val="paragraph"/>
              <w:rPr>
                <w:rStyle w:val="normaltextrun"/>
                <w:rFonts w:ascii="IBM Plex Mono" w:hAnsi="IBM Plex Mono"/>
                <w:sz w:val="22"/>
                <w:szCs w:val="22"/>
              </w:rPr>
            </w:pPr>
          </w:p>
          <w:p w:rsidR="00135B36" w:rsidP="1BED0322" w:rsidRDefault="00A52D65" w14:paraId="03E065C1" w14:noSpellErr="1" w14:textId="59870800">
            <w:pPr>
              <w:pStyle w:val="paragraph"/>
              <w:textAlignment w:val="baseline"/>
              <w:rPr>
                <w:rFonts w:ascii="IBM Plex Mono" w:hAnsi="IBM Plex Mono"/>
                <w:sz w:val="22"/>
                <w:szCs w:val="22"/>
              </w:rPr>
            </w:pPr>
            <w:r w:rsidRPr="1BED0322" w:rsidR="1BED0322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As a participant I am able to get the source code for this project by </w:t>
            </w:r>
            <w:r w:rsidRPr="1BED0322" w:rsidR="1BED0322">
              <w:rPr>
                <w:rStyle w:val="normaltextrun"/>
                <w:rFonts w:ascii="IBM Plex Mono" w:hAnsi="IBM Plex Mono"/>
                <w:sz w:val="22"/>
                <w:szCs w:val="22"/>
              </w:rPr>
              <w:t>fork</w:t>
            </w:r>
            <w:r w:rsidRPr="1BED0322" w:rsidR="1BED0322">
              <w:rPr>
                <w:rStyle w:val="normaltextrun"/>
                <w:rFonts w:ascii="IBM Plex Mono" w:hAnsi="IBM Plex Mono"/>
                <w:sz w:val="22"/>
                <w:szCs w:val="22"/>
              </w:rPr>
              <w:t>ing</w:t>
            </w:r>
            <w:r w:rsidRPr="1BED0322" w:rsidR="1BED0322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 the DASH-BLOCKS GitHub repository</w:t>
            </w:r>
            <w:r w:rsidRPr="1BED0322" w:rsidR="1BED0322">
              <w:rPr>
                <w:rStyle w:val="eop"/>
                <w:rFonts w:ascii="IBM Plex Mono" w:hAnsi="IBM Plex Mono"/>
                <w:sz w:val="22"/>
                <w:szCs w:val="22"/>
              </w:rPr>
              <w:t xml:space="preserve">. </w:t>
            </w:r>
            <w:r w:rsidRPr="1BED0322" w:rsidR="1BED0322">
              <w:rPr>
                <w:rStyle w:val="eop"/>
                <w:rFonts w:ascii="IBM Plex Mono" w:hAnsi="IBM Plex Mono"/>
                <w:sz w:val="22"/>
                <w:szCs w:val="22"/>
              </w:rPr>
              <w:t>This is evidenced by the participant ab</w:t>
            </w:r>
            <w:r w:rsidRPr="1BED0322" w:rsidR="1BED0322">
              <w:rPr>
                <w:rStyle w:val="eop"/>
                <w:rFonts w:ascii="IBM Plex Mono" w:hAnsi="IBM Plex Mono"/>
                <w:sz w:val="22"/>
                <w:szCs w:val="22"/>
              </w:rPr>
              <w:t xml:space="preserve">ility to complete this project and visible in their </w:t>
            </w:r>
            <w:r w:rsidRPr="1BED0322" w:rsidR="1BED0322">
              <w:rPr>
                <w:rStyle w:val="eop"/>
                <w:rFonts w:ascii="IBM Plex Mono" w:hAnsi="IBM Plex Mono"/>
                <w:sz w:val="22"/>
                <w:szCs w:val="22"/>
              </w:rPr>
              <w:t>GitH</w:t>
            </w:r>
            <w:r w:rsidRPr="1BED0322" w:rsidR="1BED0322">
              <w:rPr>
                <w:rStyle w:val="eop"/>
                <w:rFonts w:ascii="IBM Plex Mono" w:hAnsi="IBM Plex Mono"/>
                <w:sz w:val="22"/>
                <w:szCs w:val="22"/>
              </w:rPr>
              <w:t>ub</w:t>
            </w:r>
            <w:r w:rsidRPr="1BED0322" w:rsidR="1BED0322">
              <w:rPr>
                <w:rStyle w:val="eop"/>
                <w:rFonts w:ascii="IBM Plex Mono" w:hAnsi="IBM Plex Mono"/>
                <w:sz w:val="22"/>
                <w:szCs w:val="22"/>
              </w:rPr>
              <w:t xml:space="preserve"> link</w:t>
            </w:r>
            <w:r w:rsidRPr="1BED0322" w:rsidR="1BED0322">
              <w:rPr>
                <w:rStyle w:val="eop"/>
                <w:rFonts w:ascii="IBM Plex Mono" w:hAnsi="IBM Plex Mono"/>
                <w:sz w:val="22"/>
                <w:szCs w:val="22"/>
              </w:rPr>
              <w:t>.</w:t>
            </w:r>
          </w:p>
          <w:p w:rsidR="00135B36" w:rsidRDefault="00135B36" w14:paraId="52AC4E44" w14:textId="77777777"/>
        </w:tc>
        <w:tc>
          <w:tcPr>
            <w:tcW w:w="760" w:type="dxa"/>
            <w:tcMar/>
          </w:tcPr>
          <w:p w:rsidR="00135B36" w:rsidRDefault="00135B36" w14:paraId="3743668A" w14:textId="77777777">
            <w:r w:rsidR="1BED0322">
              <w:rPr/>
              <w:t>5</w:t>
            </w:r>
          </w:p>
        </w:tc>
        <w:tc>
          <w:tcPr>
            <w:tcW w:w="1650" w:type="dxa"/>
            <w:tcMar/>
          </w:tcPr>
          <w:p w:rsidR="46A38474" w:rsidP="46A38474" w:rsidRDefault="46A38474" w14:paraId="3FE968C1" w14:textId="4639F09D">
            <w:pPr>
              <w:pStyle w:val="Normal"/>
            </w:pPr>
          </w:p>
        </w:tc>
        <w:tc>
          <w:tcPr>
            <w:tcW w:w="1920" w:type="dxa"/>
            <w:tcMar/>
          </w:tcPr>
          <w:p w:rsidR="00135B36" w:rsidRDefault="00135B36" w14:paraId="2FC17BD3" w14:textId="77777777"/>
        </w:tc>
      </w:tr>
      <w:tr w:rsidR="008F000D" w:rsidTr="46A38474" w14:paraId="2AA807A8" w14:textId="77777777">
        <w:tc>
          <w:tcPr>
            <w:tcW w:w="5030" w:type="dxa"/>
            <w:tcMar/>
          </w:tcPr>
          <w:p w:rsidR="1BED0322" w:rsidP="1BED0322" w:rsidRDefault="1BED0322" w14:noSpellErr="1" w14:paraId="453D7334" w14:textId="37C5B559">
            <w:pPr>
              <w:pStyle w:val="paragraph"/>
              <w:rPr>
                <w:rStyle w:val="normaltextrun"/>
                <w:rFonts w:ascii="IBM Plex Mono" w:hAnsi="IBM Plex Mono"/>
                <w:sz w:val="22"/>
                <w:szCs w:val="22"/>
              </w:rPr>
            </w:pPr>
          </w:p>
          <w:p w:rsidR="008F000D" w:rsidP="34B4F011" w:rsidRDefault="00E47BD6" w14:paraId="192DFC28" w14:noSpellErr="1" w14:textId="0AB16039">
            <w:pPr>
              <w:pStyle w:val="paragraph"/>
              <w:textAlignment w:val="baseline"/>
              <w:rPr>
                <w:rStyle w:val="normaltextrun"/>
                <w:rFonts w:ascii="IBM Plex Mono" w:hAnsi="IBM Plex Mono"/>
                <w:sz w:val="22"/>
                <w:szCs w:val="22"/>
              </w:rPr>
            </w:pP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The participant evidenced their ability to connect and pull data from the Yelp API. This 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will 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>be apparent in their code and details for where the API calls occur should be spelled out in the README.</w:t>
            </w:r>
          </w:p>
          <w:p w:rsidR="1BED0322" w:rsidP="1BED0322" w:rsidRDefault="1BED0322" w14:noSpellErr="1" w14:paraId="62556755" w14:textId="12E6ADB8">
            <w:pPr>
              <w:pStyle w:val="paragraph"/>
              <w:rPr>
                <w:rStyle w:val="normaltextrun"/>
                <w:rFonts w:ascii="IBM Plex Mono" w:hAnsi="IBM Plex Mono"/>
                <w:sz w:val="22"/>
                <w:szCs w:val="22"/>
              </w:rPr>
            </w:pPr>
          </w:p>
          <w:p w:rsidR="00135B36" w:rsidP="34B4F011" w:rsidRDefault="008F000D" w14:noSpellErr="1" w14:paraId="07C6B774" w14:textId="2FC1AD80">
            <w:pPr>
              <w:pStyle w:val="paragraph"/>
              <w:textAlignment w:val="baseline"/>
              <w:rPr>
                <w:rFonts w:ascii="IBM Plex Mono" w:hAnsi="IBM Plex Mono"/>
                <w:sz w:val="22"/>
                <w:szCs w:val="22"/>
              </w:rPr>
            </w:pP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Using this </w:t>
            </w:r>
            <w:proofErr w:type="gramStart"/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>data</w:t>
            </w:r>
            <w:proofErr w:type="gramEnd"/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 the participant 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can 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>creat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>e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 a bar chart showing the number of restaurants in each rating level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 (1-5)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>.</w:t>
            </w:r>
          </w:p>
          <w:p w:rsidR="00135B36" w:rsidP="34B4F011" w:rsidRDefault="008F000D" w14:noSpellErr="1" w14:paraId="527739B0" w14:textId="1B88EF39">
            <w:pPr>
              <w:pStyle w:val="paragraph"/>
              <w:textAlignment w:val="baseline"/>
              <w:rPr>
                <w:rStyle w:val="normaltextrun"/>
                <w:rFonts w:ascii="IBM Plex Mono" w:hAnsi="IBM Plex Mono"/>
                <w:sz w:val="22"/>
                <w:szCs w:val="22"/>
              </w:rPr>
            </w:pPr>
          </w:p>
          <w:p w:rsidR="00135B36" w:rsidP="34B4F011" w:rsidRDefault="008F000D" w14:paraId="2C54C68A" w14:noSpellErr="1" w14:textId="39B59919">
            <w:pPr>
              <w:pStyle w:val="paragraph"/>
              <w:textAlignment w:val="baseline"/>
              <w:rPr>
                <w:rFonts w:ascii="IBM Plex Mono" w:hAnsi="IBM Plex Mono"/>
                <w:sz w:val="22"/>
                <w:szCs w:val="22"/>
              </w:rPr>
            </w:pP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This 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>will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 be apparent when visiting the 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>URL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 where the application is hosted or on localhost if the participant failed to push to the cloud.</w:t>
            </w:r>
            <w:r w:rsidRPr="34B4F011" w:rsidR="34B4F011">
              <w:rPr>
                <w:rStyle w:val="eop"/>
                <w:rFonts w:ascii="IBM Plex Mono" w:hAnsi="IBM Plex Mono"/>
                <w:sz w:val="22"/>
                <w:szCs w:val="22"/>
              </w:rPr>
              <w:t> </w:t>
            </w:r>
          </w:p>
          <w:p w:rsidR="00135B36" w:rsidRDefault="00135B36" w14:paraId="4B515AB3" w14:textId="77777777"/>
        </w:tc>
        <w:tc>
          <w:tcPr>
            <w:tcW w:w="760" w:type="dxa"/>
            <w:tcMar/>
          </w:tcPr>
          <w:p w:rsidR="00135B36" w:rsidRDefault="00135B36" w14:paraId="0B115235" w14:textId="77777777">
            <w:r w:rsidR="1BED0322">
              <w:rPr/>
              <w:t>20</w:t>
            </w:r>
          </w:p>
        </w:tc>
        <w:tc>
          <w:tcPr>
            <w:tcW w:w="1650" w:type="dxa"/>
            <w:tcMar/>
          </w:tcPr>
          <w:p w:rsidR="46A38474" w:rsidP="46A38474" w:rsidRDefault="46A38474" w14:paraId="2EEC8754" w14:textId="5E43C47E">
            <w:pPr>
              <w:pStyle w:val="Normal"/>
            </w:pPr>
          </w:p>
        </w:tc>
        <w:tc>
          <w:tcPr>
            <w:tcW w:w="1920" w:type="dxa"/>
            <w:tcMar/>
          </w:tcPr>
          <w:p w:rsidR="00135B36" w:rsidRDefault="00135B36" w14:paraId="328B722D" w14:textId="77777777"/>
        </w:tc>
      </w:tr>
      <w:tr w:rsidR="008F000D" w:rsidTr="46A38474" w14:paraId="4E3CD1D2" w14:textId="77777777">
        <w:tc>
          <w:tcPr>
            <w:tcW w:w="5030" w:type="dxa"/>
            <w:tcMar/>
          </w:tcPr>
          <w:p w:rsidR="1BED0322" w:rsidP="1BED0322" w:rsidRDefault="1BED0322" w14:noSpellErr="1" w14:paraId="07BE2753" w14:textId="4C4FEE89">
            <w:pPr>
              <w:rPr>
                <w:rStyle w:val="normaltextrun"/>
                <w:rFonts w:ascii="IBM Plex Mono" w:hAnsi="IBM Plex Mono"/>
                <w:sz w:val="22"/>
                <w:szCs w:val="22"/>
              </w:rPr>
            </w:pPr>
          </w:p>
          <w:p w:rsidR="00135B36" w:rsidRDefault="00B354A1" w14:paraId="6FD621B2" w14:textId="13ED2FDE"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The participant needs to load data showing the homeless population from data.gov. </w:t>
            </w:r>
            <w:bookmarkStart w:name="_GoBack" w:id="0"/>
            <w:bookmarkEnd w:id="0"/>
          </w:p>
          <w:p w:rsidR="00135B36" w:rsidP="34B4F011" w:rsidRDefault="00B354A1" w14:noSpellErr="1" w14:paraId="6259CADD" w14:textId="357C2F3F">
            <w:pPr>
              <w:rPr>
                <w:rStyle w:val="normaltextrun"/>
                <w:rFonts w:ascii="IBM Plex Mono" w:hAnsi="IBM Plex Mono"/>
                <w:sz w:val="22"/>
                <w:szCs w:val="22"/>
              </w:rPr>
            </w:pPr>
          </w:p>
          <w:p w:rsidR="00135B36" w:rsidRDefault="00B354A1" w14:paraId="28EB1917" w14:noSpellErr="1" w14:textId="3C782E42"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They should provide details for 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>where this occurs in the README. As a grader you will need to validate their method of loading data is acceptable.</w:t>
            </w:r>
          </w:p>
          <w:p w:rsidR="00135B36" w:rsidP="1BED0322" w:rsidRDefault="00B354A1" w14:paraId="0B3A93AC" w14:noSpellErr="1" w14:textId="1059FC7D">
            <w:pPr>
              <w:pStyle w:val="Normal"/>
              <w:rPr>
                <w:rStyle w:val="normaltextrun"/>
                <w:rFonts w:ascii="IBM Plex Mono" w:hAnsi="IBM Plex Mono"/>
                <w:sz w:val="22"/>
                <w:szCs w:val="22"/>
              </w:rPr>
            </w:pPr>
          </w:p>
        </w:tc>
        <w:tc>
          <w:tcPr>
            <w:tcW w:w="760" w:type="dxa"/>
            <w:tcMar/>
          </w:tcPr>
          <w:p w:rsidR="00135B36" w:rsidRDefault="00135B36" w14:paraId="613FE694" w14:textId="77777777">
            <w:r w:rsidR="1BED0322">
              <w:rPr/>
              <w:t>20</w:t>
            </w:r>
          </w:p>
        </w:tc>
        <w:tc>
          <w:tcPr>
            <w:tcW w:w="1650" w:type="dxa"/>
            <w:tcMar/>
          </w:tcPr>
          <w:p w:rsidR="46A38474" w:rsidP="46A38474" w:rsidRDefault="46A38474" w14:paraId="238FC4D5" w14:textId="57562DAC">
            <w:pPr>
              <w:pStyle w:val="Normal"/>
            </w:pPr>
          </w:p>
        </w:tc>
        <w:tc>
          <w:tcPr>
            <w:tcW w:w="1920" w:type="dxa"/>
            <w:tcMar/>
          </w:tcPr>
          <w:p w:rsidR="00135B36" w:rsidRDefault="00135B36" w14:paraId="6B7DA556" w14:textId="77777777"/>
        </w:tc>
      </w:tr>
      <w:tr w:rsidR="008F000D" w:rsidTr="46A38474" w14:paraId="08BA2BDB" w14:textId="77777777">
        <w:tc>
          <w:tcPr>
            <w:tcW w:w="5030" w:type="dxa"/>
            <w:tcMar/>
          </w:tcPr>
          <w:p w:rsidR="1BED0322" w:rsidP="1BED0322" w:rsidRDefault="1BED0322" w14:noSpellErr="1" w14:paraId="77455FDA" w14:textId="33EB7D3E">
            <w:pPr>
              <w:pStyle w:val="paragraph"/>
              <w:rPr>
                <w:rStyle w:val="normaltextrun"/>
                <w:rFonts w:ascii="IBM Plex Mono" w:hAnsi="IBM Plex Mono"/>
                <w:sz w:val="22"/>
                <w:szCs w:val="22"/>
              </w:rPr>
            </w:pPr>
          </w:p>
          <w:p w:rsidRPr="00135B36" w:rsidR="00135B36" w:rsidP="34B4F011" w:rsidRDefault="008F000D" w14:paraId="0E596441" w14:noSpellErr="1" w14:textId="62BA6EB2">
            <w:pPr>
              <w:pStyle w:val="paragraph"/>
              <w:textAlignment w:val="baseline"/>
              <w:rPr>
                <w:rFonts w:ascii="IBM Plex Mono" w:hAnsi="IBM Plex Mono"/>
                <w:sz w:val="22"/>
                <w:szCs w:val="22"/>
              </w:rPr>
            </w:pP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As a user you 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>can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 view a table showing the homeless population by year from 2009 – 2012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 when visiting the site URL.</w:t>
            </w:r>
          </w:p>
          <w:p w:rsidRPr="00135B36" w:rsidR="00135B36" w:rsidP="1BED0322" w:rsidRDefault="008F000D" w14:paraId="0E4A4F9E" w14:textId="714DB159">
            <w:pPr>
              <w:pStyle w:val="paragraph"/>
              <w:textAlignment w:val="baseline"/>
              <w:rPr>
                <w:rStyle w:val="normaltextrun"/>
                <w:rFonts w:ascii="IBM Plex Mono" w:hAnsi="IBM Plex Mono"/>
                <w:sz w:val="22"/>
                <w:szCs w:val="22"/>
              </w:rPr>
            </w:pPr>
          </w:p>
        </w:tc>
        <w:tc>
          <w:tcPr>
            <w:tcW w:w="760" w:type="dxa"/>
            <w:tcMar/>
          </w:tcPr>
          <w:p w:rsidR="00135B36" w:rsidRDefault="00135B36" w14:paraId="53DD0A35" w14:textId="77777777">
            <w:r w:rsidR="1BED0322">
              <w:rPr/>
              <w:t>15</w:t>
            </w:r>
          </w:p>
        </w:tc>
        <w:tc>
          <w:tcPr>
            <w:tcW w:w="1650" w:type="dxa"/>
            <w:tcMar/>
          </w:tcPr>
          <w:p w:rsidR="46A38474" w:rsidP="46A38474" w:rsidRDefault="46A38474" w14:paraId="37D2EA1C" w14:textId="0ABFB852">
            <w:pPr>
              <w:pStyle w:val="Normal"/>
            </w:pPr>
          </w:p>
        </w:tc>
        <w:tc>
          <w:tcPr>
            <w:tcW w:w="1920" w:type="dxa"/>
            <w:tcMar/>
          </w:tcPr>
          <w:p w:rsidR="00135B36" w:rsidRDefault="00135B36" w14:paraId="61DD7ABA" w14:textId="77777777"/>
        </w:tc>
      </w:tr>
      <w:tr w:rsidR="008F000D" w:rsidTr="46A38474" w14:paraId="4A7B2532" w14:textId="77777777">
        <w:tc>
          <w:tcPr>
            <w:tcW w:w="5030" w:type="dxa"/>
            <w:tcMar/>
          </w:tcPr>
          <w:p w:rsidR="1BED0322" w:rsidP="1BED0322" w:rsidRDefault="1BED0322" w14:noSpellErr="1" w14:paraId="016B811B" w14:textId="48B2E8E6">
            <w:pPr>
              <w:pStyle w:val="paragraph"/>
              <w:rPr>
                <w:rStyle w:val="normaltextrun"/>
                <w:rFonts w:ascii="IBM Plex Mono" w:hAnsi="IBM Plex Mono"/>
                <w:sz w:val="22"/>
                <w:szCs w:val="22"/>
              </w:rPr>
            </w:pPr>
          </w:p>
          <w:p w:rsidR="00135B36" w:rsidP="34B4F011" w:rsidRDefault="008F000D" w14:paraId="0E70398A" w14:noSpellErr="1" w14:textId="71276B77">
            <w:pPr>
              <w:pStyle w:val="paragraph"/>
              <w:textAlignment w:val="baseline"/>
              <w:rPr>
                <w:rStyle w:val="normaltextrun"/>
                <w:rFonts w:ascii="IBM Plex Mono" w:hAnsi="IBM Plex Mono"/>
                <w:sz w:val="22"/>
                <w:szCs w:val="22"/>
              </w:rPr>
            </w:pP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As a user you </w:t>
            </w:r>
            <w:proofErr w:type="gramStart"/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can 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 filter</w:t>
            </w:r>
            <w:proofErr w:type="gramEnd"/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 t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>he homeless population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 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>table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. For example, 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>you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 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>can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 filter to see the homeless population by year, and by borough.</w:t>
            </w:r>
          </w:p>
          <w:p w:rsidR="00135B36" w:rsidP="1BED0322" w:rsidRDefault="008F000D" w14:paraId="693134D1" w14:noSpellErr="1" w14:textId="3A7AA93C">
            <w:pPr>
              <w:pStyle w:val="paragraph"/>
              <w:textAlignment w:val="baseline"/>
              <w:rPr>
                <w:rStyle w:val="normaltextrun"/>
                <w:rFonts w:ascii="IBM Plex Mono" w:hAnsi="IBM Plex Mono"/>
                <w:sz w:val="22"/>
                <w:szCs w:val="22"/>
              </w:rPr>
            </w:pPr>
          </w:p>
        </w:tc>
        <w:tc>
          <w:tcPr>
            <w:tcW w:w="760" w:type="dxa"/>
            <w:tcMar/>
          </w:tcPr>
          <w:p w:rsidR="00135B36" w:rsidRDefault="00135B36" w14:paraId="1FC421FA" w14:textId="77777777">
            <w:r w:rsidR="1BED0322">
              <w:rPr/>
              <w:t>15</w:t>
            </w:r>
          </w:p>
        </w:tc>
        <w:tc>
          <w:tcPr>
            <w:tcW w:w="1650" w:type="dxa"/>
            <w:tcMar/>
          </w:tcPr>
          <w:p w:rsidR="46A38474" w:rsidP="46A38474" w:rsidRDefault="46A38474" w14:paraId="2B16B5B9" w14:textId="638F45FF">
            <w:pPr>
              <w:pStyle w:val="Normal"/>
            </w:pPr>
          </w:p>
        </w:tc>
        <w:tc>
          <w:tcPr>
            <w:tcW w:w="1920" w:type="dxa"/>
            <w:tcMar/>
          </w:tcPr>
          <w:p w:rsidR="00135B36" w:rsidRDefault="00135B36" w14:paraId="42582473" w14:textId="77777777"/>
        </w:tc>
      </w:tr>
      <w:tr w:rsidR="008F000D" w:rsidTr="46A38474" w14:paraId="21DA19BB" w14:textId="77777777">
        <w:tc>
          <w:tcPr>
            <w:tcW w:w="5030" w:type="dxa"/>
            <w:tcMar/>
          </w:tcPr>
          <w:p w:rsidR="1BED0322" w:rsidP="1BED0322" w:rsidRDefault="1BED0322" w14:noSpellErr="1" w14:paraId="3E855804" w14:textId="796A836C">
            <w:pPr>
              <w:pStyle w:val="paragraph"/>
              <w:rPr>
                <w:rStyle w:val="normaltextrun"/>
                <w:rFonts w:ascii="IBM Plex Mono" w:hAnsi="IBM Plex Mono"/>
                <w:sz w:val="22"/>
                <w:szCs w:val="22"/>
              </w:rPr>
            </w:pPr>
          </w:p>
          <w:p w:rsidRPr="002A5F6C" w:rsidR="00135B36" w:rsidP="34B4F011" w:rsidRDefault="00237B2F" w14:paraId="69F0743F" w14:noSpellErr="1" w14:textId="17B802AA">
            <w:pPr>
              <w:pStyle w:val="paragraph"/>
              <w:textAlignment w:val="baseline"/>
              <w:rPr>
                <w:rFonts w:ascii="IBM Plex Mono" w:hAnsi="IBM Plex Mono"/>
                <w:sz w:val="22"/>
                <w:szCs w:val="22"/>
              </w:rPr>
            </w:pP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As a user you 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>can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 navigate to a page that shows a view of 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a map. That map should 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include 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NYC. You 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>can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 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view </w:t>
            </w:r>
            <w:r w:rsidRPr="34B4F011" w:rsidR="34B4F011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weather details, such as temperature, wind, clouds, etc. </w:t>
            </w:r>
          </w:p>
          <w:p w:rsidRPr="002A5F6C" w:rsidR="00135B36" w:rsidP="1BED0322" w:rsidRDefault="00237B2F" w14:noSpellErr="1" w14:paraId="3FBEF43C" w14:textId="1B8454F8">
            <w:pPr>
              <w:pStyle w:val="paragraph"/>
              <w:textAlignment w:val="baseline"/>
              <w:rPr>
                <w:rStyle w:val="normaltextrun"/>
                <w:rFonts w:ascii="IBM Plex Mono" w:hAnsi="IBM Plex Mono"/>
                <w:sz w:val="22"/>
                <w:szCs w:val="22"/>
              </w:rPr>
            </w:pPr>
          </w:p>
          <w:p w:rsidRPr="002A5F6C" w:rsidR="00135B36" w:rsidP="1BED0322" w:rsidRDefault="00237B2F" w14:noSpellErr="1" w14:paraId="3DBAD770" w14:textId="369AE2A3">
            <w:pPr>
              <w:pStyle w:val="paragraph"/>
              <w:textAlignment w:val="baseline"/>
              <w:rPr>
                <w:rFonts w:ascii="IBM Plex Mono" w:hAnsi="IBM Plex Mono"/>
                <w:sz w:val="22"/>
                <w:szCs w:val="22"/>
              </w:rPr>
            </w:pPr>
            <w:r w:rsidRPr="1BED0322" w:rsidR="1BED0322">
              <w:rPr>
                <w:rStyle w:val="normaltextrun"/>
                <w:rFonts w:ascii="IBM Plex Mono" w:hAnsi="IBM Plex Mono"/>
                <w:sz w:val="22"/>
                <w:szCs w:val="22"/>
              </w:rPr>
              <w:t>In order to ensure the data is truly pull</w:t>
            </w:r>
            <w:r w:rsidRPr="1BED0322" w:rsidR="1BED0322">
              <w:rPr>
                <w:rStyle w:val="normaltextrun"/>
                <w:rFonts w:ascii="IBM Plex Mono" w:hAnsi="IBM Plex Mono"/>
                <w:sz w:val="22"/>
                <w:szCs w:val="22"/>
              </w:rPr>
              <w:t>ed</w:t>
            </w:r>
            <w:r w:rsidRPr="1BED0322" w:rsidR="1BED0322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 from an API you should inspect the README, determine where the code is contained, and verify the API call.</w:t>
            </w:r>
          </w:p>
          <w:p w:rsidRPr="002A5F6C" w:rsidR="00135B36" w:rsidP="1BED0322" w:rsidRDefault="00237B2F" w14:noSpellErr="1" w14:paraId="116681FA" w14:textId="05637597">
            <w:pPr>
              <w:pStyle w:val="paragraph"/>
              <w:textAlignment w:val="baseline"/>
              <w:rPr>
                <w:rStyle w:val="normaltextrun"/>
                <w:rFonts w:ascii="IBM Plex Mono" w:hAnsi="IBM Plex Mono"/>
                <w:sz w:val="22"/>
                <w:szCs w:val="22"/>
              </w:rPr>
            </w:pPr>
          </w:p>
          <w:p w:rsidRPr="002A5F6C" w:rsidR="00135B36" w:rsidP="1BED0322" w:rsidRDefault="00237B2F" w14:paraId="76E97860" w14:noSpellErr="1" w14:textId="3E92FE5E">
            <w:pPr>
              <w:pStyle w:val="paragraph"/>
              <w:textAlignment w:val="baseline"/>
              <w:rPr>
                <w:rFonts w:ascii="IBM Plex Mono" w:hAnsi="IBM Plex Mono"/>
                <w:sz w:val="22"/>
                <w:szCs w:val="22"/>
              </w:rPr>
            </w:pPr>
            <w:r w:rsidRPr="1BED0322" w:rsidR="1BED0322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Additionally, you could </w:t>
            </w:r>
            <w:r w:rsidRPr="1BED0322" w:rsidR="1BED0322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check </w:t>
            </w:r>
            <w:r w:rsidRPr="1BED0322" w:rsidR="1BED0322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another </w:t>
            </w:r>
            <w:r w:rsidRPr="1BED0322" w:rsidR="1BED0322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weather </w:t>
            </w:r>
            <w:r w:rsidRPr="1BED0322" w:rsidR="1BED0322">
              <w:rPr>
                <w:rStyle w:val="normaltextrun"/>
                <w:rFonts w:ascii="IBM Plex Mono" w:hAnsi="IBM Plex Mono"/>
                <w:sz w:val="22"/>
                <w:szCs w:val="22"/>
              </w:rPr>
              <w:t>source</w:t>
            </w:r>
            <w:r w:rsidRPr="1BED0322" w:rsidR="1BED0322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 </w:t>
            </w:r>
            <w:r w:rsidRPr="1BED0322" w:rsidR="1BED0322">
              <w:rPr>
                <w:rStyle w:val="normaltextrun"/>
                <w:rFonts w:ascii="IBM Plex Mono" w:hAnsi="IBM Plex Mono"/>
                <w:sz w:val="22"/>
                <w:szCs w:val="22"/>
              </w:rPr>
              <w:t>and compare to the information displayed on the map</w:t>
            </w:r>
            <w:r w:rsidRPr="1BED0322" w:rsidR="1BED0322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 to ensure the calls are real-time</w:t>
            </w:r>
            <w:r w:rsidRPr="1BED0322" w:rsidR="1BED0322">
              <w:rPr>
                <w:rStyle w:val="normaltextrun"/>
                <w:rFonts w:ascii="IBM Plex Mono" w:hAnsi="IBM Plex Mono"/>
                <w:sz w:val="22"/>
                <w:szCs w:val="22"/>
              </w:rPr>
              <w:t>.</w:t>
            </w:r>
            <w:r w:rsidRPr="1BED0322" w:rsidR="1BED0322">
              <w:rPr>
                <w:rStyle w:val="normaltextrun"/>
                <w:rFonts w:ascii="IBM Plex Mono" w:hAnsi="IBM Plex Mono"/>
                <w:sz w:val="22"/>
                <w:szCs w:val="22"/>
              </w:rPr>
              <w:t xml:space="preserve"> </w:t>
            </w:r>
          </w:p>
          <w:p w:rsidR="00135B36" w:rsidRDefault="00135B36" w14:paraId="75BBFFDF" w14:textId="77777777"/>
        </w:tc>
        <w:tc>
          <w:tcPr>
            <w:tcW w:w="760" w:type="dxa"/>
            <w:tcMar/>
          </w:tcPr>
          <w:p w:rsidR="00135B36" w:rsidRDefault="00135B36" w14:paraId="4853F7BC" w14:textId="77777777">
            <w:r w:rsidR="1BED0322">
              <w:rPr/>
              <w:t>20</w:t>
            </w:r>
          </w:p>
        </w:tc>
        <w:tc>
          <w:tcPr>
            <w:tcW w:w="1650" w:type="dxa"/>
            <w:tcMar/>
          </w:tcPr>
          <w:p w:rsidR="46A38474" w:rsidP="46A38474" w:rsidRDefault="46A38474" w14:paraId="710D1F52" w14:textId="5C0421A7">
            <w:pPr>
              <w:pStyle w:val="Normal"/>
            </w:pPr>
          </w:p>
        </w:tc>
        <w:tc>
          <w:tcPr>
            <w:tcW w:w="1920" w:type="dxa"/>
            <w:tcMar/>
          </w:tcPr>
          <w:p w:rsidR="00135B36" w:rsidRDefault="00135B36" w14:paraId="5853CC86" w14:textId="77777777"/>
        </w:tc>
      </w:tr>
      <w:tr w:rsidR="008F000D" w:rsidTr="46A38474" w14:paraId="286E6C25" w14:textId="77777777">
        <w:tc>
          <w:tcPr>
            <w:tcW w:w="5030" w:type="dxa"/>
            <w:tcMar/>
          </w:tcPr>
          <w:p w:rsidR="1BED0322" w:rsidP="1BED0322" w:rsidRDefault="1BED0322" w14:noSpellErr="1" w14:paraId="03C9DE40" w14:textId="397665D9">
            <w:pPr>
              <w:pStyle w:val="paragraph"/>
              <w:rPr>
                <w:rStyle w:val="normaltextrun"/>
                <w:rFonts w:ascii="IBM Plex Mono" w:hAnsi="IBM Plex Mono"/>
                <w:sz w:val="22"/>
                <w:szCs w:val="22"/>
              </w:rPr>
            </w:pPr>
          </w:p>
          <w:p w:rsidR="00135B36" w:rsidP="1BED0322" w:rsidRDefault="00237B2F" w14:paraId="4719E7BC" w14:textId="2424AFFA" w14:noSpellErr="1">
            <w:pPr>
              <w:pStyle w:val="paragraph"/>
              <w:textAlignment w:val="baseline"/>
              <w:rPr>
                <w:rFonts w:ascii="IBM Plex Mono" w:hAnsi="IBM Plex Mono"/>
                <w:sz w:val="22"/>
                <w:szCs w:val="22"/>
              </w:rPr>
            </w:pPr>
            <w:r w:rsidRPr="1BED0322" w:rsidR="1BED0322">
              <w:rPr>
                <w:rStyle w:val="normaltextrun"/>
                <w:rFonts w:ascii="IBM Plex Mono" w:hAnsi="IBM Plex Mono"/>
                <w:sz w:val="22"/>
                <w:szCs w:val="22"/>
              </w:rPr>
              <w:t>As a user you should be able to view this application by going to a specific URL – proving the user was able to host their application on the cloud.</w:t>
            </w:r>
          </w:p>
          <w:p w:rsidR="00135B36" w:rsidP="00135B36" w:rsidRDefault="00135B36" w14:paraId="47DBF81B" w14:textId="77777777">
            <w:pPr>
              <w:pStyle w:val="paragraph"/>
              <w:textAlignment w:val="baseline"/>
              <w:rPr>
                <w:rStyle w:val="normaltextrun"/>
                <w:rFonts w:ascii="IBM Plex Mono" w:hAnsi="IBM Plex Mono"/>
                <w:sz w:val="22"/>
                <w:szCs w:val="22"/>
              </w:rPr>
            </w:pPr>
          </w:p>
        </w:tc>
        <w:tc>
          <w:tcPr>
            <w:tcW w:w="760" w:type="dxa"/>
            <w:tcMar/>
          </w:tcPr>
          <w:p w:rsidR="00135B36" w:rsidRDefault="00135B36" w14:paraId="5CC9F15C" w14:textId="77777777">
            <w:r w:rsidR="1BED0322">
              <w:rPr/>
              <w:t>5</w:t>
            </w:r>
          </w:p>
        </w:tc>
        <w:tc>
          <w:tcPr>
            <w:tcW w:w="1650" w:type="dxa"/>
            <w:tcMar/>
          </w:tcPr>
          <w:p w:rsidR="46A38474" w:rsidP="46A38474" w:rsidRDefault="46A38474" w14:paraId="5B6FE7EE" w14:textId="72B10810">
            <w:pPr>
              <w:pStyle w:val="Normal"/>
            </w:pPr>
          </w:p>
        </w:tc>
        <w:tc>
          <w:tcPr>
            <w:tcW w:w="1920" w:type="dxa"/>
            <w:tcMar/>
          </w:tcPr>
          <w:p w:rsidR="00135B36" w:rsidRDefault="00135B36" w14:paraId="4A3D3030" w14:textId="77777777"/>
        </w:tc>
      </w:tr>
    </w:tbl>
    <w:p w:rsidR="007F57C2" w:rsidRDefault="00636DFB" w14:paraId="2F377E97" w14:textId="77777777"/>
    <w:sectPr w:rsidR="007F57C2" w:rsidSect="001072A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BM Plex Mono">
    <w:panose1 w:val="020B0509050000000000"/>
    <w:charset w:val="00"/>
    <w:family w:val="auto"/>
    <w:pitch w:val="fixed"/>
    <w:sig w:usb0="A000006F" w:usb1="5000207B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0DB"/>
    <w:multiLevelType w:val="multilevel"/>
    <w:tmpl w:val="F9166B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77A7F"/>
    <w:multiLevelType w:val="multilevel"/>
    <w:tmpl w:val="E0D601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183A6A"/>
    <w:multiLevelType w:val="multilevel"/>
    <w:tmpl w:val="8DAEE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936B6D"/>
    <w:multiLevelType w:val="multilevel"/>
    <w:tmpl w:val="E0D601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D3757F"/>
    <w:multiLevelType w:val="multilevel"/>
    <w:tmpl w:val="9A06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BF65B8"/>
    <w:multiLevelType w:val="multilevel"/>
    <w:tmpl w:val="366AFD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6E17F5"/>
    <w:multiLevelType w:val="multilevel"/>
    <w:tmpl w:val="73C6F3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F91CA1"/>
    <w:multiLevelType w:val="multilevel"/>
    <w:tmpl w:val="FD68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342444"/>
    <w:multiLevelType w:val="multilevel"/>
    <w:tmpl w:val="9A06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1A2AEF"/>
    <w:multiLevelType w:val="multilevel"/>
    <w:tmpl w:val="366AFD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FA06B6"/>
    <w:multiLevelType w:val="multilevel"/>
    <w:tmpl w:val="3D8E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965DDE"/>
    <w:multiLevelType w:val="multilevel"/>
    <w:tmpl w:val="FD68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616092"/>
    <w:multiLevelType w:val="multilevel"/>
    <w:tmpl w:val="F9166B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36"/>
    <w:rsid w:val="001072A7"/>
    <w:rsid w:val="00135B36"/>
    <w:rsid w:val="00237B2F"/>
    <w:rsid w:val="002A5F6C"/>
    <w:rsid w:val="00556FA5"/>
    <w:rsid w:val="00636DFB"/>
    <w:rsid w:val="008F000D"/>
    <w:rsid w:val="00A52D65"/>
    <w:rsid w:val="00B354A1"/>
    <w:rsid w:val="00E47BD6"/>
    <w:rsid w:val="00F44B14"/>
    <w:rsid w:val="1BED0322"/>
    <w:rsid w:val="34B4F011"/>
    <w:rsid w:val="46A38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8BC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135B3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normaltextrun" w:customStyle="1">
    <w:name w:val="normaltextrun"/>
    <w:basedOn w:val="DefaultParagraphFont"/>
    <w:rsid w:val="00135B36"/>
  </w:style>
  <w:style w:type="character" w:styleId="eop" w:customStyle="1">
    <w:name w:val="eop"/>
    <w:basedOn w:val="DefaultParagraphFont"/>
    <w:rsid w:val="00135B36"/>
  </w:style>
  <w:style w:type="character" w:styleId="spellingerror" w:customStyle="1">
    <w:name w:val="spellingerror"/>
    <w:basedOn w:val="DefaultParagraphFont"/>
    <w:rsid w:val="00135B36"/>
  </w:style>
  <w:style w:type="table" w:styleId="TableGrid">
    <w:name w:val="Table Grid"/>
    <w:basedOn w:val="TableNormal"/>
    <w:uiPriority w:val="39"/>
    <w:rsid w:val="00135B3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 Kane</dc:creator>
  <keywords/>
  <dc:description/>
  <lastModifiedBy>Eric T. Kane</lastModifiedBy>
  <revision>6</revision>
  <dcterms:created xsi:type="dcterms:W3CDTF">2018-04-02T14:03:00.0000000Z</dcterms:created>
  <dcterms:modified xsi:type="dcterms:W3CDTF">2018-04-10T20:18:25.9318336Z</dcterms:modified>
</coreProperties>
</file>