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1D55" w14:textId="15C460FD" w:rsidR="00CA0D25" w:rsidRPr="00D73AE5" w:rsidRDefault="000A2E3F" w:rsidP="00D73AE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3AE5">
        <w:rPr>
          <w:rFonts w:ascii="Times New Roman" w:hAnsi="Times New Roman" w:cs="Times New Roman"/>
          <w:b/>
          <w:bCs/>
          <w:sz w:val="32"/>
          <w:szCs w:val="32"/>
          <w:u w:val="single"/>
        </w:rPr>
        <w:t>Microorganism as producer of organic nitrogen fertilizer</w:t>
      </w:r>
    </w:p>
    <w:p w14:paraId="34C6D523" w14:textId="276B39B7" w:rsidR="001F54F8" w:rsidRPr="000F4C00" w:rsidRDefault="000A2E3F" w:rsidP="000F4C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9875764"/>
      <w:r w:rsidRPr="00D73AE5">
        <w:rPr>
          <w:rFonts w:ascii="Times New Roman" w:hAnsi="Times New Roman" w:cs="Times New Roman"/>
          <w:b/>
          <w:bCs/>
          <w:sz w:val="28"/>
          <w:szCs w:val="28"/>
        </w:rPr>
        <w:t xml:space="preserve">Overview and </w:t>
      </w:r>
      <w:bookmarkStart w:id="1" w:name="_Hlk129873194"/>
      <w:r w:rsidRPr="00D73AE5">
        <w:rPr>
          <w:rFonts w:ascii="Times New Roman" w:hAnsi="Times New Roman" w:cs="Times New Roman"/>
          <w:b/>
          <w:bCs/>
          <w:sz w:val="28"/>
          <w:szCs w:val="28"/>
        </w:rPr>
        <w:t>potential of cyanobacteria nitrogen fixation</w:t>
      </w:r>
      <w:bookmarkEnd w:id="1"/>
    </w:p>
    <w:p w14:paraId="338993F7" w14:textId="0C91B09F" w:rsidR="000A2E3F" w:rsidRPr="00D73AE5" w:rsidRDefault="000A2E3F" w:rsidP="00D73A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29878143"/>
      <w:bookmarkEnd w:id="0"/>
      <w:r w:rsidRPr="00D73AE5">
        <w:rPr>
          <w:rFonts w:ascii="Times New Roman" w:hAnsi="Times New Roman" w:cs="Times New Roman"/>
          <w:b/>
          <w:bCs/>
          <w:sz w:val="28"/>
          <w:szCs w:val="28"/>
        </w:rPr>
        <w:t xml:space="preserve">Potential requirement for cyanobacteria </w:t>
      </w:r>
      <w:r w:rsidR="00D73AE5" w:rsidRPr="00D73AE5">
        <w:rPr>
          <w:rFonts w:ascii="Times New Roman" w:hAnsi="Times New Roman" w:cs="Times New Roman"/>
          <w:b/>
          <w:bCs/>
          <w:sz w:val="28"/>
          <w:szCs w:val="28"/>
        </w:rPr>
        <w:t xml:space="preserve">survival </w:t>
      </w:r>
    </w:p>
    <w:bookmarkEnd w:id="2"/>
    <w:p w14:paraId="4C3186D2" w14:textId="7489CCC9" w:rsidR="00D73AE5" w:rsidRPr="00D73AE5" w:rsidRDefault="00D73AE5" w:rsidP="00D73A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3AE5">
        <w:rPr>
          <w:rFonts w:ascii="Times New Roman" w:hAnsi="Times New Roman" w:cs="Times New Roman"/>
          <w:b/>
          <w:bCs/>
          <w:sz w:val="28"/>
          <w:szCs w:val="28"/>
        </w:rPr>
        <w:t xml:space="preserve">Mechanism of cyanobacteria fertilizer production </w:t>
      </w:r>
    </w:p>
    <w:p w14:paraId="65822BDC" w14:textId="4F406B1F" w:rsidR="00D73AE5" w:rsidRDefault="00D73AE5" w:rsidP="00D73A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3AE5">
        <w:rPr>
          <w:rFonts w:ascii="Times New Roman" w:hAnsi="Times New Roman" w:cs="Times New Roman"/>
          <w:b/>
          <w:bCs/>
          <w:sz w:val="28"/>
          <w:szCs w:val="28"/>
        </w:rPr>
        <w:t xml:space="preserve">Current approaches and techniques for cyanobacterial use as fertilizer </w:t>
      </w:r>
    </w:p>
    <w:p w14:paraId="755A64FE" w14:textId="725415BB" w:rsidR="00B2086F" w:rsidRDefault="00B2086F" w:rsidP="00B208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AF9A7" w14:textId="77777777" w:rsidR="00B2086F" w:rsidRPr="00B2086F" w:rsidRDefault="00B2086F" w:rsidP="00B2086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21D6B7" w14:textId="20A84850" w:rsidR="00B2086F" w:rsidRPr="00B2086F" w:rsidRDefault="00B2086F" w:rsidP="000F23D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086F">
        <w:rPr>
          <w:rFonts w:ascii="Times New Roman" w:hAnsi="Times New Roman" w:cs="Times New Roman"/>
          <w:b/>
          <w:bCs/>
          <w:sz w:val="32"/>
          <w:szCs w:val="32"/>
        </w:rPr>
        <w:t>Overview and potential of cyanobacteria nitrogen fixation</w:t>
      </w:r>
    </w:p>
    <w:p w14:paraId="35F6B3AD" w14:textId="69B010FA" w:rsidR="00D73AE5" w:rsidRPr="006068AF" w:rsidRDefault="000F4C00" w:rsidP="000F23D2">
      <w:pPr>
        <w:jc w:val="both"/>
        <w:rPr>
          <w:sz w:val="28"/>
          <w:szCs w:val="28"/>
        </w:rPr>
      </w:pPr>
      <w:r w:rsidRPr="006068AF">
        <w:rPr>
          <w:sz w:val="28"/>
          <w:szCs w:val="28"/>
        </w:rPr>
        <w:t>Cyanobacteria, also known as blue green algae, are a diverse group of gram</w:t>
      </w:r>
      <w:r w:rsidR="006068AF" w:rsidRPr="006068AF">
        <w:rPr>
          <w:sz w:val="28"/>
          <w:szCs w:val="28"/>
        </w:rPr>
        <w:t>-</w:t>
      </w:r>
      <w:r w:rsidRPr="006068AF">
        <w:rPr>
          <w:sz w:val="28"/>
          <w:szCs w:val="28"/>
        </w:rPr>
        <w:t xml:space="preserve">negative photosynthetic prokaryotes. </w:t>
      </w:r>
      <w:r w:rsidR="006068AF" w:rsidRPr="006068AF">
        <w:rPr>
          <w:sz w:val="28"/>
          <w:szCs w:val="28"/>
        </w:rPr>
        <w:t xml:space="preserve">Cyanobacteria are divided into give groups as shown in table 1. </w:t>
      </w:r>
    </w:p>
    <w:p w14:paraId="22882D66" w14:textId="5EADB701" w:rsidR="006068AF" w:rsidRDefault="006068AF" w:rsidP="006068A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480500" wp14:editId="532F80E2">
            <wp:simplePos x="0" y="0"/>
            <wp:positionH relativeFrom="column">
              <wp:posOffset>-358140</wp:posOffset>
            </wp:positionH>
            <wp:positionV relativeFrom="paragraph">
              <wp:posOffset>481330</wp:posOffset>
            </wp:positionV>
            <wp:extent cx="68580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40" y="21431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Table 1. principle group of cyanobacteria</w:t>
      </w:r>
    </w:p>
    <w:p w14:paraId="08E6D268" w14:textId="77777777" w:rsidR="00B2086F" w:rsidRDefault="00B2086F" w:rsidP="00B2086F">
      <w:pPr>
        <w:rPr>
          <w:sz w:val="28"/>
          <w:szCs w:val="28"/>
        </w:rPr>
      </w:pPr>
    </w:p>
    <w:p w14:paraId="0E4530E8" w14:textId="53A07CBD" w:rsidR="006068AF" w:rsidRDefault="00B2086F" w:rsidP="000F23D2">
      <w:pPr>
        <w:jc w:val="both"/>
        <w:rPr>
          <w:sz w:val="28"/>
          <w:szCs w:val="28"/>
        </w:rPr>
      </w:pPr>
      <w:r w:rsidRPr="00B2086F">
        <w:rPr>
          <w:sz w:val="28"/>
          <w:szCs w:val="28"/>
        </w:rPr>
        <w:t>Photosynthetic energy conversion in the cyanobacteria is</w:t>
      </w:r>
      <w:r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similar to that in eukaryotic algae and in green plants</w:t>
      </w:r>
      <w:r>
        <w:rPr>
          <w:sz w:val="28"/>
          <w:szCs w:val="28"/>
        </w:rPr>
        <w:t xml:space="preserve">. </w:t>
      </w:r>
      <w:r w:rsidRPr="00B2086F">
        <w:rPr>
          <w:sz w:val="28"/>
          <w:szCs w:val="28"/>
        </w:rPr>
        <w:t>It involves the operation of two distinct</w:t>
      </w:r>
      <w:r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photosystems,</w:t>
      </w:r>
      <w:r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photosystem I and photosystem II (PS I and PS II, respectively), which are linked in series and interact through a</w:t>
      </w:r>
      <w:r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chain of electron carriers.</w:t>
      </w:r>
    </w:p>
    <w:p w14:paraId="4EDE4696" w14:textId="040B4335" w:rsidR="00B2086F" w:rsidRDefault="00B2086F" w:rsidP="000F23D2">
      <w:pPr>
        <w:jc w:val="both"/>
        <w:rPr>
          <w:sz w:val="28"/>
          <w:szCs w:val="28"/>
        </w:rPr>
      </w:pPr>
      <w:r w:rsidRPr="00B2086F">
        <w:rPr>
          <w:sz w:val="28"/>
          <w:szCs w:val="28"/>
        </w:rPr>
        <w:t>Cyanobacteria are common in a great variety of natural</w:t>
      </w:r>
      <w:r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habitats and are often</w:t>
      </w:r>
      <w:r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abundant in fresh water and seawater,</w:t>
      </w:r>
      <w:r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as well as in terrestrial environments (100). A few genera of</w:t>
      </w:r>
      <w:r>
        <w:rPr>
          <w:sz w:val="28"/>
          <w:szCs w:val="28"/>
        </w:rPr>
        <w:t xml:space="preserve"> </w:t>
      </w:r>
      <w:proofErr w:type="spellStart"/>
      <w:r w:rsidRPr="00B2086F">
        <w:rPr>
          <w:sz w:val="28"/>
          <w:szCs w:val="28"/>
        </w:rPr>
        <w:t>heterocystous</w:t>
      </w:r>
      <w:proofErr w:type="spellEnd"/>
      <w:r w:rsidRPr="00B2086F">
        <w:rPr>
          <w:sz w:val="28"/>
          <w:szCs w:val="28"/>
        </w:rPr>
        <w:t xml:space="preserve"> cyanobacteria are engaged in specific symbiotic</w:t>
      </w:r>
      <w:r w:rsidR="002760CC"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lastRenderedPageBreak/>
        <w:t>associations with algae, fungi, liverworts, ferns, and</w:t>
      </w:r>
      <w:r w:rsidR="002760CC"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higher plants. In all these associations the endosymbiotic</w:t>
      </w:r>
      <w:r w:rsidR="002760CC"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cyanobacteria become extensively modified in their appearance, biochemical properties, and metabolic activities,</w:t>
      </w:r>
      <w:r w:rsidR="002760CC"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which results in extremely high rates of nitrogen fixation and</w:t>
      </w:r>
      <w:r w:rsidR="002760CC"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in the transfer of the bulk of the fixed nitrogen to the host</w:t>
      </w:r>
      <w:r w:rsidR="002760CC">
        <w:rPr>
          <w:sz w:val="28"/>
          <w:szCs w:val="28"/>
        </w:rPr>
        <w:t xml:space="preserve"> </w:t>
      </w:r>
      <w:r w:rsidRPr="00B2086F">
        <w:rPr>
          <w:sz w:val="28"/>
          <w:szCs w:val="28"/>
        </w:rPr>
        <w:t>organism</w:t>
      </w:r>
      <w:r w:rsidR="002760CC">
        <w:rPr>
          <w:sz w:val="28"/>
          <w:szCs w:val="28"/>
        </w:rPr>
        <w:t xml:space="preserve">. </w:t>
      </w:r>
    </w:p>
    <w:p w14:paraId="3F1DEBEC" w14:textId="786A7B4D" w:rsidR="002760CC" w:rsidRDefault="002760CC" w:rsidP="000F23D2">
      <w:pPr>
        <w:jc w:val="both"/>
        <w:rPr>
          <w:sz w:val="28"/>
          <w:szCs w:val="28"/>
        </w:rPr>
      </w:pPr>
      <w:r w:rsidRPr="002760CC">
        <w:rPr>
          <w:sz w:val="28"/>
          <w:szCs w:val="28"/>
        </w:rPr>
        <w:t>Many cyanobacteria also contribute greatly to the nitrogen</w:t>
      </w:r>
      <w:r>
        <w:rPr>
          <w:sz w:val="28"/>
          <w:szCs w:val="28"/>
        </w:rPr>
        <w:t xml:space="preserve"> </w:t>
      </w:r>
      <w:r w:rsidRPr="002760CC">
        <w:rPr>
          <w:sz w:val="28"/>
          <w:szCs w:val="28"/>
        </w:rPr>
        <w:t>economy of aquatic and terrestrial habitats through thei</w:t>
      </w:r>
      <w:r>
        <w:rPr>
          <w:sz w:val="28"/>
          <w:szCs w:val="28"/>
        </w:rPr>
        <w:t xml:space="preserve">r </w:t>
      </w:r>
      <w:r w:rsidRPr="002760CC">
        <w:rPr>
          <w:sz w:val="28"/>
          <w:szCs w:val="28"/>
        </w:rPr>
        <w:t>one, thus enabling the development of the aerobic mode of</w:t>
      </w:r>
      <w:r>
        <w:rPr>
          <w:sz w:val="28"/>
          <w:szCs w:val="28"/>
        </w:rPr>
        <w:t xml:space="preserve"> </w:t>
      </w:r>
      <w:r w:rsidRPr="002760CC">
        <w:rPr>
          <w:sz w:val="28"/>
          <w:szCs w:val="28"/>
        </w:rPr>
        <w:t>ability to fix atmospheric nitrogen</w:t>
      </w:r>
      <w:r>
        <w:rPr>
          <w:sz w:val="28"/>
          <w:szCs w:val="28"/>
        </w:rPr>
        <w:t xml:space="preserve">. </w:t>
      </w:r>
    </w:p>
    <w:p w14:paraId="0E306FA5" w14:textId="22F0FAD3" w:rsidR="000F23D2" w:rsidRPr="000F23D2" w:rsidRDefault="000F23D2" w:rsidP="000F23D2">
      <w:pPr>
        <w:jc w:val="both"/>
        <w:rPr>
          <w:sz w:val="28"/>
          <w:szCs w:val="28"/>
        </w:rPr>
      </w:pPr>
      <w:r w:rsidRPr="000F23D2">
        <w:rPr>
          <w:sz w:val="28"/>
          <w:szCs w:val="28"/>
        </w:rPr>
        <w:t>The concept of a common origin of nitrogen fixation is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consistent with the strikingly similar physical and chemical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characteristics of the nitrogen-fixing enzyme system present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in otherwise dissimilar organisms. The enzyme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complex consists of two component proteins. One is a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 xml:space="preserve">Mo-Fe protein, called </w:t>
      </w:r>
      <w:proofErr w:type="spellStart"/>
      <w:r w:rsidRPr="000F23D2">
        <w:rPr>
          <w:sz w:val="28"/>
          <w:szCs w:val="28"/>
        </w:rPr>
        <w:t>dinitrogenase</w:t>
      </w:r>
      <w:proofErr w:type="spellEnd"/>
      <w:r w:rsidRPr="000F23D2">
        <w:rPr>
          <w:sz w:val="28"/>
          <w:szCs w:val="28"/>
        </w:rPr>
        <w:t>, and the other is an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 xml:space="preserve">Fe-containing protein, </w:t>
      </w:r>
      <w:proofErr w:type="spellStart"/>
      <w:r w:rsidRPr="000F23D2">
        <w:rPr>
          <w:sz w:val="28"/>
          <w:szCs w:val="28"/>
        </w:rPr>
        <w:t>dinitrogenase</w:t>
      </w:r>
      <w:proofErr w:type="spellEnd"/>
      <w:r w:rsidRPr="000F23D2">
        <w:rPr>
          <w:sz w:val="28"/>
          <w:szCs w:val="28"/>
        </w:rPr>
        <w:t xml:space="preserve"> reductase. </w:t>
      </w:r>
      <w:proofErr w:type="spellStart"/>
      <w:r w:rsidRPr="000F23D2">
        <w:rPr>
          <w:sz w:val="28"/>
          <w:szCs w:val="28"/>
        </w:rPr>
        <w:t>Dinitrogenase</w:t>
      </w:r>
      <w:proofErr w:type="spellEnd"/>
      <w:r w:rsidRPr="000F23D2">
        <w:rPr>
          <w:sz w:val="28"/>
          <w:szCs w:val="28"/>
        </w:rPr>
        <w:t xml:space="preserve"> is a tetramer composed of two pairs of different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subunits</w:t>
      </w:r>
      <w:r w:rsidR="00484DA9">
        <w:rPr>
          <w:sz w:val="28"/>
          <w:szCs w:val="28"/>
        </w:rPr>
        <w:t>,</w:t>
      </w:r>
      <w:r w:rsidRPr="000F23D2">
        <w:rPr>
          <w:sz w:val="28"/>
          <w:szCs w:val="28"/>
        </w:rPr>
        <w:t xml:space="preserve"> it contains four (4Fe-4S) clusters and two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molecules of Mo-Fe cofactor.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The Mo-Fe cofactor is an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 xml:space="preserve">essential component of </w:t>
      </w:r>
      <w:proofErr w:type="spellStart"/>
      <w:r w:rsidRPr="000F23D2">
        <w:rPr>
          <w:sz w:val="28"/>
          <w:szCs w:val="28"/>
        </w:rPr>
        <w:t>dinitrogenase</w:t>
      </w:r>
      <w:proofErr w:type="spellEnd"/>
      <w:r w:rsidRPr="000F23D2">
        <w:rPr>
          <w:sz w:val="28"/>
          <w:szCs w:val="28"/>
        </w:rPr>
        <w:t xml:space="preserve">; it contains </w:t>
      </w:r>
      <w:proofErr w:type="gramStart"/>
      <w:r w:rsidRPr="000F23D2">
        <w:rPr>
          <w:sz w:val="28"/>
          <w:szCs w:val="28"/>
        </w:rPr>
        <w:t xml:space="preserve">eight 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Fe</w:t>
      </w:r>
      <w:proofErr w:type="gramEnd"/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and six S atoms per Mo atom, without forming 4Fe-4S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clusters. The molecular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 xml:space="preserve">mass of </w:t>
      </w:r>
      <w:proofErr w:type="spellStart"/>
      <w:r w:rsidRPr="000F23D2">
        <w:rPr>
          <w:sz w:val="28"/>
          <w:szCs w:val="28"/>
        </w:rPr>
        <w:t>dinitrogenase</w:t>
      </w:r>
      <w:proofErr w:type="spellEnd"/>
      <w:r w:rsidRPr="000F23D2">
        <w:rPr>
          <w:sz w:val="28"/>
          <w:szCs w:val="28"/>
        </w:rPr>
        <w:t xml:space="preserve"> is about 245</w:t>
      </w:r>
      <w:r>
        <w:rPr>
          <w:sz w:val="28"/>
          <w:szCs w:val="28"/>
        </w:rPr>
        <w:t xml:space="preserve"> </w:t>
      </w:r>
      <w:proofErr w:type="spellStart"/>
      <w:r w:rsidRPr="000F23D2">
        <w:rPr>
          <w:sz w:val="28"/>
          <w:szCs w:val="28"/>
        </w:rPr>
        <w:t>kDa</w:t>
      </w:r>
      <w:proofErr w:type="spellEnd"/>
      <w:r w:rsidRPr="000F23D2">
        <w:rPr>
          <w:sz w:val="28"/>
          <w:szCs w:val="28"/>
        </w:rPr>
        <w:t xml:space="preserve">. </w:t>
      </w:r>
      <w:proofErr w:type="spellStart"/>
      <w:r w:rsidRPr="000F23D2">
        <w:rPr>
          <w:sz w:val="28"/>
          <w:szCs w:val="28"/>
        </w:rPr>
        <w:t>Dinitrogenase</w:t>
      </w:r>
      <w:proofErr w:type="spellEnd"/>
      <w:r w:rsidRPr="000F23D2">
        <w:rPr>
          <w:sz w:val="28"/>
          <w:szCs w:val="28"/>
        </w:rPr>
        <w:t xml:space="preserve"> reductase is a dimer composed of two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 xml:space="preserve">identical subunits with a single (4Fe-4S) cluster and a molecular mass of about 64 </w:t>
      </w:r>
      <w:proofErr w:type="spellStart"/>
      <w:r w:rsidRPr="000F23D2">
        <w:rPr>
          <w:sz w:val="28"/>
          <w:szCs w:val="28"/>
        </w:rPr>
        <w:t>kDa</w:t>
      </w:r>
      <w:proofErr w:type="spellEnd"/>
      <w:r w:rsidRPr="000F23D2">
        <w:rPr>
          <w:sz w:val="28"/>
          <w:szCs w:val="28"/>
        </w:rPr>
        <w:t>. The Mo-Fe cofactor is</w:t>
      </w:r>
      <w:r w:rsidRPr="000F23D2">
        <w:t xml:space="preserve"> </w:t>
      </w:r>
      <w:r w:rsidRPr="000F23D2">
        <w:rPr>
          <w:sz w:val="28"/>
          <w:szCs w:val="28"/>
        </w:rPr>
        <w:t xml:space="preserve">thought to </w:t>
      </w:r>
      <w:proofErr w:type="gramStart"/>
      <w:r w:rsidRPr="000F23D2">
        <w:rPr>
          <w:sz w:val="28"/>
          <w:szCs w:val="28"/>
        </w:rPr>
        <w:t>effect</w:t>
      </w:r>
      <w:proofErr w:type="gramEnd"/>
      <w:r w:rsidRPr="000F23D2">
        <w:rPr>
          <w:sz w:val="28"/>
          <w:szCs w:val="28"/>
        </w:rPr>
        <w:t xml:space="preserve"> the binding and reduction of dinitrogen to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>ammonia:</w:t>
      </w:r>
    </w:p>
    <w:p w14:paraId="28092AB7" w14:textId="1C871135" w:rsidR="000F23D2" w:rsidRDefault="000F23D2" w:rsidP="000F23D2">
      <w:pPr>
        <w:jc w:val="both"/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469D4" wp14:editId="1326C7B6">
                <wp:simplePos x="0" y="0"/>
                <wp:positionH relativeFrom="column">
                  <wp:posOffset>1145852</wp:posOffset>
                </wp:positionH>
                <wp:positionV relativeFrom="paragraph">
                  <wp:posOffset>119380</wp:posOffset>
                </wp:positionV>
                <wp:extent cx="409433" cy="13648"/>
                <wp:effectExtent l="0" t="57150" r="29210" b="1009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53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0.2pt;margin-top:9.4pt;width:32.2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OkvQEAAM4DAAAOAAAAZHJzL2Uyb0RvYy54bWysU9uO0zAQfUfiHyy/0yTbarVETfehu/CC&#10;YMXlA7zOOLHk2NZ4aJK/x3baFAFCAu3LxJc5M2eOT/b302DYCTBoZxtebUrOwErXats1/NvXd2/u&#10;OAskbCuMs9DwGQK/P7x+tR99DTeud6YFZLGIDfXoG94T+booguxhEGHjPNh4qRwOguIWu6JFMcbq&#10;gyluyvK2GB22Hp2EEOLpw3LJD7m+UiDpk1IBiJmGR26UI+b4nGJx2Iu6Q+F7Lc80xH+wGIS2sela&#10;6kGQYN9R/1Zq0BJdcIo20g2FU0pLyDPEaaryl2m+9MJDniWKE/wqU3i5svLj6WifMMow+lAH/4Rp&#10;iknhkL6RH5uyWPMqFkzEZDzclW932y1nMl5V29vdXdKyuGI9BnoPbmBp0fBAKHTX09FZG1/FYZX1&#10;EqcPgRbgBZAaG5siCW0ebcto9tE6hFrYzsC5T0oprqTzimYDC/wzKKbbSHNpk/0ER4PsJKIThJRg&#10;qVorxewEU9qYFVhmfn8FnvMTFLLX/gW8InJnZ2kFD9o6/FN3mi6U1ZJ/UWCZO0nw7No5P2eWJpom&#10;v8nZ4MmVP+8z/PobHn4AAAD//wMAUEsDBBQABgAIAAAAIQA5Y0QX3AAAAAkBAAAPAAAAZHJzL2Rv&#10;d25yZXYueG1sTI/BTsMwEETvSPyDtUjcqE0UoSbEqRASPYIoPcDNjbdx1HgdxW4S+Hq2J7jNaJ9m&#10;Z6rN4nsx4Ri7QBruVwoEUhNsR62G/cfL3RpETIas6QOhhm+MsKmvrypT2jDTO0671AoOoVgaDS6l&#10;oZQyNg69iaswIPHtGEZvEtuxlXY0M4f7XmZKPUhvOuIPzgz47LA57c5ew1v7OfmMtp08Fl8/2/bV&#10;ntyctL69WZ4eQSRc0h8Ml/pcHWrudAhnslH07NcqZ/QieAIDWZ4XIA4sVAGyruT/BfUvAAAA//8D&#10;AFBLAQItABQABgAIAAAAIQC2gziS/gAAAOEBAAATAAAAAAAAAAAAAAAAAAAAAABbQ29udGVudF9U&#10;eXBlc10ueG1sUEsBAi0AFAAGAAgAAAAhADj9If/WAAAAlAEAAAsAAAAAAAAAAAAAAAAALwEAAF9y&#10;ZWxzLy5yZWxzUEsBAi0AFAAGAAgAAAAhAEi3s6S9AQAAzgMAAA4AAAAAAAAAAAAAAAAALgIAAGRy&#10;cy9lMm9Eb2MueG1sUEsBAi0AFAAGAAgAAAAhADljRBf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0F23D2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2</w:t>
      </w:r>
      <w:r w:rsidRPr="000F23D2">
        <w:rPr>
          <w:sz w:val="28"/>
          <w:szCs w:val="28"/>
        </w:rPr>
        <w:t xml:space="preserve"> + 6H+ + 6e -</w:t>
      </w:r>
      <w:r>
        <w:rPr>
          <w:sz w:val="28"/>
          <w:szCs w:val="28"/>
        </w:rPr>
        <w:t xml:space="preserve"> </w:t>
      </w:r>
      <w:r w:rsidRPr="000F23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Pr="000F23D2">
        <w:rPr>
          <w:sz w:val="28"/>
          <w:szCs w:val="28"/>
        </w:rPr>
        <w:t>2NH</w:t>
      </w:r>
      <w:r>
        <w:rPr>
          <w:sz w:val="28"/>
          <w:szCs w:val="28"/>
          <w:vertAlign w:val="subscript"/>
        </w:rPr>
        <w:t>3</w:t>
      </w:r>
    </w:p>
    <w:p w14:paraId="3A0BB3D1" w14:textId="11D33584" w:rsidR="000F23D2" w:rsidRDefault="00484DA9" w:rsidP="00484DA9">
      <w:pPr>
        <w:jc w:val="both"/>
        <w:rPr>
          <w:sz w:val="28"/>
          <w:szCs w:val="28"/>
        </w:rPr>
      </w:pPr>
      <w:r w:rsidRPr="00484DA9">
        <w:rPr>
          <w:sz w:val="28"/>
          <w:szCs w:val="28"/>
        </w:rPr>
        <w:t>Electrons for the reduction of N</w:t>
      </w:r>
      <w:r>
        <w:rPr>
          <w:sz w:val="28"/>
          <w:szCs w:val="28"/>
          <w:vertAlign w:val="subscript"/>
        </w:rPr>
        <w:t>2</w:t>
      </w:r>
      <w:r w:rsidRPr="00484DA9">
        <w:rPr>
          <w:sz w:val="28"/>
          <w:szCs w:val="28"/>
        </w:rPr>
        <w:t xml:space="preserve"> are supplied by </w:t>
      </w:r>
      <w:proofErr w:type="spellStart"/>
      <w:r w:rsidRPr="00484DA9">
        <w:rPr>
          <w:sz w:val="28"/>
          <w:szCs w:val="28"/>
        </w:rPr>
        <w:t>dinitrogenase</w:t>
      </w:r>
      <w:proofErr w:type="spellEnd"/>
      <w:r w:rsidRPr="00484DA9">
        <w:rPr>
          <w:sz w:val="28"/>
          <w:szCs w:val="28"/>
        </w:rPr>
        <w:t xml:space="preserve"> reductase. The</w:t>
      </w:r>
      <w:r>
        <w:rPr>
          <w:sz w:val="28"/>
          <w:szCs w:val="28"/>
        </w:rPr>
        <w:t xml:space="preserve"> </w:t>
      </w:r>
      <w:r w:rsidRPr="00484DA9">
        <w:rPr>
          <w:sz w:val="28"/>
          <w:szCs w:val="28"/>
        </w:rPr>
        <w:t>reaction is highly endergonic, requiring</w:t>
      </w:r>
      <w:r>
        <w:rPr>
          <w:sz w:val="28"/>
          <w:szCs w:val="28"/>
        </w:rPr>
        <w:t xml:space="preserve"> </w:t>
      </w:r>
      <w:r w:rsidRPr="00484DA9">
        <w:rPr>
          <w:sz w:val="28"/>
          <w:szCs w:val="28"/>
        </w:rPr>
        <w:t>about 12 to 15 mol of ATP per mol of N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484DA9">
        <w:rPr>
          <w:sz w:val="28"/>
          <w:szCs w:val="28"/>
        </w:rPr>
        <w:t>reduced.</w:t>
      </w:r>
    </w:p>
    <w:p w14:paraId="6EB8B9A7" w14:textId="72AFD6BD" w:rsidR="00484DA9" w:rsidRDefault="00484DA9" w:rsidP="000406EF">
      <w:pPr>
        <w:jc w:val="both"/>
        <w:rPr>
          <w:sz w:val="28"/>
          <w:szCs w:val="28"/>
        </w:rPr>
      </w:pPr>
      <w:r w:rsidRPr="00484DA9">
        <w:rPr>
          <w:sz w:val="28"/>
          <w:szCs w:val="28"/>
        </w:rPr>
        <w:t>Ammonia, the product of nitrogen fixation, is assimilated</w:t>
      </w:r>
      <w:r>
        <w:rPr>
          <w:sz w:val="28"/>
          <w:szCs w:val="28"/>
        </w:rPr>
        <w:t xml:space="preserve"> </w:t>
      </w:r>
      <w:r w:rsidRPr="00484DA9">
        <w:rPr>
          <w:sz w:val="28"/>
          <w:szCs w:val="28"/>
        </w:rPr>
        <w:t>mainly via the glutamine synthetase-glutamate synthase</w:t>
      </w:r>
      <w:r>
        <w:rPr>
          <w:sz w:val="28"/>
          <w:szCs w:val="28"/>
        </w:rPr>
        <w:t xml:space="preserve"> </w:t>
      </w:r>
      <w:r w:rsidRPr="00484DA9">
        <w:rPr>
          <w:sz w:val="28"/>
          <w:szCs w:val="28"/>
        </w:rPr>
        <w:t>pathway, in the same way as exogenously supplied ammonia. Other enzymes, such as alanine dehydrogenase</w:t>
      </w:r>
      <w:r>
        <w:rPr>
          <w:sz w:val="28"/>
          <w:szCs w:val="28"/>
        </w:rPr>
        <w:t xml:space="preserve"> </w:t>
      </w:r>
      <w:r w:rsidRPr="00484DA9">
        <w:rPr>
          <w:sz w:val="28"/>
          <w:szCs w:val="28"/>
        </w:rPr>
        <w:t>and glutamate dehydrogenase, may have a minor role in</w:t>
      </w:r>
      <w:r>
        <w:rPr>
          <w:sz w:val="28"/>
          <w:szCs w:val="28"/>
        </w:rPr>
        <w:t xml:space="preserve"> </w:t>
      </w:r>
      <w:r w:rsidRPr="00484DA9">
        <w:rPr>
          <w:sz w:val="28"/>
          <w:szCs w:val="28"/>
        </w:rPr>
        <w:t>ammonia incorporation.</w:t>
      </w:r>
      <w:r w:rsidR="000406EF" w:rsidRPr="000406EF">
        <w:t xml:space="preserve"> </w:t>
      </w:r>
      <w:r w:rsidR="000406EF" w:rsidRPr="000406EF">
        <w:rPr>
          <w:sz w:val="28"/>
          <w:szCs w:val="28"/>
        </w:rPr>
        <w:t>In some nitrogen-fixing organisms the supply of</w:t>
      </w:r>
      <w:r w:rsidR="000406EF">
        <w:rPr>
          <w:sz w:val="28"/>
          <w:szCs w:val="28"/>
        </w:rPr>
        <w:t xml:space="preserve"> </w:t>
      </w:r>
      <w:r w:rsidR="000406EF" w:rsidRPr="000406EF">
        <w:rPr>
          <w:sz w:val="28"/>
          <w:szCs w:val="28"/>
        </w:rPr>
        <w:t>ammonia may rapidly inhibit nitrogenase</w:t>
      </w:r>
      <w:r w:rsidR="000406EF">
        <w:rPr>
          <w:sz w:val="28"/>
          <w:szCs w:val="28"/>
        </w:rPr>
        <w:t xml:space="preserve"> </w:t>
      </w:r>
      <w:r w:rsidR="000406EF" w:rsidRPr="000406EF">
        <w:rPr>
          <w:sz w:val="28"/>
          <w:szCs w:val="28"/>
        </w:rPr>
        <w:t>activity. This reversible inhibition by ammonia is attributed to a modification</w:t>
      </w:r>
      <w:r w:rsidR="000406EF">
        <w:rPr>
          <w:sz w:val="28"/>
          <w:szCs w:val="28"/>
        </w:rPr>
        <w:t xml:space="preserve"> </w:t>
      </w:r>
      <w:r w:rsidR="000406EF" w:rsidRPr="000406EF">
        <w:rPr>
          <w:sz w:val="28"/>
          <w:szCs w:val="28"/>
        </w:rPr>
        <w:t>of one subunit of nitrogenase reductase</w:t>
      </w:r>
      <w:r w:rsidR="000406EF">
        <w:rPr>
          <w:sz w:val="28"/>
          <w:szCs w:val="28"/>
        </w:rPr>
        <w:t>.</w:t>
      </w:r>
    </w:p>
    <w:p w14:paraId="450A2707" w14:textId="77777777" w:rsidR="00320FBB" w:rsidRDefault="00320FBB" w:rsidP="000406EF">
      <w:pPr>
        <w:jc w:val="both"/>
        <w:rPr>
          <w:sz w:val="28"/>
          <w:szCs w:val="28"/>
        </w:rPr>
      </w:pPr>
    </w:p>
    <w:p w14:paraId="150128AF" w14:textId="38E77D35" w:rsidR="00320FBB" w:rsidRDefault="00320FBB" w:rsidP="000406EF">
      <w:pPr>
        <w:jc w:val="both"/>
        <w:rPr>
          <w:b/>
          <w:bCs/>
          <w:sz w:val="32"/>
          <w:szCs w:val="32"/>
        </w:rPr>
      </w:pPr>
      <w:r w:rsidRPr="00320FBB">
        <w:rPr>
          <w:b/>
          <w:bCs/>
          <w:sz w:val="32"/>
          <w:szCs w:val="32"/>
        </w:rPr>
        <w:lastRenderedPageBreak/>
        <w:t>Potential requirement for cyanobacteria survival</w:t>
      </w:r>
    </w:p>
    <w:p w14:paraId="23BB2782" w14:textId="43311007" w:rsidR="00320FBB" w:rsidRPr="00320FBB" w:rsidRDefault="00320FBB" w:rsidP="000406EF">
      <w:pPr>
        <w:jc w:val="both"/>
        <w:rPr>
          <w:b/>
          <w:bCs/>
          <w:sz w:val="28"/>
          <w:szCs w:val="28"/>
        </w:rPr>
      </w:pPr>
      <w:r w:rsidRPr="00320FBB">
        <w:rPr>
          <w:b/>
          <w:bCs/>
          <w:sz w:val="28"/>
          <w:szCs w:val="28"/>
        </w:rPr>
        <w:t xml:space="preserve">Effect of oxygen on nitrogen fixation </w:t>
      </w:r>
    </w:p>
    <w:p w14:paraId="4C40C5E4" w14:textId="487E98A4" w:rsidR="00320FBB" w:rsidRPr="00320FBB" w:rsidRDefault="00320FBB" w:rsidP="000406EF">
      <w:pPr>
        <w:jc w:val="both"/>
        <w:rPr>
          <w:b/>
          <w:bCs/>
          <w:sz w:val="28"/>
          <w:szCs w:val="28"/>
        </w:rPr>
      </w:pPr>
      <w:r w:rsidRPr="00320FBB">
        <w:rPr>
          <w:b/>
          <w:bCs/>
          <w:sz w:val="28"/>
          <w:szCs w:val="28"/>
        </w:rPr>
        <w:t xml:space="preserve">Effect of seasons on nitrogen fixation </w:t>
      </w:r>
    </w:p>
    <w:p w14:paraId="3BB2B78D" w14:textId="77777777" w:rsidR="00320FBB" w:rsidRPr="00320FBB" w:rsidRDefault="00320FBB" w:rsidP="000406EF">
      <w:pPr>
        <w:jc w:val="both"/>
        <w:rPr>
          <w:b/>
          <w:bCs/>
          <w:sz w:val="32"/>
          <w:szCs w:val="32"/>
        </w:rPr>
      </w:pPr>
    </w:p>
    <w:sectPr w:rsidR="00320FBB" w:rsidRPr="0032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105"/>
    <w:multiLevelType w:val="hybridMultilevel"/>
    <w:tmpl w:val="CA9C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A7791"/>
    <w:multiLevelType w:val="hybridMultilevel"/>
    <w:tmpl w:val="3F588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045645">
    <w:abstractNumId w:val="0"/>
  </w:num>
  <w:num w:numId="2" w16cid:durableId="134690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3F"/>
    <w:rsid w:val="000406EF"/>
    <w:rsid w:val="000A2E3F"/>
    <w:rsid w:val="000F23D2"/>
    <w:rsid w:val="000F4C00"/>
    <w:rsid w:val="001F54F8"/>
    <w:rsid w:val="002760CC"/>
    <w:rsid w:val="00320FBB"/>
    <w:rsid w:val="00370665"/>
    <w:rsid w:val="00484DA9"/>
    <w:rsid w:val="006068AF"/>
    <w:rsid w:val="006100A1"/>
    <w:rsid w:val="00846C09"/>
    <w:rsid w:val="00B2086F"/>
    <w:rsid w:val="00C74C15"/>
    <w:rsid w:val="00CA0D25"/>
    <w:rsid w:val="00D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B6ED"/>
  <w15:chartTrackingRefBased/>
  <w15:docId w15:val="{95AC54A4-6484-48AC-8B08-00BF9533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D9F1E48BDDA4FA1AA859884DF89F1" ma:contentTypeVersion="3" ma:contentTypeDescription="Create a new document." ma:contentTypeScope="" ma:versionID="9d9a468f30bc4003d4905dd1ca483309">
  <xsd:schema xmlns:xsd="http://www.w3.org/2001/XMLSchema" xmlns:xs="http://www.w3.org/2001/XMLSchema" xmlns:p="http://schemas.microsoft.com/office/2006/metadata/properties" xmlns:ns3="d99b82ad-eee1-4a0e-bf33-69b34c84c6c4" targetNamespace="http://schemas.microsoft.com/office/2006/metadata/properties" ma:root="true" ma:fieldsID="bfa668b7d7302d8e83fe8e8c879daf8f" ns3:_="">
    <xsd:import namespace="d99b82ad-eee1-4a0e-bf33-69b34c84c6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b82ad-eee1-4a0e-bf33-69b34c84c6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BDE15C-28D6-4C6B-BD65-225C00D1E6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19C32B-40A3-4511-B467-B1BA63C3F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37BC0-04AF-4993-9337-73EA04B4F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9b82ad-eee1-4a0e-bf33-69b34c84c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MULFSCMM2200296</dc:creator>
  <cp:keywords/>
  <dc:description/>
  <cp:lastModifiedBy>MULFSCMM2200296</cp:lastModifiedBy>
  <cp:revision>2</cp:revision>
  <dcterms:created xsi:type="dcterms:W3CDTF">2023-03-16T11:58:00Z</dcterms:created>
  <dcterms:modified xsi:type="dcterms:W3CDTF">2023-03-16T11:58:00Z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0x010100F28D9F1E48BDDA4FA1AA859884DF89F1</vt:lpwstr>
  </property>
</Properties>
</file>