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3D819BD5" w14:textId="44C13DB6" w:rsidR="008D5CCC" w:rsidRDefault="00F930A8" w:rsidP="008D5CCC">
      <w:pPr>
        <w:pStyle w:val="Heading2"/>
      </w:pPr>
      <w:bookmarkStart w:id="2" w:name="_Toc228796393"/>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r>
        <w:t>Introduction t</w:t>
      </w:r>
      <w:r w:rsidR="0058605B">
        <w:t>o Company</w:t>
      </w:r>
    </w:p>
    <w:p w14:paraId="47210A70" w14:textId="77777777" w:rsidR="00416985" w:rsidRDefault="00416985" w:rsidP="00416985">
      <w:bookmarkStart w:id="3" w:name="_Toc228796394"/>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7777777" w:rsidR="00416985" w:rsidRDefault="00416985" w:rsidP="00416985">
      <w:r>
        <w:t>FEV Europe GmbH is widely recognized as an established expert within the automotive industry, particularly for its benchmarking and consulting services [NEED REFERENCE: evidence of FEV’s expertise and services in the automotive sector].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r>
        <w:t>Objective</w:t>
      </w:r>
      <w:bookmarkEnd w:id="3"/>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w:t>
      </w:r>
      <w:r>
        <w:lastRenderedPageBreak/>
        <w:t>performance or whether its suitability is dependent on specific system configurations and operating 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4" w:name="_Toc228796395"/>
      <w:r>
        <w:t>Thesis Configuration</w:t>
      </w:r>
      <w:bookmarkEnd w:id="4"/>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5" w:name="_Toc228796396"/>
      <w:r>
        <w:lastRenderedPageBreak/>
        <w:t>Literature Review</w:t>
      </w:r>
      <w:bookmarkEnd w:id="5"/>
    </w:p>
    <w:p w14:paraId="47790120" w14:textId="16F67166" w:rsidR="000C03C6" w:rsidRDefault="00154401" w:rsidP="000C03C6">
      <w:pPr>
        <w:pStyle w:val="Heading2"/>
      </w:pPr>
      <w:bookmarkStart w:id="6" w:name="_Toc228796397"/>
      <w:bookmarkEnd w:id="6"/>
      <w:commentRangeStart w:id="7"/>
      <w:r>
        <w:t xml:space="preserve">Power-to-X Integration for </w:t>
      </w:r>
      <w:r w:rsidR="00D95D94">
        <w:t>Methanol Synthesis System</w:t>
      </w:r>
      <w:commentRangeEnd w:id="7"/>
      <w:r w:rsidR="00D95D94">
        <w:rPr>
          <w:rStyle w:val="CommentReference"/>
          <w:sz w:val="24"/>
          <w:szCs w:val="28"/>
        </w:rPr>
        <w:commentReference w:id="7"/>
      </w:r>
    </w:p>
    <w:p w14:paraId="46926427" w14:textId="7777777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p>
    <w:p w14:paraId="6839A6F1" w14:textId="77777777" w:rsidR="00D24498" w:rsidRDefault="00D24498" w:rsidP="00D24498"/>
    <w:p w14:paraId="79191238" w14:textId="77777777" w:rsidR="00D24498" w:rsidRDefault="00D24498" w:rsidP="00D24498">
      <w:r>
        <w:t>In the biomass pathway, available feedstocks are converted into either syngas or biogas, which is subsequently upgraded to syngas for methanol production. 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 [NEED REFERENCE: comparative assessment of AD vs. gasification routes for methanol production, including process complexity and integration constraints]</w:t>
      </w:r>
    </w:p>
    <w:p w14:paraId="00805212" w14:textId="77777777" w:rsidR="00D24498" w:rsidRDefault="00D24498" w:rsidP="00D24498"/>
    <w:p w14:paraId="51DCD751" w14:textId="11A18AA5" w:rsidR="00D24498" w:rsidRDefault="00D24498" w:rsidP="00D24498">
      <w:r>
        <w:t xml:space="preserve">The hydrogen pathway begins with the electrochemical splitting of water into hydrogen and oxygen using an electrolyzer. 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 (e.g., https://doi.org/10.1016/j.apenergy.2020.115113). However, key challenges include long-term stack durability, technological maturity, and limited operational flexibility, which is particularly relevant for systems coupled to variable renewable electricity. Techno-economic comparisons </w:t>
      </w:r>
      <w:r>
        <w:lastRenderedPageBreak/>
        <w:t xml:space="preserve">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 (e.g., </w:t>
      </w:r>
      <w:hyperlink r:id="rId19" w:history="1">
        <w:r w:rsidRPr="00593531">
          <w:rPr>
            <w:rStyle w:val="Hyperlink"/>
          </w:rPr>
          <w:t>https://doi.org/10.1016/j.ijhydene.2026.153394</w:t>
        </w:r>
      </w:hyperlink>
      <w:r>
        <w:t>).</w:t>
      </w:r>
    </w:p>
    <w:p w14:paraId="097E0AD6" w14:textId="77777777" w:rsidR="00D24498" w:rsidRDefault="00D24498" w:rsidP="00D24498"/>
    <w:p w14:paraId="203D2AB3" w14:textId="77777777" w:rsidR="00D24498" w:rsidRDefault="00D24498" w:rsidP="00D24498">
      <w:r>
        <w:t>In the integrated configuration, the electrolyzer produces both hydrogen and oxygen. Hydrogen is compressed and supplied to the methanol synthesis reactor, while the co-produced oxygen can be utilized in an autothermal reformer (ATR) to convert methane (e.g., from biogas) into syngas. The biomass-derived and electrolysis-derived streams are thus combined upstream of, or within, the methanol synthesis loop. [NEED REFERENCE: process integration scheme describing oxygen use in ATR and hydrogen blending in methanol synthesis]</w:t>
      </w:r>
    </w:p>
    <w:p w14:paraId="3C75F4DD" w14:textId="77777777" w:rsidR="00D24498" w:rsidRDefault="00D24498" w:rsidP="00D24498"/>
    <w:p w14:paraId="659BDA8F" w14:textId="2C2F220F"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(e.g., https://dx.doi.org/10.2139/ssrn.4184476). Another analysis indicates that a state-of-the-art biomass-to-methanol process achieves approximately 53.3% efficiency with a 4.8-year payback period, while integrating electrolysis for full carbon conversion increases efficiency to 64.5–66.0%, albeit with less favorable economics (e.g., https://doi.org/10.1016/j.apenergy.2019.114071). Furthermore, under favorable electricity price conditions, flexible operation can allow the plant to capture value from temporal price variations instead of operating continuously at a fixed load (e.g., </w:t>
      </w:r>
      <w:hyperlink r:id="rId20" w:history="1">
        <w:r w:rsidRPr="00593531">
          <w:rPr>
            <w:rStyle w:val="Hyperlink"/>
          </w:rPr>
          <w:t>https://doi.org/10.1016/j.fuel.2021.122113</w:t>
        </w:r>
      </w:hyperlink>
      <w:r>
        <w:t>).</w:t>
      </w:r>
    </w:p>
    <w:p w14:paraId="68C258DF" w14:textId="77777777" w:rsidR="00D24498" w:rsidRDefault="00D24498" w:rsidP="00D24498"/>
    <w:p w14:paraId="271C8F5F" w14:textId="77777777" w:rsidR="00D24498" w:rsidRDefault="00D24498" w:rsidP="00D24498">
      <w:r>
        <w:t xml:space="preserve">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w:t>
      </w:r>
      <w:r>
        <w:lastRenderedPageBreak/>
        <w:t>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t xml:space="preserve"> </w:t>
      </w:r>
    </w:p>
    <w:p w14:paraId="583C2343" w14:textId="77777777" w:rsidR="005E0632" w:rsidRDefault="005E0632" w:rsidP="005E0632">
      <w:pPr>
        <w:pStyle w:val="Heading2"/>
      </w:pPr>
      <w:r>
        <w:t>MILP for Complex Polygeneration System</w:t>
      </w:r>
    </w:p>
    <w:p w14:paraId="63EFF475" w14:textId="77777777" w:rsidR="00D24498" w:rsidRPr="00D24498" w:rsidRDefault="00D24498" w:rsidP="00D24498"/>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lastRenderedPageBreak/>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 xml:space="preserve">Some example of </w:t>
      </w:r>
      <w:r w:rsidR="00184C0F">
        <w:lastRenderedPageBreak/>
        <w:t>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t>
      </w:r>
      <w:r w:rsidR="00AC3E32">
        <w:rPr>
          <w:color w:val="000000"/>
        </w:rPr>
        <w:lastRenderedPageBreak/>
        <w:t xml:space="preserve">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xml:space="preserve">. According to the authors of the study, this poorer </w:t>
      </w:r>
      <w:r w:rsidR="009C7B62">
        <w:rPr>
          <w:color w:val="000000"/>
        </w:rPr>
        <w:lastRenderedPageBreak/>
        <w:t>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8" w:name="_Toc228796398"/>
      <w:r>
        <w:lastRenderedPageBreak/>
        <w:t>Methodology</w:t>
      </w:r>
      <w:bookmarkEnd w:id="8"/>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9"/>
      <w:r>
        <w:t>Outerloop comparison</w:t>
      </w:r>
      <w:commentRangeEnd w:id="9"/>
      <w:r w:rsidR="00DF6038">
        <w:rPr>
          <w:rStyle w:val="CommentReference"/>
          <w:sz w:val="24"/>
          <w:szCs w:val="22"/>
        </w:rPr>
        <w:commentReference w:id="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0"/>
      <w:r w:rsidR="00256B82">
        <w:rPr>
          <w:rStyle w:val="CommentReference"/>
          <w:sz w:val="24"/>
          <w:szCs w:val="22"/>
        </w:rPr>
        <w:commentReference w:id="10"/>
      </w:r>
    </w:p>
    <w:p w14:paraId="6070765E" w14:textId="77777777" w:rsidR="00B31F92" w:rsidRDefault="00747C08" w:rsidP="00747C08">
      <w:pPr>
        <w:pStyle w:val="ListParagraph"/>
        <w:numPr>
          <w:ilvl w:val="1"/>
          <w:numId w:val="22"/>
        </w:numPr>
      </w:pPr>
      <w:commentRangeStart w:id="11"/>
      <w:r>
        <w:t>Innerloop comparison</w:t>
      </w:r>
      <w:commentRangeEnd w:id="11"/>
      <w:r w:rsidR="0011075C">
        <w:rPr>
          <w:rStyle w:val="CommentReference"/>
          <w:sz w:val="24"/>
          <w:szCs w:val="22"/>
        </w:rPr>
        <w:commentReference w:id="1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3"/>
      <w:r w:rsidR="0000458F">
        <w:t xml:space="preserve">BO </w:t>
      </w:r>
      <w:r w:rsidR="005D0C99">
        <w:t xml:space="preserve">Oemof Linear </w:t>
      </w:r>
      <w:commentRangeEnd w:id="13"/>
      <w:r w:rsidR="00A60202">
        <w:rPr>
          <w:rStyle w:val="CommentReference"/>
          <w:sz w:val="24"/>
          <w:szCs w:val="22"/>
        </w:rPr>
        <w:commentReference w:id="13"/>
      </w:r>
      <w:r w:rsidR="00850A92">
        <w:t>pathway</w:t>
      </w:r>
      <w:r w:rsidR="00987FED">
        <w:t xml:space="preserve"> </w:t>
      </w:r>
      <w:commentRangeEnd w:id="12"/>
      <w:r w:rsidR="00BE4B11">
        <w:rPr>
          <w:rStyle w:val="CommentReference"/>
          <w:sz w:val="24"/>
          <w:szCs w:val="22"/>
        </w:rPr>
        <w:commentReference w:id="1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4" w:name="_Toc228796399"/>
      <w:r>
        <w:lastRenderedPageBreak/>
        <w:t>Results and Discussions</w:t>
      </w:r>
      <w:bookmarkEnd w:id="14"/>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5" w:name="_Toc228796400"/>
      <w:r>
        <w:lastRenderedPageBreak/>
        <w:t>Conclusions</w:t>
      </w:r>
      <w:bookmarkEnd w:id="15"/>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6" w:name="_Toc228796401"/>
      <w:r>
        <w:lastRenderedPageBreak/>
        <w:t>References</w:t>
      </w:r>
      <w:bookmarkEnd w:id="16"/>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D1F89" w14:textId="77777777" w:rsidR="009314F0" w:rsidRDefault="009314F0" w:rsidP="00A91C8E">
      <w:pPr>
        <w:spacing w:line="240" w:lineRule="auto"/>
      </w:pPr>
      <w:r>
        <w:separator/>
      </w:r>
    </w:p>
  </w:endnote>
  <w:endnote w:type="continuationSeparator" w:id="0">
    <w:p w14:paraId="019009B6" w14:textId="77777777" w:rsidR="009314F0" w:rsidRDefault="009314F0"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2A935" w14:textId="77777777" w:rsidR="009314F0" w:rsidRDefault="009314F0" w:rsidP="00A91C8E">
      <w:pPr>
        <w:spacing w:line="240" w:lineRule="auto"/>
      </w:pPr>
      <w:r>
        <w:separator/>
      </w:r>
    </w:p>
  </w:footnote>
  <w:footnote w:type="continuationSeparator" w:id="0">
    <w:p w14:paraId="26456676" w14:textId="77777777" w:rsidR="009314F0" w:rsidRDefault="009314F0"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4"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4"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9"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5"/>
  </w:num>
  <w:num w:numId="4" w16cid:durableId="2147312317">
    <w:abstractNumId w:val="26"/>
  </w:num>
  <w:num w:numId="5" w16cid:durableId="1468888951">
    <w:abstractNumId w:val="41"/>
  </w:num>
  <w:num w:numId="6" w16cid:durableId="1505826805">
    <w:abstractNumId w:val="32"/>
  </w:num>
  <w:num w:numId="7" w16cid:durableId="410201841">
    <w:abstractNumId w:val="12"/>
  </w:num>
  <w:num w:numId="8" w16cid:durableId="177933021">
    <w:abstractNumId w:val="38"/>
  </w:num>
  <w:num w:numId="9" w16cid:durableId="453066233">
    <w:abstractNumId w:val="23"/>
  </w:num>
  <w:num w:numId="10" w16cid:durableId="308437867">
    <w:abstractNumId w:val="25"/>
  </w:num>
  <w:num w:numId="11" w16cid:durableId="2044015130">
    <w:abstractNumId w:val="37"/>
  </w:num>
  <w:num w:numId="12" w16cid:durableId="1894543432">
    <w:abstractNumId w:val="3"/>
  </w:num>
  <w:num w:numId="13" w16cid:durableId="1145977386">
    <w:abstractNumId w:val="11"/>
  </w:num>
  <w:num w:numId="14" w16cid:durableId="1105805891">
    <w:abstractNumId w:val="24"/>
  </w:num>
  <w:num w:numId="15" w16cid:durableId="1910379217">
    <w:abstractNumId w:val="17"/>
  </w:num>
  <w:num w:numId="16" w16cid:durableId="532619251">
    <w:abstractNumId w:val="33"/>
  </w:num>
  <w:num w:numId="17" w16cid:durableId="483934593">
    <w:abstractNumId w:val="14"/>
  </w:num>
  <w:num w:numId="18" w16cid:durableId="114177715">
    <w:abstractNumId w:val="28"/>
  </w:num>
  <w:num w:numId="19" w16cid:durableId="1754081084">
    <w:abstractNumId w:val="34"/>
  </w:num>
  <w:num w:numId="20" w16cid:durableId="1659842329">
    <w:abstractNumId w:val="44"/>
  </w:num>
  <w:num w:numId="21" w16cid:durableId="163865201">
    <w:abstractNumId w:val="8"/>
  </w:num>
  <w:num w:numId="22" w16cid:durableId="1701786197">
    <w:abstractNumId w:val="22"/>
  </w:num>
  <w:num w:numId="23" w16cid:durableId="1258517052">
    <w:abstractNumId w:val="16"/>
  </w:num>
  <w:num w:numId="24" w16cid:durableId="961375172">
    <w:abstractNumId w:val="5"/>
  </w:num>
  <w:num w:numId="25" w16cid:durableId="1663504458">
    <w:abstractNumId w:val="15"/>
  </w:num>
  <w:num w:numId="26" w16cid:durableId="307058015">
    <w:abstractNumId w:val="39"/>
  </w:num>
  <w:num w:numId="27" w16cid:durableId="82074765">
    <w:abstractNumId w:val="29"/>
  </w:num>
  <w:num w:numId="28" w16cid:durableId="231620995">
    <w:abstractNumId w:val="42"/>
  </w:num>
  <w:num w:numId="29" w16cid:durableId="941106550">
    <w:abstractNumId w:val="31"/>
  </w:num>
  <w:num w:numId="30" w16cid:durableId="1248537759">
    <w:abstractNumId w:val="4"/>
  </w:num>
  <w:num w:numId="31" w16cid:durableId="113404857">
    <w:abstractNumId w:val="30"/>
  </w:num>
  <w:num w:numId="32" w16cid:durableId="405617677">
    <w:abstractNumId w:val="9"/>
  </w:num>
  <w:num w:numId="33" w16cid:durableId="667246042">
    <w:abstractNumId w:val="20"/>
  </w:num>
  <w:num w:numId="34" w16cid:durableId="763064616">
    <w:abstractNumId w:val="36"/>
  </w:num>
  <w:num w:numId="35" w16cid:durableId="481195516">
    <w:abstractNumId w:val="13"/>
  </w:num>
  <w:num w:numId="36" w16cid:durableId="1067534202">
    <w:abstractNumId w:val="43"/>
  </w:num>
  <w:num w:numId="37" w16cid:durableId="1271402247">
    <w:abstractNumId w:val="45"/>
  </w:num>
  <w:num w:numId="38" w16cid:durableId="1723824251">
    <w:abstractNumId w:val="21"/>
  </w:num>
  <w:num w:numId="39" w16cid:durableId="545145559">
    <w:abstractNumId w:val="2"/>
  </w:num>
  <w:num w:numId="40" w16cid:durableId="1538007799">
    <w:abstractNumId w:val="40"/>
  </w:num>
  <w:num w:numId="41" w16cid:durableId="151679100">
    <w:abstractNumId w:val="6"/>
  </w:num>
  <w:num w:numId="42" w16cid:durableId="3556738">
    <w:abstractNumId w:val="7"/>
  </w:num>
  <w:num w:numId="43" w16cid:durableId="785393384">
    <w:abstractNumId w:val="27"/>
  </w:num>
  <w:num w:numId="44" w16cid:durableId="993264226">
    <w:abstractNumId w:val="1"/>
  </w:num>
  <w:num w:numId="45" w16cid:durableId="273287179">
    <w:abstractNumId w:val="19"/>
  </w:num>
  <w:num w:numId="46" w16cid:durableId="213275907">
    <w:abstractNumId w:val="18"/>
  </w:num>
  <w:num w:numId="47" w16cid:durableId="159031035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6577"/>
    <w:rsid w:val="00530229"/>
    <w:rsid w:val="00530C61"/>
    <w:rsid w:val="0053243E"/>
    <w:rsid w:val="0053273A"/>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doi.org/10.1016/j.fuel.2021.1221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doi.org/10.1016/j.ijhydene.2026.15339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3213"/>
    <w:rsid w:val="003A41B9"/>
    <w:rsid w:val="004A039B"/>
    <w:rsid w:val="004A3857"/>
    <w:rsid w:val="0056319B"/>
    <w:rsid w:val="00567653"/>
    <w:rsid w:val="005A2D59"/>
    <w:rsid w:val="005B691E"/>
    <w:rsid w:val="005D6A23"/>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540A5"/>
    <w:rsid w:val="00972ECE"/>
    <w:rsid w:val="00990BD7"/>
    <w:rsid w:val="00994A7B"/>
    <w:rsid w:val="009C0C40"/>
    <w:rsid w:val="009D185F"/>
    <w:rsid w:val="00A0380F"/>
    <w:rsid w:val="00A16840"/>
    <w:rsid w:val="00A9316A"/>
    <w:rsid w:val="00AA3301"/>
    <w:rsid w:val="00AE3127"/>
    <w:rsid w:val="00AF507F"/>
    <w:rsid w:val="00B06229"/>
    <w:rsid w:val="00B279BC"/>
    <w:rsid w:val="00B53DF7"/>
    <w:rsid w:val="00C9538A"/>
    <w:rsid w:val="00CD72E4"/>
    <w:rsid w:val="00D74283"/>
    <w:rsid w:val="00DA1BDA"/>
    <w:rsid w:val="00DF0C8C"/>
    <w:rsid w:val="00DF3A7C"/>
    <w:rsid w:val="00DF4D73"/>
    <w:rsid w:val="00DF7D90"/>
    <w:rsid w:val="00E24E9F"/>
    <w:rsid w:val="00ED4800"/>
    <w:rsid w:val="00F57839"/>
    <w:rsid w:val="00F744D8"/>
    <w:rsid w:val="00F86607"/>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4488</Words>
  <Characters>25585</Characters>
  <Application>Microsoft Office Word</Application>
  <DocSecurity>0</DocSecurity>
  <Lines>213</Lines>
  <Paragraphs>60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30013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509</cp:revision>
  <cp:lastPrinted>2024-07-31T02:52:00Z</cp:lastPrinted>
  <dcterms:created xsi:type="dcterms:W3CDTF">2026-05-04T09:51:00Z</dcterms:created>
  <dcterms:modified xsi:type="dcterms:W3CDTF">2026-07-15T14:43:00Z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