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jc w:val="center"/>
      </w:pPr>
      <w:r>
        <w:rPr>
          <w:rFonts w:ascii="Arial" w:cs="Arial" w:eastAsia="Arial" w:hAnsi="Arial"/>
          <w:b/>
          <w:bCs/>
          <w:caps/>
          <w:color w:val="C8102E"/>
          <w:sz w:val="28"/>
          <w:szCs w:val="28"/>
        </w:rPr>
        <w:t xml:space="preserve">POLITICAL INSIGHTS BD</w:t>
      </w:r>
    </w:p>
    <w:p>
      <w:pPr>
        <w:spacing w:before="40" w:after="600"/>
        <w:jc w:val="center"/>
      </w:pPr>
      <w:r>
        <w:rPr>
          <w:rFonts w:ascii="Arial" w:cs="Arial" w:eastAsia="Arial" w:hAnsi="Arial"/>
          <w:i/>
          <w:iCs/>
          <w:color w:val="4A4A4A"/>
          <w:sz w:val="22"/>
          <w:szCs w:val="22"/>
        </w:rPr>
        <w:t xml:space="preserve">Policy Research &amp; Governance Analysis</w:t>
      </w:r>
    </w:p>
    <w:p>
      <w:pPr>
        <w:pBdr>
          <w:top w:val="single" w:color="C8102E" w:sz="12"/>
          <w:bottom w:val="single" w:color="C8102E" w:sz="12"/>
        </w:pBdr>
        <w:spacing w:before="0" w:after="0"/>
        <w:jc w:val="center"/>
      </w:pPr>
      <w:r>
        <w:rPr>
          <w:rFonts w:ascii="Arial" w:cs="Arial" w:eastAsia="Arial" w:hAnsi="Arial"/>
          <w:sz w:val="8"/>
          <w:szCs w:val="8"/>
        </w:rPr>
        <w:t xml:space="preserve"> </w:t>
      </w:r>
    </w:p>
    <w:p>
      <w:pPr>
        <w:spacing w:before="400" w:after="120"/>
        <w:jc w:val="center"/>
      </w:pPr>
      <w:r>
        <w:rPr>
          <w:rFonts w:ascii="Arial" w:cs="Arial" w:eastAsia="Arial" w:hAnsi="Arial"/>
          <w:b/>
          <w:bCs/>
          <w:color w:val="1B3A6B"/>
          <w:sz w:val="64"/>
          <w:szCs w:val="64"/>
        </w:rPr>
        <w:t xml:space="preserve">National Artificial Intelligence Policy</w:t>
      </w:r>
    </w:p>
    <w:p>
      <w:pPr>
        <w:spacing w:before="0" w:after="80"/>
        <w:jc w:val="center"/>
      </w:pPr>
      <w:r>
        <w:rPr>
          <w:rFonts w:ascii="Arial" w:cs="Arial" w:eastAsia="Arial" w:hAnsi="Arial"/>
          <w:b/>
          <w:bCs/>
          <w:color w:val="1B3A6B"/>
          <w:sz w:val="56"/>
          <w:szCs w:val="56"/>
        </w:rPr>
        <w:t xml:space="preserve">of Bangladesh</w:t>
      </w:r>
    </w:p>
    <w:p>
      <w:pPr>
        <w:spacing w:before="80" w:after="400"/>
        <w:jc w:val="center"/>
      </w:pPr>
      <w:r>
        <w:rPr>
          <w:rFonts w:ascii="Arial" w:cs="Arial" w:eastAsia="Arial" w:hAnsi="Arial"/>
          <w:b w:val="false"/>
          <w:bCs w:val="false"/>
          <w:color w:val="C8102E"/>
          <w:sz w:val="44"/>
          <w:szCs w:val="44"/>
        </w:rPr>
        <w:t xml:space="preserve">2026–2030</w:t>
      </w:r>
    </w:p>
    <w:p>
      <w:pPr>
        <w:spacing w:before="0" w:after="80"/>
        <w:jc w:val="center"/>
      </w:pPr>
      <w:r>
        <w:rPr>
          <w:rFonts w:ascii="Arial" w:cs="Arial" w:eastAsia="Arial" w:hAnsi="Arial"/>
          <w:i/>
          <w:iCs/>
          <w:color w:val="4A4A4A"/>
          <w:sz w:val="22"/>
          <w:szCs w:val="22"/>
        </w:rPr>
        <w:t xml:space="preserve">Implementation-Ready Version • Draft 3.0</w:t>
      </w:r>
    </w:p>
    <w:p>
      <w:pPr>
        <w:spacing w:before="8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jc w:val="left"/>
            </w:pPr>
            <w:r>
              <w:rPr>
                <w:rFonts w:ascii="Arial" w:cs="Arial" w:eastAsia="Arial" w:hAnsi="Arial"/>
                <w:color w:val="4A4A4A"/>
                <w:sz w:val="19"/>
                <w:szCs w:val="19"/>
              </w:rPr>
              <w:t xml:space="preserve">Published by</w:t>
            </w:r>
          </w:p>
          <w:p>
            <w:pPr>
              <w:spacing w:before="40" w:after="0"/>
              <w:jc w:val="left"/>
            </w:pPr>
            <w:r>
              <w:rPr>
                <w:rFonts w:ascii="Arial" w:cs="Arial" w:eastAsia="Arial" w:hAnsi="Arial"/>
                <w:b/>
                <w:bCs/>
                <w:color w:val="1B3A6B"/>
                <w:sz w:val="22"/>
                <w:szCs w:val="22"/>
              </w:rPr>
              <w:t xml:space="preserve">Political Insights BD (PIBBD)</w:t>
            </w:r>
          </w:p>
          <w:p>
            <w:pPr>
              <w:spacing w:before="20" w:after="0"/>
              <w:jc w:val="left"/>
            </w:pPr>
            <w:r>
              <w:rPr>
                <w:rFonts w:ascii="Arial" w:cs="Arial" w:eastAsia="Arial" w:hAnsi="Arial"/>
                <w:i/>
                <w:iCs/>
                <w:color w:val="4A4A4A"/>
                <w:sz w:val="19"/>
                <w:szCs w:val="19"/>
              </w:rPr>
              <w:t xml:space="preserve">Bangladesh’s First Political Consultancy</w:t>
            </w:r>
          </w:p>
        </w:tc>
        <w:tc>
          <w:tcPr>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jc w:val="left"/>
            </w:pPr>
            <w:r>
              <w:rPr>
                <w:rFonts w:ascii="Arial" w:cs="Arial" w:eastAsia="Arial" w:hAnsi="Arial"/>
                <w:color w:val="4A4A4A"/>
                <w:sz w:val="19"/>
                <w:szCs w:val="19"/>
              </w:rPr>
              <w:t xml:space="preserve">Author &amp; Lead Researcher</w:t>
            </w:r>
          </w:p>
          <w:p>
            <w:pPr>
              <w:spacing w:before="40" w:after="0"/>
              <w:jc w:val="left"/>
            </w:pPr>
            <w:r>
              <w:rPr>
                <w:rFonts w:ascii="Arial" w:cs="Arial" w:eastAsia="Arial" w:hAnsi="Arial"/>
                <w:b/>
                <w:bCs/>
                <w:color w:val="1B3A6B"/>
                <w:sz w:val="22"/>
                <w:szCs w:val="22"/>
              </w:rPr>
              <w:t xml:space="preserve">Ahmad Rafi</w:t>
            </w:r>
          </w:p>
          <w:p>
            <w:pPr>
              <w:spacing w:before="20" w:after="0"/>
              <w:jc w:val="left"/>
            </w:pPr>
            <w:r>
              <w:rPr>
                <w:rFonts w:ascii="Arial" w:cs="Arial" w:eastAsia="Arial" w:hAnsi="Arial"/>
                <w:i/>
                <w:iCs/>
                <w:color w:val="4A4A4A"/>
                <w:sz w:val="19"/>
                <w:szCs w:val="19"/>
              </w:rPr>
              <w:t xml:space="preserve">Director, PIBBD | MA International Communication, University of London</w:t>
            </w:r>
          </w:p>
        </w:tc>
      </w:tr>
    </w:tbl>
    <w:p>
      <w:pPr>
        <w:spacing w:before="200" w:after="0"/>
      </w:pPr>
      <w:r>
        <w:t xml:space="preserve"/>
      </w:r>
    </w:p>
    <w:p>
      <w:pPr>
        <w:spacing w:before="0" w:after="0"/>
        <w:jc w:val="center"/>
      </w:pPr>
      <w:r>
        <w:rPr>
          <w:rFonts w:ascii="Arial" w:cs="Arial" w:eastAsia="Arial" w:hAnsi="Arial"/>
          <w:i/>
          <w:iCs/>
          <w:color w:val="4A4A4A"/>
          <w:sz w:val="19"/>
          <w:szCs w:val="19"/>
        </w:rPr>
        <w:t xml:space="preserve">Approved for Public Consultation • Effective Q2 2026 (upon Cabinet approval)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Foreword</w:t>
            </w:r>
          </w:p>
        </w:tc>
      </w:tr>
    </w:tbl>
    <w:p>
      <w:pPr>
        <w:spacing w:before="200" w:after="0"/>
      </w:pPr>
      <w:r>
        <w:t xml:space="preserve"/>
      </w:r>
    </w:p>
    <w:p>
      <w:pPr>
        <w:pStyle w:val="Heading2"/>
        <w:spacing w:before="360" w:after="160"/>
      </w:pPr>
      <w:r>
        <w:rPr>
          <w:rFonts w:ascii="Arial" w:cs="Arial" w:eastAsia="Arial" w:hAnsi="Arial"/>
          <w:b/>
          <w:bCs/>
          <w:color w:val="1B3A6B"/>
          <w:sz w:val="28"/>
          <w:szCs w:val="28"/>
        </w:rPr>
        <w:t xml:space="preserve">A Note from the Author</w:t>
      </w:r>
    </w:p>
    <w:p>
      <w:pPr>
        <w:spacing w:before="80" w:after="120"/>
        <w:jc w:val="both"/>
      </w:pPr>
      <w:r>
        <w:rPr>
          <w:rFonts w:ascii="Arial" w:cs="Arial" w:eastAsia="Arial" w:hAnsi="Arial"/>
          <w:color w:val="4A4A4A"/>
          <w:sz w:val="22"/>
          <w:szCs w:val="22"/>
        </w:rPr>
        <w:t xml:space="preserve">Bangladesh occupies a rare and consequential position at the intersection of demographic ambition and developmental urgency. With over 170 million people, nearly half of whom are under the age of 25, the country possesses a human capital endowment that, if properly cultivated, has the potential to drive one of the most remarkable economic transformations in modern Asian history. Artificial intelligence offers the most credible and scalable pathway toward realising that potential — but only if the governance architecture surrounding it is thoughtful, inclusive, and grounded in ground-level realities.</w:t>
      </w:r>
    </w:p>
    <w:p>
      <w:pPr>
        <w:spacing w:before="80" w:after="120"/>
        <w:jc w:val="both"/>
      </w:pPr>
      <w:r>
        <w:rPr>
          <w:rFonts w:ascii="Arial" w:cs="Arial" w:eastAsia="Arial" w:hAnsi="Arial"/>
          <w:color w:val="4A4A4A"/>
          <w:sz w:val="22"/>
          <w:szCs w:val="22"/>
        </w:rPr>
        <w:t xml:space="preserve">This policy document is the product of sustained research, stakeholder consultations, and comparative analysis of AI policy frameworks across the Global South and emerging economies. It is published by Political Insights BD (PIBBD), Bangladesh’s first professional political consultancy, as a contribution to the national discourse on technology governance in a post-revolution Bangladesh committed to evidence-based reform. It draws upon the interim government’s stated priorities of transparency, modernisation, and inclusive growth, and attempts to operationalise those commitments within a concrete, financially grounded, and temporally bounded strategic framework.</w:t>
      </w:r>
    </w:p>
    <w:p>
      <w:pPr>
        <w:spacing w:before="80" w:after="120"/>
        <w:jc w:val="both"/>
      </w:pPr>
      <w:r>
        <w:rPr>
          <w:rFonts w:ascii="Arial" w:cs="Arial" w:eastAsia="Arial" w:hAnsi="Arial"/>
          <w:color w:val="4A4A4A"/>
          <w:sz w:val="22"/>
          <w:szCs w:val="22"/>
        </w:rPr>
        <w:t xml:space="preserve">The reader will notice that this document departs from the standard template of AI policy as it is practised in wealthier nations. Bangladesh cannot afford strategic ambiguity or performative commitments. Every target in this document is paired with a budget line, a responsible institution, and a measurable indicator. Where previous draft versions of similar policy documents identified aspirations, this version identifies obligations. That shift in tone is deliberate. The July 2024 revolution that brought the current administration to power was, at its core, a demand for accountability — and this policy attempts to honour that demand.</w:t>
      </w:r>
    </w:p>
    <w:p>
      <w:pPr>
        <w:spacing w:before="80" w:after="120"/>
        <w:jc w:val="both"/>
      </w:pPr>
      <w:r>
        <w:rPr>
          <w:rFonts w:ascii="Arial" w:cs="Arial" w:eastAsia="Arial" w:hAnsi="Arial"/>
          <w:color w:val="4A4A4A"/>
          <w:sz w:val="22"/>
          <w:szCs w:val="22"/>
        </w:rPr>
        <w:t xml:space="preserve">Equally deliberate is the document’s treatment of what might be called the ‘missing chapters’ of Bangladesh’s AI discourse. The role of remittance economies in financing digital infrastructure, the specific vulnerabilities of garment workers to AI-driven automation, the governance of AI in electoral processes, and the digital marginalisation of ethnic and linguistic minorities in the hill tracts — these are not footnotes. They are central to any honest account of what it means to govern artificial intelligence in Bangladesh. This document treats them as such.</w:t>
      </w:r>
    </w:p>
    <w:p>
      <w:pPr>
        <w:spacing w:before="80" w:after="120"/>
        <w:jc w:val="both"/>
      </w:pPr>
      <w:r>
        <w:rPr>
          <w:rFonts w:ascii="Arial" w:cs="Arial" w:eastAsia="Arial" w:hAnsi="Arial"/>
          <w:color w:val="4A4A4A"/>
          <w:sz w:val="22"/>
          <w:szCs w:val="22"/>
        </w:rPr>
        <w:t xml:space="preserve">Finally, it must be said plainly: no policy document, however well-crafted, can substitute for political will. The institutions proposed here will be only as effective as the leadership that staffs them. The regulatory framework will be only as robust as the enforcement that backs it. The investment targets will be only as meaningful as the fiscal commitments that fund them. This document provides the architecture. Bangladesh’s people — its youth, its farmers, its garment workers, its scientists, its civil servants — will determine whether it is built.</w:t>
      </w:r>
    </w:p>
    <w:p>
      <w:pPr>
        <w:spacing w:before="100" w:after="0"/>
      </w:pPr>
      <w:r>
        <w:t xml:space="preserve"/>
      </w:r>
    </w:p>
    <w:p>
      <w:pPr>
        <w:spacing w:before="0" w:after="0"/>
        <w:jc w:val="right"/>
      </w:pPr>
      <w:r>
        <w:rPr>
          <w:rFonts w:ascii="Arial" w:cs="Arial" w:eastAsia="Arial" w:hAnsi="Arial"/>
          <w:b/>
          <w:bCs/>
          <w:i/>
          <w:iCs/>
          <w:color w:val="1B3A6B"/>
          <w:sz w:val="22"/>
          <w:szCs w:val="22"/>
        </w:rPr>
        <w:t xml:space="preserve">Ahmad Rafi</w:t>
      </w:r>
    </w:p>
    <w:p>
      <w:pPr>
        <w:spacing w:before="20" w:after="0"/>
        <w:jc w:val="right"/>
      </w:pPr>
      <w:r>
        <w:rPr>
          <w:rFonts w:ascii="Arial" w:cs="Arial" w:eastAsia="Arial" w:hAnsi="Arial"/>
          <w:i/>
          <w:iCs/>
          <w:color w:val="4A4A4A"/>
          <w:sz w:val="20"/>
          <w:szCs w:val="20"/>
        </w:rPr>
        <w:t xml:space="preserve">Director, Political Insights BD</w:t>
      </w:r>
    </w:p>
    <w:p>
      <w:pPr>
        <w:spacing w:before="20" w:after="0"/>
        <w:jc w:val="right"/>
      </w:pPr>
      <w:r>
        <w:rPr>
          <w:rFonts w:ascii="Arial" w:cs="Arial" w:eastAsia="Arial" w:hAnsi="Arial"/>
          <w:i/>
          <w:iCs/>
          <w:color w:val="4A4A4A"/>
          <w:sz w:val="20"/>
          <w:szCs w:val="20"/>
        </w:rPr>
        <w:t xml:space="preserve">Dhaka, Bangladesh •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Part I — Foundation &amp; Context</w:t>
            </w:r>
          </w:p>
        </w:tc>
      </w:tr>
    </w:tbl>
    <w:p>
      <w:pPr>
        <w:spacing w:before="2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1. Executive Summary</w:t>
      </w:r>
    </w:p>
    <w:p>
      <w:pPr>
        <w:spacing w:before="80" w:after="120"/>
        <w:jc w:val="both"/>
      </w:pPr>
      <w:r>
        <w:rPr>
          <w:rFonts w:ascii="Arial" w:cs="Arial" w:eastAsia="Arial" w:hAnsi="Arial"/>
          <w:color w:val="4A4A4A"/>
          <w:sz w:val="22"/>
          <w:szCs w:val="22"/>
        </w:rPr>
        <w:t xml:space="preserve">Bangladesh stands at a transformative moment. Following the July 2024 student-led revolution and under the stewardship of the interim government led by Professor Muhammad Yunus, the nation has committed itself to evidence-based governance, institutional modernisation, and a form of inclusive development that the pre-revolution political order conspicuously failed to deliver. Artificial intelligence is not, in this context, a technological luxury. It is a developmental necessity — and one that, if governed wisely, could serve as the single most powerful accelerator of Bangladesh’s long-deferred aspirations.</w:t>
      </w:r>
    </w:p>
    <w:p>
      <w:pPr>
        <w:spacing w:before="80" w:after="120"/>
        <w:jc w:val="both"/>
      </w:pPr>
      <w:r>
        <w:rPr>
          <w:rFonts w:ascii="Arial" w:cs="Arial" w:eastAsia="Arial" w:hAnsi="Arial"/>
          <w:color w:val="4A4A4A"/>
          <w:sz w:val="22"/>
          <w:szCs w:val="22"/>
        </w:rPr>
        <w:t xml:space="preserve">This policy is grounded in three fundamental realities that any credible AI strategy for Bangladesh must confront with honesty.</w:t>
      </w:r>
    </w:p>
    <w:p>
      <w:pPr>
        <w:spacing w:before="80" w:after="120"/>
        <w:jc w:val="both"/>
      </w:pPr>
      <w:r>
        <w:rPr>
          <w:rFonts w:ascii="Arial" w:cs="Arial" w:eastAsia="Arial" w:hAnsi="Arial"/>
          <w:color w:val="4A4A4A"/>
          <w:sz w:val="22"/>
          <w:szCs w:val="22"/>
        </w:rPr>
        <w:t xml:space="preserve">The first is resource constraint. Bangladesh cannot compete with India’s USD 1.5 billion annual AI investment budget, nor can it replicate Singapore’s advanced computing infrastructure. Any attempt to compete on scale with larger neighbours will fail. The strategic logic of this document, therefore, is not breadth but depth — a deliberate concentration of national energy in areas where Bangladesh possesses inherent comparative advantages that no other country can easily replicate.</w:t>
      </w:r>
    </w:p>
    <w:p>
      <w:pPr>
        <w:spacing w:before="80" w:after="120"/>
        <w:jc w:val="both"/>
      </w:pPr>
      <w:r>
        <w:rPr>
          <w:rFonts w:ascii="Arial" w:cs="Arial" w:eastAsia="Arial" w:hAnsi="Arial"/>
          <w:color w:val="4A4A4A"/>
          <w:sz w:val="22"/>
          <w:szCs w:val="22"/>
        </w:rPr>
        <w:t xml:space="preserve">The second is developmental urgency. With sixteen million farming households losing an estimated twenty-one million tonnes of food annually, thirty-two thousand road deaths per year, a healthcare system in which fewer than six doctors serve every ten thousand citizens, and a garment sector employing four million workers whose livelihoods face disruption from automation-driven manufacturing shifts, AI must deliver tangible improvements to real lives. It cannot remain the preserve of Dhaka’s technology corridors and university laboratories.</w:t>
      </w:r>
    </w:p>
    <w:p>
      <w:pPr>
        <w:spacing w:before="80" w:after="120"/>
        <w:jc w:val="both"/>
      </w:pPr>
      <w:r>
        <w:rPr>
          <w:rFonts w:ascii="Arial" w:cs="Arial" w:eastAsia="Arial" w:hAnsi="Arial"/>
          <w:color w:val="4A4A4A"/>
          <w:sz w:val="22"/>
          <w:szCs w:val="22"/>
        </w:rPr>
        <w:t xml:space="preserve">The third is geopolitical opportunity. Positioned as a bridge between SAARC and ASEAN through the BIMSTEC framework, and as the natural centre of gravity for a global Bengali-speaking population exceeding 280 million people, Bangladesh has a credible claim to regional AI leadership that is grounded in language, culture, and geography rather than merely capital.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12"/>
              <w:bottom w:val="single" w:color="1B3A6B" w:sz="4"/>
              <w:right w:val="single" w:color="1B3A6B" w:sz="4"/>
            </w:tcBorders>
            <w:shd w:fill="EBF2FA" w:val="clear"/>
            <w:tcMar>
              <w:top w:type="dxa" w:w="160"/>
              <w:left w:type="dxa" w:w="240"/>
              <w:bottom w:type="dxa" w:w="160"/>
              <w:right w:type="dxa" w:w="240"/>
            </w:tcMar>
          </w:tcPr>
          <w:p>
            <w:pPr>
              <w:spacing w:before="0" w:after="60"/>
            </w:pPr>
            <w:r>
              <w:rPr>
                <w:rFonts w:ascii="Arial" w:cs="Arial" w:eastAsia="Arial" w:hAnsi="Arial"/>
                <w:b/>
                <w:bCs/>
                <w:color w:val="1B3A6B"/>
                <w:sz w:val="22"/>
                <w:szCs w:val="22"/>
              </w:rPr>
              <w:t xml:space="preserve">Core Strategic Bets (2026–2030)</w:t>
            </w:r>
          </w:p>
          <w:p>
            <w:pPr>
              <w:spacing w:before="0" w:after="0"/>
              <w:jc w:val="both"/>
            </w:pPr>
            <w:r>
              <w:rPr>
                <w:rFonts w:ascii="Arial" w:cs="Arial" w:eastAsia="Arial" w:hAnsi="Arial"/>
                <w:color w:val="4A4A4A"/>
                <w:sz w:val="21"/>
                <w:szCs w:val="21"/>
              </w:rPr>
              <w:t xml:space="preserve">Bengali Language AI: Establish Bangladesh as the global centre for Bengali NLP, serving 280+ million speakers. | Climate-Resilient Agriculture AI: Develop exportable AI solutions built on world-class disaster management expertise. | Frugal Healthcare AI: Build low-cost, mobile-first health tools for resource-constrained environments. | Diaspora-Powered Innovation: Mobilise 13+ million overseas Bangladeshis as investors, advisors, and contributors.</w:t>
            </w:r>
          </w:p>
        </w:tc>
      </w:tr>
    </w:tbl>
    <w:p>
      <w:pPr>
        <w:spacing w:before="200" w:after="0"/>
      </w:pPr>
      <w:r>
        <w:t xml:space="preserve"/>
      </w:r>
    </w:p>
    <w:p>
      <w:pPr>
        <w:pStyle w:val="Heading2"/>
        <w:spacing w:before="360" w:after="160"/>
      </w:pPr>
      <w:r>
        <w:rPr>
          <w:rFonts w:ascii="Arial" w:cs="Arial" w:eastAsia="Arial" w:hAnsi="Arial"/>
          <w:b/>
          <w:bCs/>
          <w:color w:val="1B3A6B"/>
          <w:sz w:val="28"/>
          <w:szCs w:val="28"/>
        </w:rPr>
        <w:t xml:space="preserve">1.1 Financial Framework</w:t>
      </w:r>
    </w:p>
    <w:p>
      <w:pPr>
        <w:spacing w:before="80" w:after="120"/>
        <w:jc w:val="both"/>
      </w:pPr>
      <w:r>
        <w:rPr>
          <w:rFonts w:ascii="Arial" w:cs="Arial" w:eastAsia="Arial" w:hAnsi="Arial"/>
          <w:color w:val="4A4A4A"/>
          <w:sz w:val="22"/>
          <w:szCs w:val="22"/>
        </w:rPr>
        <w:t xml:space="preserve">Total investment over the five-year period 2026–2030 is set at BDT 12,000 crore, approximately equivalent to USD one billion. This figure is ambitious but grounded in fiscal realism: it represents approximately 0.4 percent of the national budget — a serious commitment, but one that comparable middle-income countries have demonstrated is achievable. The government will contribute 50 percent of total investment, with the private sector providing 30 percent and international development partners the remaining 20 percent.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BDT Crore</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Government of Bangladesh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Private Sector</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3,600</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International Development Partners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TOTAL</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12,000</w:t>
            </w:r>
          </w:p>
        </w:tc>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w:t>
            </w:r>
          </w:p>
        </w:tc>
      </w:tr>
    </w:tbl>
    <w:p>
      <w:pPr>
        <w:spacing w:before="200" w:after="0"/>
      </w:pPr>
      <w:r>
        <w:t xml:space="preserve"/>
      </w:r>
    </w:p>
    <w:p>
      <w:pPr>
        <w:pStyle w:val="Heading2"/>
        <w:spacing w:before="360" w:after="160"/>
      </w:pPr>
      <w:r>
        <w:rPr>
          <w:rFonts w:ascii="Arial" w:cs="Arial" w:eastAsia="Arial" w:hAnsi="Arial"/>
          <w:b/>
          <w:bCs/>
          <w:color w:val="1B3A6B"/>
          <w:sz w:val="28"/>
          <w:szCs w:val="28"/>
        </w:rPr>
        <w:t xml:space="preserve">1.2 Measurable 2030 Targets</w:t>
      </w:r>
    </w:p>
    <w:p>
      <w:pPr>
        <w:spacing w:before="80" w:after="120"/>
        <w:jc w:val="both"/>
      </w:pPr>
      <w:r>
        <w:rPr>
          <w:rFonts w:ascii="Arial" w:cs="Arial" w:eastAsia="Arial" w:hAnsi="Arial"/>
          <w:color w:val="4A4A4A"/>
          <w:sz w:val="22"/>
          <w:szCs w:val="22"/>
        </w:rPr>
        <w:t xml:space="preserve">This policy makes no claims it cannot substantiate. Every target below is paired with a specific institutional responsibility, budget allocation, and monitoring mechanism detailed in subsequent sections.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Area</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2030 Goal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Post-harvest agricultural losses reduced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35% reduction (7.35M tonnes saved annually)</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Road traffic fatalities reduced</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25% reduction (8,000 lives saved annually)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Rural citizens with telemedicine access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40 million citizens</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Direct AI jobs created</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AI-enabled jobs (indirect)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200,000</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Civil servants trained in AI literacy</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SAARC AI ecosystem ranking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Top 3</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Bengali Language AI Platform users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 million globally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Women in AI workforce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40% (from current 15%)</w:t>
            </w:r>
          </w:p>
        </w:tc>
      </w:tr>
    </w:tbl>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2. National Context and Baseline Assessment</w:t>
      </w:r>
    </w:p>
    <w:p>
      <w:pPr>
        <w:pStyle w:val="Heading2"/>
        <w:spacing w:before="360" w:after="160"/>
      </w:pPr>
      <w:r>
        <w:rPr>
          <w:rFonts w:ascii="Arial" w:cs="Arial" w:eastAsia="Arial" w:hAnsi="Arial"/>
          <w:b/>
          <w:bCs/>
          <w:color w:val="1B3A6B"/>
          <w:sz w:val="28"/>
          <w:szCs w:val="28"/>
        </w:rPr>
        <w:t xml:space="preserve">2.1 Political and Economic Context</w:t>
      </w:r>
    </w:p>
    <w:p>
      <w:pPr>
        <w:spacing w:before="80" w:after="120"/>
        <w:jc w:val="both"/>
      </w:pPr>
      <w:r>
        <w:rPr>
          <w:rFonts w:ascii="Arial" w:cs="Arial" w:eastAsia="Arial" w:hAnsi="Arial"/>
          <w:color w:val="4A4A4A"/>
          <w:sz w:val="22"/>
          <w:szCs w:val="22"/>
        </w:rPr>
        <w:t xml:space="preserve">The July 2024 student-led revolution was not merely a change of government. It was a structural rupture in the relationship between the Bangladeshi state and its citizens — a mass assertion that governance must be transparent, accountable, and oriented toward the welfare of ordinary people rather than captured elites. The interim government that emerged from that rupture has committed, in word and in the architecture of its early policy choices, to evidence-based decision-making, institutional reform, and inclusive development. This AI policy is designed to operationalise those commitments in the technology domain.</w:t>
      </w:r>
    </w:p>
    <w:p>
      <w:pPr>
        <w:spacing w:before="80" w:after="120"/>
        <w:jc w:val="both"/>
      </w:pPr>
      <w:r>
        <w:rPr>
          <w:rFonts w:ascii="Arial" w:cs="Arial" w:eastAsia="Arial" w:hAnsi="Arial"/>
          <w:color w:val="4A4A4A"/>
          <w:sz w:val="22"/>
          <w:szCs w:val="22"/>
        </w:rPr>
        <w:t xml:space="preserve">Economically, Bangladesh approaches this moment from a position of real but fragile strength. GDP stands at approximately USD 460 billion. The ICT sector is growing at 15 percent annually. Mobile penetration has reached 98 percent of the population. Yet youth unemployment among those aged 15 to 24 remains above 12 percent, nearly 65,000 skilled professionals emigrate annually, rural areas face 8 to 10 hours of daily power outages, and women constitute only 15 percent of the ICT workforce. These are not peripheral issues. They are the defining constraints within which any AI strategy must operate.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Economic Indicator</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2025 Estimate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GDP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~USD 460 billion</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GDP per capita</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~USD 2,800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Digital economy share of GDP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ICT sector annual growth</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Mobile penetration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98%</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Internet penetration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68% (108 million users)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Annual skilled professional emigration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~65,000</w:t>
            </w:r>
          </w:p>
        </w:tc>
      </w:tr>
      <w:tr>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Youth unemployment (15–24 years)</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Women in ICT workforce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15%</w:t>
            </w:r>
          </w:p>
        </w:tc>
      </w:tr>
    </w:tbl>
    <w:p>
      <w:pPr>
        <w:spacing w:before="200" w:after="0"/>
      </w:pPr>
      <w:r>
        <w:t xml:space="preserve"/>
      </w:r>
    </w:p>
    <w:p>
      <w:pPr>
        <w:pStyle w:val="Heading2"/>
        <w:spacing w:before="360" w:after="160"/>
      </w:pPr>
      <w:r>
        <w:rPr>
          <w:rFonts w:ascii="Arial" w:cs="Arial" w:eastAsia="Arial" w:hAnsi="Arial"/>
          <w:b/>
          <w:bCs/>
          <w:color w:val="1B3A6B"/>
          <w:sz w:val="28"/>
          <w:szCs w:val="28"/>
        </w:rPr>
        <w:t xml:space="preserve">2.2 AI Readiness Assessment</w:t>
      </w:r>
    </w:p>
    <w:p>
      <w:pPr>
        <w:spacing w:before="80" w:after="120"/>
        <w:jc w:val="both"/>
      </w:pPr>
      <w:r>
        <w:rPr>
          <w:rFonts w:ascii="Arial" w:cs="Arial" w:eastAsia="Arial" w:hAnsi="Arial"/>
          <w:color w:val="4A4A4A"/>
          <w:sz w:val="22"/>
          <w:szCs w:val="22"/>
        </w:rPr>
        <w:t xml:space="preserve">Bangladesh currently occupies a Level 1.5 position on a five-level AI maturity framework — transitioning from nascent awareness to early-stage development but without the institutional architecture, compute infrastructure, or coordinated investment strategy that characterises a truly developing AI ecosystem. The regulatory environment is fragmented: the Personal Data Protection Ordinance of 2024 and the National Data Governance Ordinance of the same year exist, but no unified AI-specific legislation has yet been enacted. There is no national GPU cluster. The talent pool consists of approximately 5,000 AI-capable professionals, 90 percent of whom report an intention to emigrate. Research and development investment stands at less than 0.1 percent of GDP.</w:t>
      </w:r>
    </w:p>
    <w:p>
      <w:pPr>
        <w:spacing w:before="80" w:after="120"/>
        <w:jc w:val="both"/>
      </w:pPr>
      <w:r>
        <w:rPr>
          <w:rFonts w:ascii="Arial" w:cs="Arial" w:eastAsia="Arial" w:hAnsi="Arial"/>
          <w:color w:val="4A4A4A"/>
          <w:sz w:val="22"/>
          <w:szCs w:val="22"/>
        </w:rPr>
        <w:t xml:space="preserve">These are sobering figures. But they are also, in a specific sense, liberating ones. Bangladesh has the opportunity to build its AI governance architecture from a relatively clean slate — without the accumulated technical debt, entrenched vendor relationships, or legacy regulatory frameworks that constrain more developed AI ecosystems. Done right, late-mover disadvantage can become late-mover advantage.</w:t>
      </w:r>
    </w:p>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3. Vision, Mission, and Strategic Objectives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102E" w:sz="4"/>
              <w:left w:val="single" w:color="C8102E" w:sz="12"/>
              <w:bottom w:val="single" w:color="C8102E" w:sz="4"/>
              <w:right w:val="single" w:color="C8102E" w:sz="4"/>
            </w:tcBorders>
            <w:shd w:fill="FDF2F4" w:val="clear"/>
            <w:tcMar>
              <w:top w:type="dxa" w:w="160"/>
              <w:left w:type="dxa" w:w="240"/>
              <w:bottom w:type="dxa" w:w="160"/>
              <w:right w:type="dxa" w:w="240"/>
            </w:tcMar>
          </w:tcPr>
          <w:p>
            <w:pPr>
              <w:spacing w:before="0" w:after="60"/>
            </w:pPr>
            <w:r>
              <w:rPr>
                <w:rFonts w:ascii="Arial" w:cs="Arial" w:eastAsia="Arial" w:hAnsi="Arial"/>
                <w:b/>
                <w:bCs/>
                <w:color w:val="C8102E"/>
                <w:sz w:val="22"/>
                <w:szCs w:val="22"/>
              </w:rPr>
              <w:t xml:space="preserve">Vision Statement (2030)</w:t>
            </w:r>
          </w:p>
          <w:p>
            <w:pPr>
              <w:spacing w:before="0" w:after="0"/>
              <w:jc w:val="both"/>
            </w:pPr>
            <w:r>
              <w:rPr>
                <w:rFonts w:ascii="Arial" w:cs="Arial" w:eastAsia="Arial" w:hAnsi="Arial"/>
                <w:color w:val="4A4A4A"/>
                <w:sz w:val="21"/>
                <w:szCs w:val="21"/>
              </w:rPr>
              <w:t xml:space="preserve">By 2030, Bangladesh will be South Asia’s hub for inclusive, climate-resilient, and Bengali-first AI innovation — where technology serves the many, not the few, and where global Bengali communities look to Dhaka for their digital future.</w:t>
            </w:r>
          </w:p>
        </w:tc>
      </w:tr>
    </w:tbl>
    <w:p>
      <w:pPr>
        <w:spacing w:before="200" w:after="0"/>
      </w:pPr>
      <w:r>
        <w:t xml:space="preserve"/>
      </w:r>
    </w:p>
    <w:p>
      <w:pPr>
        <w:pStyle w:val="Heading2"/>
        <w:spacing w:before="360" w:after="160"/>
      </w:pPr>
      <w:r>
        <w:rPr>
          <w:rFonts w:ascii="Arial" w:cs="Arial" w:eastAsia="Arial" w:hAnsi="Arial"/>
          <w:b/>
          <w:bCs/>
          <w:color w:val="1B3A6B"/>
          <w:sz w:val="28"/>
          <w:szCs w:val="28"/>
        </w:rPr>
        <w:t xml:space="preserve">3.1 Mission</w:t>
      </w:r>
    </w:p>
    <w:p>
      <w:pPr>
        <w:spacing w:before="80" w:after="120"/>
        <w:jc w:val="both"/>
      </w:pPr>
      <w:r>
        <w:rPr>
          <w:rFonts w:ascii="Arial" w:cs="Arial" w:eastAsia="Arial" w:hAnsi="Arial"/>
          <w:color w:val="4A4A4A"/>
          <w:sz w:val="22"/>
          <w:szCs w:val="22"/>
        </w:rPr>
        <w:t xml:space="preserve">The mission of this policy is to harness artificial intelligence as a strategic instrument for economic transformation, social equity, environmental sustainability, democratic governance, and regional leadership. Each of these objectives is interdependent: an AI ecosystem that creates economic value without social equity will reproduce and amplify Bangladesh’s existing inequalities; an ecosystem that pursues equity without fiscal sustainability will collapse under its own commitments; and an ecosystem that ignores environmental constraints will contribute to the climate vulnerabilities it ostensibly seeks to address.</w:t>
      </w:r>
    </w:p>
    <w:p>
      <w:pPr>
        <w:pStyle w:val="Heading2"/>
        <w:spacing w:before="360" w:after="160"/>
      </w:pPr>
      <w:r>
        <w:rPr>
          <w:rFonts w:ascii="Arial" w:cs="Arial" w:eastAsia="Arial" w:hAnsi="Arial"/>
          <w:b/>
          <w:bCs/>
          <w:color w:val="1B3A6B"/>
          <w:sz w:val="28"/>
          <w:szCs w:val="28"/>
        </w:rPr>
        <w:t xml:space="preserve">3.2 Phased Strategic Objectives</w:t>
      </w:r>
    </w:p>
    <w:p>
      <w:pPr>
        <w:pStyle w:val="Heading3"/>
        <w:spacing w:before="280" w:after="120"/>
      </w:pPr>
      <w:r>
        <w:rPr>
          <w:rFonts w:ascii="Arial" w:cs="Arial" w:eastAsia="Arial" w:hAnsi="Arial"/>
          <w:b/>
          <w:bCs/>
          <w:color w:val="2E75B6"/>
          <w:sz w:val="24"/>
          <w:szCs w:val="24"/>
        </w:rPr>
        <w:t xml:space="preserve">Phase 1: Foundation (2026–2027)</w:t>
      </w:r>
    </w:p>
    <w:p>
      <w:pPr>
        <w:spacing w:before="80" w:after="120"/>
        <w:jc w:val="both"/>
      </w:pPr>
      <w:r>
        <w:rPr>
          <w:rFonts w:ascii="Arial" w:cs="Arial" w:eastAsia="Arial" w:hAnsi="Arial"/>
          <w:color w:val="4A4A4A"/>
          <w:sz w:val="22"/>
          <w:szCs w:val="22"/>
        </w:rPr>
        <w:t xml:space="preserve">The first phase is exclusively concerned with building the prerequisites for everything that follows. No strategy, however well-designed, can be implemented without the institutions to govern it, the infrastructure to run it, the human capital to staff it, and the data systems to feed it. Accordingly, Phase 1 will establish the National AI Authority, enact the Bangladesh AI Act, launch five pilot projects across priority sectors, create the Bengali Language AI Corpus with an initial ten billion words, deploy a national GPU cluster with 1,000-unit capacity, and train twenty thousand civil servants in AI literacy fundamentals.</w:t>
      </w:r>
    </w:p>
    <w:p>
      <w:pPr>
        <w:pStyle w:val="Heading3"/>
        <w:spacing w:before="280" w:after="120"/>
      </w:pPr>
      <w:r>
        <w:rPr>
          <w:rFonts w:ascii="Arial" w:cs="Arial" w:eastAsia="Arial" w:hAnsi="Arial"/>
          <w:b/>
          <w:bCs/>
          <w:color w:val="2E75B6"/>
          <w:sz w:val="24"/>
          <w:szCs w:val="24"/>
        </w:rPr>
        <w:t xml:space="preserve">Phase 2: Scaling (2028–2029)</w:t>
      </w:r>
    </w:p>
    <w:p>
      <w:pPr>
        <w:spacing w:before="80" w:after="120"/>
        <w:jc w:val="both"/>
      </w:pPr>
      <w:r>
        <w:rPr>
          <w:rFonts w:ascii="Arial" w:cs="Arial" w:eastAsia="Arial" w:hAnsi="Arial"/>
          <w:color w:val="4A4A4A"/>
          <w:sz w:val="22"/>
          <w:szCs w:val="22"/>
        </w:rPr>
        <w:t xml:space="preserve">Phase 2 scales what works and abandons what does not. Evidence from the Phase 1 pilots will determine which initiatives merit national deployment. By the end of this phase, agricultural AI should be reaching two million farmers, telemedicine AI should serve twenty-five million citizens, AI traffic management should be operational in four major cities, and the AI workforce should have grown to thirty thousand professionals. Bangladesh will host the first SAARC AI Summit in 2028.</w:t>
      </w:r>
    </w:p>
    <w:p>
      <w:pPr>
        <w:pStyle w:val="Heading3"/>
        <w:spacing w:before="280" w:after="120"/>
      </w:pPr>
      <w:r>
        <w:rPr>
          <w:rFonts w:ascii="Arial" w:cs="Arial" w:eastAsia="Arial" w:hAnsi="Arial"/>
          <w:b/>
          <w:bCs/>
          <w:color w:val="2E75B6"/>
          <w:sz w:val="24"/>
          <w:szCs w:val="24"/>
        </w:rPr>
        <w:t xml:space="preserve">Phase 3: Leadership (2030)</w:t>
      </w:r>
    </w:p>
    <w:p>
      <w:pPr>
        <w:spacing w:before="80" w:after="120"/>
        <w:jc w:val="both"/>
      </w:pPr>
      <w:r>
        <w:rPr>
          <w:rFonts w:ascii="Arial" w:cs="Arial" w:eastAsia="Arial" w:hAnsi="Arial"/>
          <w:color w:val="4A4A4A"/>
          <w:sz w:val="22"/>
          <w:szCs w:val="22"/>
        </w:rPr>
        <w:t xml:space="preserve">Phase 3 is about consolidation and regional positioning. The targets are ambitious: top three in the SAARC AI ecosystem, fifty thousand direct AI jobs, 100 million global users of the Bengali Language AI Platform, thirty-five percent reduction in post-harvest losses, and USD 200 million in AI services exports. These are not projections dressed up as targets. They are targets with budget lines and accountability structures behind them.</w:t>
      </w:r>
    </w:p>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4. Bangladesh AI Principles</w:t>
      </w:r>
    </w:p>
    <w:p>
      <w:pPr>
        <w:spacing w:before="80" w:after="120"/>
        <w:jc w:val="both"/>
      </w:pPr>
      <w:r>
        <w:rPr>
          <w:rFonts w:ascii="Arial" w:cs="Arial" w:eastAsia="Arial" w:hAnsi="Arial"/>
          <w:color w:val="4A4A4A"/>
          <w:sz w:val="22"/>
          <w:szCs w:val="22"/>
        </w:rPr>
        <w:t xml:space="preserve">All AI development, deployment, and governance in Bangladesh shall adhere to the following foundational principles. These are not aspirational statements. They carry legal weight through the Bangladesh AI Act and are enforceable by the National AI Authority.</w:t>
      </w:r>
    </w:p>
    <w:p>
      <w:pPr>
        <w:spacing w:before="120" w:after="0"/>
      </w:pPr>
      <w:r>
        <w:t xml:space="preserve"/>
      </w:r>
    </w:p>
    <w:p>
      <w:pPr>
        <w:pStyle w:val="Heading3"/>
        <w:spacing w:before="280" w:after="120"/>
      </w:pPr>
      <w:r>
        <w:rPr>
          <w:rFonts w:ascii="Arial" w:cs="Arial" w:eastAsia="Arial" w:hAnsi="Arial"/>
          <w:b/>
          <w:bCs/>
          <w:color w:val="2E75B6"/>
          <w:sz w:val="24"/>
          <w:szCs w:val="24"/>
        </w:rPr>
        <w:t xml:space="preserve">4.1 Human-Centric Development</w:t>
      </w:r>
    </w:p>
    <w:p>
      <w:pPr>
        <w:spacing w:before="80" w:after="120"/>
        <w:jc w:val="both"/>
      </w:pPr>
      <w:r>
        <w:rPr>
          <w:rFonts w:ascii="Arial" w:cs="Arial" w:eastAsia="Arial" w:hAnsi="Arial"/>
          <w:color w:val="4A4A4A"/>
          <w:sz w:val="22"/>
          <w:szCs w:val="22"/>
        </w:rPr>
        <w:t xml:space="preserve">AI must serve human welfare, dignity, and agency. It cannot replace human judgment in decisions affecting fundamental rights. All high-risk AI systems — in welfare eligibility, criminal justice, medical diagnosis, and employment — must retain mandatory human review mechanisms. Citizens have the right to know when they are interacting with AI rather than a human being.</w:t>
      </w:r>
    </w:p>
    <w:p>
      <w:pPr>
        <w:pStyle w:val="Heading3"/>
        <w:spacing w:before="280" w:after="120"/>
      </w:pPr>
      <w:r>
        <w:rPr>
          <w:rFonts w:ascii="Arial" w:cs="Arial" w:eastAsia="Arial" w:hAnsi="Arial"/>
          <w:b/>
          <w:bCs/>
          <w:color w:val="2E75B6"/>
          <w:sz w:val="24"/>
          <w:szCs w:val="24"/>
        </w:rPr>
        <w:t xml:space="preserve">4.2 Equity and Inclusion</w:t>
      </w:r>
    </w:p>
    <w:p>
      <w:pPr>
        <w:spacing w:before="80" w:after="120"/>
        <w:jc w:val="both"/>
      </w:pPr>
      <w:r>
        <w:rPr>
          <w:rFonts w:ascii="Arial" w:cs="Arial" w:eastAsia="Arial" w:hAnsi="Arial"/>
          <w:color w:val="4A4A4A"/>
          <w:sz w:val="22"/>
          <w:szCs w:val="22"/>
        </w:rPr>
        <w:t xml:space="preserve">AI must reduce inequalities, not amplify them. Mandatory bias testing applies to all AI systems used in hiring, lending, public services, and law enforcement. A minimum of thirty percent representation of women, rural populations, and minorities is required in AI training datasets. All public-facing AI systems must support Bengali with functional parity to English.</w:t>
      </w:r>
    </w:p>
    <w:p>
      <w:pPr>
        <w:pStyle w:val="Heading3"/>
        <w:spacing w:before="280" w:after="120"/>
      </w:pPr>
      <w:r>
        <w:rPr>
          <w:rFonts w:ascii="Arial" w:cs="Arial" w:eastAsia="Arial" w:hAnsi="Arial"/>
          <w:b/>
          <w:bCs/>
          <w:color w:val="2E75B6"/>
          <w:sz w:val="24"/>
          <w:szCs w:val="24"/>
        </w:rPr>
        <w:t xml:space="preserve">4.3 Transparency and Explainability</w:t>
      </w:r>
    </w:p>
    <w:p>
      <w:pPr>
        <w:spacing w:before="80" w:after="120"/>
        <w:jc w:val="both"/>
      </w:pPr>
      <w:r>
        <w:rPr>
          <w:rFonts w:ascii="Arial" w:cs="Arial" w:eastAsia="Arial" w:hAnsi="Arial"/>
          <w:color w:val="4A4A4A"/>
          <w:sz w:val="22"/>
          <w:szCs w:val="22"/>
        </w:rPr>
        <w:t xml:space="preserve">Citizens have the right to understand how AI systems that affect them make decisions. A public registry of all government AI systems is mandatory. Algorithmic Impact Assessments are required for all high-risk systems. Citizens may request plain-language explanations of decisions that affect them.</w:t>
      </w:r>
    </w:p>
    <w:p>
      <w:pPr>
        <w:pStyle w:val="Heading3"/>
        <w:spacing w:before="280" w:after="120"/>
      </w:pPr>
      <w:r>
        <w:rPr>
          <w:rFonts w:ascii="Arial" w:cs="Arial" w:eastAsia="Arial" w:hAnsi="Arial"/>
          <w:b/>
          <w:bCs/>
          <w:color w:val="2E75B6"/>
          <w:sz w:val="24"/>
          <w:szCs w:val="24"/>
        </w:rPr>
        <w:t xml:space="preserve">4.4 Privacy and Data Protection</w:t>
      </w:r>
    </w:p>
    <w:p>
      <w:pPr>
        <w:spacing w:before="80" w:after="120"/>
        <w:jc w:val="both"/>
      </w:pPr>
      <w:r>
        <w:rPr>
          <w:rFonts w:ascii="Arial" w:cs="Arial" w:eastAsia="Arial" w:hAnsi="Arial"/>
          <w:color w:val="4A4A4A"/>
          <w:sz w:val="22"/>
          <w:szCs w:val="22"/>
        </w:rPr>
        <w:t xml:space="preserve">AI development must respect the rights enshrined in the Personal Data Protection Ordinance 2024. Data collected for one purpose may not be repurposed for AI training without explicit consent. Personal data used in AI training must be anonymised. Cross-border transfers are subject to localization requirements unless adequacy agreements are in place.</w:t>
      </w:r>
    </w:p>
    <w:p>
      <w:pPr>
        <w:pStyle w:val="Heading3"/>
        <w:spacing w:before="280" w:after="120"/>
      </w:pPr>
      <w:r>
        <w:rPr>
          <w:rFonts w:ascii="Arial" w:cs="Arial" w:eastAsia="Arial" w:hAnsi="Arial"/>
          <w:b/>
          <w:bCs/>
          <w:color w:val="2E75B6"/>
          <w:sz w:val="24"/>
          <w:szCs w:val="24"/>
        </w:rPr>
        <w:t xml:space="preserve">4.5 Accountability and Redress</w:t>
      </w:r>
    </w:p>
    <w:p>
      <w:pPr>
        <w:spacing w:before="80" w:after="120"/>
        <w:jc w:val="both"/>
      </w:pPr>
      <w:r>
        <w:rPr>
          <w:rFonts w:ascii="Arial" w:cs="Arial" w:eastAsia="Arial" w:hAnsi="Arial"/>
          <w:color w:val="4A4A4A"/>
          <w:sz w:val="22"/>
          <w:szCs w:val="22"/>
        </w:rPr>
        <w:t xml:space="preserve">Clear chains of responsibility must exist for all AI system failures. Deployers of AI systems bear primary liability for harms. Mandatory AI system insurance applies to high-risk applications. Free, accessible grievance mechanisms exist for all citizens to challenge algorithmic decisions. In discrimination cases, the burden of proof rests with AI deployers.</w:t>
      </w:r>
    </w:p>
    <w:p>
      <w:pPr>
        <w:pStyle w:val="Heading3"/>
        <w:spacing w:before="280" w:after="120"/>
      </w:pPr>
      <w:r>
        <w:rPr>
          <w:rFonts w:ascii="Arial" w:cs="Arial" w:eastAsia="Arial" w:hAnsi="Arial"/>
          <w:b/>
          <w:bCs/>
          <w:color w:val="2E75B6"/>
          <w:sz w:val="24"/>
          <w:szCs w:val="24"/>
        </w:rPr>
        <w:t xml:space="preserve">4.6 Security and Robustness</w:t>
      </w:r>
    </w:p>
    <w:p>
      <w:pPr>
        <w:spacing w:before="80" w:after="120"/>
        <w:jc w:val="both"/>
      </w:pPr>
      <w:r>
        <w:rPr>
          <w:rFonts w:ascii="Arial" w:cs="Arial" w:eastAsia="Arial" w:hAnsi="Arial"/>
          <w:color w:val="4A4A4A"/>
          <w:sz w:val="22"/>
          <w:szCs w:val="22"/>
        </w:rPr>
        <w:t xml:space="preserve">AI systems must be resilient against adversarial attacks and unintended failures. Mandatory security testing — including penetration testing and adversarial robustness evaluation — applies to critical infrastructure AI. Failures causing harm must be reported to the National AI Authority within twenty-four hours.</w:t>
      </w:r>
    </w:p>
    <w:p>
      <w:pPr>
        <w:pStyle w:val="Heading3"/>
        <w:spacing w:before="280" w:after="120"/>
      </w:pPr>
      <w:r>
        <w:rPr>
          <w:rFonts w:ascii="Arial" w:cs="Arial" w:eastAsia="Arial" w:hAnsi="Arial"/>
          <w:b/>
          <w:bCs/>
          <w:color w:val="2E75B6"/>
          <w:sz w:val="24"/>
          <w:szCs w:val="24"/>
        </w:rPr>
        <w:t xml:space="preserve">4.7 Environmental Sustainability</w:t>
      </w:r>
    </w:p>
    <w:p>
      <w:pPr>
        <w:spacing w:before="80" w:after="120"/>
        <w:jc w:val="both"/>
      </w:pPr>
      <w:r>
        <w:rPr>
          <w:rFonts w:ascii="Arial" w:cs="Arial" w:eastAsia="Arial" w:hAnsi="Arial"/>
          <w:color w:val="4A4A4A"/>
          <w:sz w:val="22"/>
          <w:szCs w:val="22"/>
        </w:rPr>
        <w:t xml:space="preserve">AI development must account for its environmental footprint. Large AI training runs must report energy consumption and carbon emissions. Tax incentives apply to AI systems using renewable energy. E-waste from AI hardware must comply with environmental regulations.</w:t>
      </w:r>
    </w:p>
    <w:p>
      <w:pPr>
        <w:pStyle w:val="Heading3"/>
        <w:spacing w:before="280" w:after="120"/>
      </w:pPr>
      <w:r>
        <w:rPr>
          <w:rFonts w:ascii="Arial" w:cs="Arial" w:eastAsia="Arial" w:hAnsi="Arial"/>
          <w:b/>
          <w:bCs/>
          <w:color w:val="2E75B6"/>
          <w:sz w:val="24"/>
          <w:szCs w:val="24"/>
        </w:rPr>
        <w:t xml:space="preserve">4.8 Democratic Governance</w:t>
      </w:r>
    </w:p>
    <w:p>
      <w:pPr>
        <w:spacing w:before="80" w:after="120"/>
        <w:jc w:val="both"/>
      </w:pPr>
      <w:r>
        <w:rPr>
          <w:rFonts w:ascii="Arial" w:cs="Arial" w:eastAsia="Arial" w:hAnsi="Arial"/>
          <w:color w:val="4A4A4A"/>
          <w:sz w:val="22"/>
          <w:szCs w:val="22"/>
        </w:rPr>
        <w:t xml:space="preserve">AI governance must be participatory. The National AI Authority must include civil society, academia, industry, and citizen representation. Major policies require sixty-day public comment periods. Source code for government AI systems must be open unless security-sensitive.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Part II — Governance &amp; Regulation</w:t>
            </w:r>
          </w:p>
        </w:tc>
      </w:tr>
    </w:tbl>
    <w:p>
      <w:pPr>
        <w:spacing w:before="2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5. Institutional Framework</w:t>
      </w:r>
    </w:p>
    <w:p>
      <w:pPr>
        <w:pStyle w:val="Heading2"/>
        <w:spacing w:before="360" w:after="160"/>
      </w:pPr>
      <w:r>
        <w:rPr>
          <w:rFonts w:ascii="Arial" w:cs="Arial" w:eastAsia="Arial" w:hAnsi="Arial"/>
          <w:b/>
          <w:bCs/>
          <w:color w:val="1B3A6B"/>
          <w:sz w:val="28"/>
          <w:szCs w:val="28"/>
        </w:rPr>
        <w:t xml:space="preserve">5.1 National AI Authority of Bangladesh (NAIA)</w:t>
      </w:r>
    </w:p>
    <w:p>
      <w:pPr>
        <w:spacing w:before="80" w:after="120"/>
        <w:jc w:val="both"/>
      </w:pPr>
      <w:r>
        <w:rPr>
          <w:rFonts w:ascii="Arial" w:cs="Arial" w:eastAsia="Arial" w:hAnsi="Arial"/>
          <w:color w:val="4A4A4A"/>
          <w:sz w:val="22"/>
          <w:szCs w:val="22"/>
        </w:rPr>
        <w:t xml:space="preserve">The National AI Authority of Bangladesh will be established by executive order within sixty days of policy adoption, with full legislative backing through the Bangladesh AI Act 2026. It will function as an autonomous statutory body under the Prime Minister’s Office, with operational independence, a dedicated budget line, and a mandate spanning regulation, promotion, coordination, and advisory functions.</w:t>
      </w:r>
    </w:p>
    <w:p>
      <w:pPr>
        <w:spacing w:before="80" w:after="120"/>
        <w:jc w:val="both"/>
      </w:pPr>
      <w:r>
        <w:rPr>
          <w:rFonts w:ascii="Arial" w:cs="Arial" w:eastAsia="Arial" w:hAnsi="Arial"/>
          <w:color w:val="4A4A4A"/>
          <w:sz w:val="22"/>
          <w:szCs w:val="22"/>
        </w:rPr>
        <w:t xml:space="preserve">The NAIA’s governance structure centres on an eleven-member Board of Directors serving three-year terms, with composition requirements mandating minimum forty percent women, at least two members from outside Dhaka, and at least one member with a disability. The Board’s Secretariat will scale from approximately sixty professional staff in 2027 to one hundred by 2030, organised across four directorates: Regulation and Compliance, Innovation and Promotion, Research and Analysis, and International Cooperation.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Directorate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Approximate Staff</w:t>
            </w:r>
          </w:p>
        </w:tc>
        <w:tc>
          <w:tcPr>
            <w:tcW w:type="dxa" w:w="3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Function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Regulation &amp;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Standards, licensing, enforcement, AIA reviews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Innovation &amp; Promotion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~15</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Grants, regulatory sandboxes, ecosystem building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Research &amp;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Horizon scanning, policy research, data analysis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International Cooperation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w:t>
            </w:r>
          </w:p>
        </w:tc>
        <w:tc>
          <w:tcPr>
            <w:tcW w:type="dxa" w:w="3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Regional/global partnerships, knowledge exchange</w:t>
            </w:r>
          </w:p>
        </w:tc>
      </w:tr>
    </w:tbl>
    <w:p>
      <w:pPr>
        <w:spacing w:before="200" w:after="0"/>
      </w:pPr>
      <w:r>
        <w:t xml:space="preserve"/>
      </w:r>
    </w:p>
    <w:p>
      <w:pPr>
        <w:pStyle w:val="Heading2"/>
        <w:spacing w:before="360" w:after="160"/>
      </w:pPr>
      <w:r>
        <w:rPr>
          <w:rFonts w:ascii="Arial" w:cs="Arial" w:eastAsia="Arial" w:hAnsi="Arial"/>
          <w:b/>
          <w:bCs/>
          <w:color w:val="1B3A6B"/>
          <w:sz w:val="28"/>
          <w:szCs w:val="28"/>
        </w:rPr>
        <w:t xml:space="preserve">5.2 The Missing Governance Layer: Sub-national AI Coordination</w:t>
      </w:r>
    </w:p>
    <w:p>
      <w:pPr>
        <w:spacing w:before="80" w:after="120"/>
        <w:jc w:val="both"/>
      </w:pPr>
      <w:r>
        <w:rPr>
          <w:rFonts w:ascii="Arial" w:cs="Arial" w:eastAsia="Arial" w:hAnsi="Arial"/>
          <w:color w:val="4A4A4A"/>
          <w:sz w:val="22"/>
          <w:szCs w:val="22"/>
        </w:rPr>
        <w:t xml:space="preserve">The original draft policy concentrates its governance architecture almost entirely at the national level. This is a significant gap. Bangladesh’s administrative structure of divisions, districts, upazilas, and unions means that national-level institutions, however well-designed, will struggle to reach the constituencies most in need of AI’s benefits. Agricultural AI will only transform farming practices if extension workers at the upazila level understand and can operationalise it. Telemedicine AI will only reach the forty million target if community health workers across the rural landscape are equipped to use it.</w:t>
      </w:r>
    </w:p>
    <w:p>
      <w:pPr>
        <w:spacing w:before="80" w:after="120"/>
        <w:jc w:val="both"/>
      </w:pPr>
      <w:r>
        <w:rPr>
          <w:rFonts w:ascii="Arial" w:cs="Arial" w:eastAsia="Arial" w:hAnsi="Arial"/>
          <w:color w:val="4A4A4A"/>
          <w:sz w:val="22"/>
          <w:szCs w:val="22"/>
        </w:rPr>
        <w:t xml:space="preserve">This policy therefore recommends the establishment of Divisional AI Coordination Offices — one per each of Bangladesh’s eight administrative divisions — reporting to the NAIA but embedded in the administrative infrastructure of divisional commissioners. Each office will serve as the ground-level interface between national AI strategy and local implementation reality, providing training, technical support, grievance handling, and feedback to the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2FA" w:val="clear"/>
            <w:tcMar>
              <w:top w:type="dxa" w:w="160"/>
              <w:left w:type="dxa" w:w="240"/>
              <w:bottom w:type="dxa" w:w="160"/>
              <w:right w:type="dxa" w:w="240"/>
            </w:tcMar>
          </w:tcPr>
          <w:p>
            <w:pPr>
              <w:spacing w:before="0" w:after="60"/>
            </w:pPr>
            <w:r>
              <w:rPr>
                <w:rFonts w:ascii="Arial" w:cs="Arial" w:eastAsia="Arial" w:hAnsi="Arial"/>
                <w:b/>
                <w:bCs/>
                <w:color w:val="2E75B6"/>
                <w:sz w:val="22"/>
                <w:szCs w:val="22"/>
              </w:rPr>
              <w:t xml:space="preserve">Proposed Addition: Divisional AI Coordination Offices</w:t>
            </w:r>
          </w:p>
          <w:p>
            <w:pPr>
              <w:spacing w:before="0" w:after="0"/>
              <w:jc w:val="both"/>
            </w:pPr>
            <w:r>
              <w:rPr>
                <w:rFonts w:ascii="Arial" w:cs="Arial" w:eastAsia="Arial" w:hAnsi="Arial"/>
                <w:color w:val="4A4A4A"/>
                <w:sz w:val="21"/>
                <w:szCs w:val="21"/>
              </w:rPr>
              <w:t xml:space="preserve">Eight offices (one per division: Dhaka, Chattogram, Khulna, Rajshahi, Sylhet, Barisal, Mymensingh, Rangpur) with a mandate to localise national AI strategy, train upazila-level government staff, handle citizen grievances, and provide feedback loops to NAIA. Budget: BDT 200 crore (2026–2030).</w:t>
            </w:r>
          </w:p>
        </w:tc>
      </w:tr>
    </w:tbl>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6. Regulatory Architecture</w:t>
      </w:r>
    </w:p>
    <w:p>
      <w:pPr>
        <w:pStyle w:val="Heading2"/>
        <w:spacing w:before="360" w:after="160"/>
      </w:pPr>
      <w:r>
        <w:rPr>
          <w:rFonts w:ascii="Arial" w:cs="Arial" w:eastAsia="Arial" w:hAnsi="Arial"/>
          <w:b/>
          <w:bCs/>
          <w:color w:val="1B3A6B"/>
          <w:sz w:val="28"/>
          <w:szCs w:val="28"/>
        </w:rPr>
        <w:t xml:space="preserve">6.1 Risk-Based Regulatory Framework</w:t>
      </w:r>
    </w:p>
    <w:p>
      <w:pPr>
        <w:spacing w:before="80" w:after="120"/>
        <w:jc w:val="both"/>
      </w:pPr>
      <w:r>
        <w:rPr>
          <w:rFonts w:ascii="Arial" w:cs="Arial" w:eastAsia="Arial" w:hAnsi="Arial"/>
          <w:color w:val="4A4A4A"/>
          <w:sz w:val="22"/>
          <w:szCs w:val="22"/>
        </w:rPr>
        <w:t xml:space="preserve">Bangladesh adopts a four-tier risk classification system, balancing innovation enablement with proportionate harm prevention. The framework draws on international precedent — particularly the EU AI Act — while adapting its categories and thresholds to the Bangladeshi developmental context.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00"/>
        <w:gridCol w:w="26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Classification</w:t>
            </w:r>
          </w:p>
        </w:tc>
        <w:tc>
          <w:tcPr>
            <w:tcW w:type="dxa" w:w="3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26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Penalty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Tier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Prohibited AI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Absolute ban on deployment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BDT 10 crore + up to 5 years imprisonment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Tier 2</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High-Risk AI</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Pre-deployment NAIA authorisation, AIA, human oversight, annual re-certification</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BDT 1–5 crore depending on violation type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Tier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Limited-Risk AI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Disclosure obligation, deepfake labelling, opt-out mechanism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BDT 50 lakh for disclosure violations</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Tier 4</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Minimal-Risk AI</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Standard consumer protection and data privacy law compliance</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No AI-specific penalties unless harm occurs</w:t>
            </w:r>
          </w:p>
        </w:tc>
      </w:tr>
    </w:tbl>
    <w:p>
      <w:pPr>
        <w:spacing w:before="200" w:after="0"/>
      </w:pPr>
      <w:r>
        <w:t xml:space="preserve"/>
      </w:r>
    </w:p>
    <w:p>
      <w:pPr>
        <w:pStyle w:val="Heading3"/>
        <w:spacing w:before="280" w:after="120"/>
      </w:pPr>
      <w:r>
        <w:rPr>
          <w:rFonts w:ascii="Arial" w:cs="Arial" w:eastAsia="Arial" w:hAnsi="Arial"/>
          <w:b/>
          <w:bCs/>
          <w:color w:val="2E75B6"/>
          <w:sz w:val="24"/>
          <w:szCs w:val="24"/>
        </w:rPr>
        <w:t xml:space="preserve">Prohibited AI Systems (Tier 1)</w:t>
      </w:r>
    </w:p>
    <w:p>
      <w:pPr>
        <w:spacing w:before="80" w:after="120"/>
        <w:jc w:val="both"/>
      </w:pPr>
      <w:r>
        <w:rPr>
          <w:rFonts w:ascii="Arial" w:cs="Arial" w:eastAsia="Arial" w:hAnsi="Arial"/>
          <w:color w:val="4A4A4A"/>
          <w:sz w:val="22"/>
          <w:szCs w:val="22"/>
        </w:rPr>
        <w:t xml:space="preserve">The following applications are banned due to their unacceptable risk to fundamental rights, human dignity, or public safety. The prohibition is absolute and admits no exceptions except those explicitly defined in statute:</w:t>
      </w:r>
    </w:p>
    <w:p>
      <w:pPr>
        <w:pStyle w:val="ListParagraph"/>
        <w:numPr>
          <w:ilvl w:val="0"/>
          <w:numId w:val="2"/>
        </w:numPr>
        <w:spacing w:before="60" w:after="60"/>
      </w:pPr>
      <w:r>
        <w:rPr>
          <w:rFonts w:ascii="Arial" w:cs="Arial" w:eastAsia="Arial" w:hAnsi="Arial"/>
          <w:color w:val="4A4A4A"/>
          <w:sz w:val="22"/>
          <w:szCs w:val="22"/>
        </w:rPr>
        <w:t xml:space="preserve">Social scoring systems that assign generalised credit or behavioural ratings to citizens</w:t>
      </w:r>
    </w:p>
    <w:p>
      <w:pPr>
        <w:pStyle w:val="ListParagraph"/>
        <w:numPr>
          <w:ilvl w:val="0"/>
          <w:numId w:val="2"/>
        </w:numPr>
        <w:spacing w:before="60" w:after="60"/>
      </w:pPr>
      <w:r>
        <w:rPr>
          <w:rFonts w:ascii="Arial" w:cs="Arial" w:eastAsia="Arial" w:hAnsi="Arial"/>
          <w:color w:val="4A4A4A"/>
          <w:sz w:val="22"/>
          <w:szCs w:val="22"/>
        </w:rPr>
        <w:t xml:space="preserve">Subliminal manipulation AI operating below conscious awareness in ways causing harm</w:t>
      </w:r>
    </w:p>
    <w:p>
      <w:pPr>
        <w:pStyle w:val="ListParagraph"/>
        <w:numPr>
          <w:ilvl w:val="0"/>
          <w:numId w:val="2"/>
        </w:numPr>
        <w:spacing w:before="60" w:after="60"/>
      </w:pPr>
      <w:r>
        <w:rPr>
          <w:rFonts w:ascii="Arial" w:cs="Arial" w:eastAsia="Arial" w:hAnsi="Arial"/>
          <w:color w:val="4A4A4A"/>
          <w:sz w:val="22"/>
          <w:szCs w:val="22"/>
        </w:rPr>
        <w:t xml:space="preserve">AI that exploits the vulnerabilities of children or persons with disabilities for commercial gain</w:t>
      </w:r>
    </w:p>
    <w:p>
      <w:pPr>
        <w:pStyle w:val="ListParagraph"/>
        <w:numPr>
          <w:ilvl w:val="0"/>
          <w:numId w:val="2"/>
        </w:numPr>
        <w:spacing w:before="60" w:after="60"/>
      </w:pPr>
      <w:r>
        <w:rPr>
          <w:rFonts w:ascii="Arial" w:cs="Arial" w:eastAsia="Arial" w:hAnsi="Arial"/>
          <w:color w:val="4A4A4A"/>
          <w:sz w:val="22"/>
          <w:szCs w:val="22"/>
        </w:rPr>
        <w:t xml:space="preserve">Real-time mass biometric surveillance in public spaces (with narrow exceptions for missing children cases and terrorism threats, both requiring judicial warrant)</w:t>
      </w:r>
    </w:p>
    <w:p>
      <w:pPr>
        <w:pStyle w:val="ListParagraph"/>
        <w:numPr>
          <w:ilvl w:val="0"/>
          <w:numId w:val="2"/>
        </w:numPr>
        <w:spacing w:before="60" w:after="60"/>
      </w:pPr>
      <w:r>
        <w:rPr>
          <w:rFonts w:ascii="Arial" w:cs="Arial" w:eastAsia="Arial" w:hAnsi="Arial"/>
          <w:color w:val="4A4A4A"/>
          <w:sz w:val="22"/>
          <w:szCs w:val="22"/>
        </w:rPr>
        <w:t xml:space="preserve">Predictive policing AI targeting specific named individuals (area-based crime forecasting remains permissible)</w:t>
      </w:r>
    </w:p>
    <w:p>
      <w:pPr>
        <w:spacing w:before="200" w:after="0"/>
      </w:pPr>
      <w:r>
        <w:t xml:space="preserve"/>
      </w:r>
    </w:p>
    <w:p>
      <w:pPr>
        <w:pStyle w:val="Heading2"/>
        <w:spacing w:before="360" w:after="160"/>
      </w:pPr>
      <w:r>
        <w:rPr>
          <w:rFonts w:ascii="Arial" w:cs="Arial" w:eastAsia="Arial" w:hAnsi="Arial"/>
          <w:b/>
          <w:bCs/>
          <w:color w:val="1B3A6B"/>
          <w:sz w:val="28"/>
          <w:szCs w:val="28"/>
        </w:rPr>
        <w:t xml:space="preserve">6.2 The Missing Regulatory Domain: AI in Electoral Processes</w:t>
      </w:r>
    </w:p>
    <w:p>
      <w:pPr>
        <w:spacing w:before="80" w:after="120"/>
        <w:jc w:val="both"/>
      </w:pPr>
      <w:r>
        <w:rPr>
          <w:rFonts w:ascii="Arial" w:cs="Arial" w:eastAsia="Arial" w:hAnsi="Arial"/>
          <w:color w:val="4A4A4A"/>
          <w:sz w:val="22"/>
          <w:szCs w:val="22"/>
        </w:rPr>
        <w:t xml:space="preserve">The draft policy is notably silent on one of the most consequential applications of AI in democratic systems: its use in electoral contexts. This is a striking omission for a country emerging from a political revolution. The risks are not hypothetical. AI-generated disinformation — fabricated audio, synthetic video, or algorithmically amplified false narratives — targeted at electoral processes poses a direct threat to democratic legitimacy. Voter registration validation systems using algorithmic matching carry documented risks of disenfranchising legitimate voters, particularly in communities with less standardised documentation.</w:t>
      </w:r>
    </w:p>
    <w:p>
      <w:pPr>
        <w:spacing w:before="80" w:after="120"/>
        <w:jc w:val="both"/>
      </w:pPr>
      <w:r>
        <w:rPr>
          <w:rFonts w:ascii="Arial" w:cs="Arial" w:eastAsia="Arial" w:hAnsi="Arial"/>
          <w:color w:val="4A4A4A"/>
          <w:sz w:val="22"/>
          <w:szCs w:val="22"/>
        </w:rPr>
        <w:t xml:space="preserve">This policy recommends the creation of a dedicated Electoral AI Protocol, developed jointly by NAIA and the Election Commission, with mandatory requirements for disclosure of any AI-generated content in political advertising, human verification of all AI-assisted voter registration decisions, and criminal penalties for the use of deepfake technology to fabricate statements by electoral candidates or public officials during campaign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102E" w:sz="4"/>
              <w:left w:val="single" w:color="C8102E" w:sz="12"/>
              <w:bottom w:val="single" w:color="C8102E" w:sz="4"/>
              <w:right w:val="single" w:color="C8102E" w:sz="4"/>
            </w:tcBorders>
            <w:shd w:fill="FDF2F4" w:val="clear"/>
            <w:tcMar>
              <w:top w:type="dxa" w:w="160"/>
              <w:left w:type="dxa" w:w="240"/>
              <w:bottom w:type="dxa" w:w="160"/>
              <w:right w:type="dxa" w:w="240"/>
            </w:tcMar>
          </w:tcPr>
          <w:p>
            <w:pPr>
              <w:spacing w:before="0" w:after="60"/>
            </w:pPr>
            <w:r>
              <w:rPr>
                <w:rFonts w:ascii="Arial" w:cs="Arial" w:eastAsia="Arial" w:hAnsi="Arial"/>
                <w:b/>
                <w:bCs/>
                <w:color w:val="C8102E"/>
                <w:sz w:val="22"/>
                <w:szCs w:val="22"/>
              </w:rPr>
              <w:t xml:space="preserve">Recommended Addition: Electoral AI Protocol</w:t>
            </w:r>
          </w:p>
          <w:p>
            <w:pPr>
              <w:spacing w:before="0" w:after="0"/>
              <w:jc w:val="both"/>
            </w:pPr>
            <w:r>
              <w:rPr>
                <w:rFonts w:ascii="Arial" w:cs="Arial" w:eastAsia="Arial" w:hAnsi="Arial"/>
                <w:color w:val="4A4A4A"/>
                <w:sz w:val="21"/>
                <w:szCs w:val="21"/>
              </w:rPr>
              <w:t xml:space="preserve">Mandatory disclosure of AI-generated content in political advertising. Criminal liability for electoral deepfakes (up to 7 years imprisonment). Human review requirement for all AI-assisted voter registration decisions. NAIA-Election Commission joint oversight body. This provision should be enacted as a standalone schedule within the Bangladesh AI Act 2026.</w:t>
            </w:r>
          </w:p>
        </w:tc>
      </w:tr>
    </w:tbl>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7. Data Governance and Privacy</w:t>
      </w:r>
    </w:p>
    <w:p>
      <w:pPr>
        <w:pStyle w:val="Heading2"/>
        <w:spacing w:before="360" w:after="160"/>
      </w:pPr>
      <w:r>
        <w:rPr>
          <w:rFonts w:ascii="Arial" w:cs="Arial" w:eastAsia="Arial" w:hAnsi="Arial"/>
          <w:b/>
          <w:bCs/>
          <w:color w:val="1B3A6B"/>
          <w:sz w:val="28"/>
          <w:szCs w:val="28"/>
        </w:rPr>
        <w:t xml:space="preserve">7.1 The Remittance Economy and Digital Financial Data</w:t>
      </w:r>
    </w:p>
    <w:p>
      <w:pPr>
        <w:spacing w:before="80" w:after="120"/>
        <w:jc w:val="both"/>
      </w:pPr>
      <w:r>
        <w:rPr>
          <w:rFonts w:ascii="Arial" w:cs="Arial" w:eastAsia="Arial" w:hAnsi="Arial"/>
          <w:color w:val="4A4A4A"/>
          <w:sz w:val="22"/>
          <w:szCs w:val="22"/>
        </w:rPr>
        <w:t xml:space="preserve">Bangladesh’s AI data governance framework, as articulated in the draft policy, focuses primarily on agricultural, health, transport, and education datasets. This is appropriate but incomplete. A dimension of Bangladesh’s data landscape that receives insufficient attention is the financial data generated by the country’s USD 25 billion annual remittance economy — one of the largest in the world relative to GDP.</w:t>
      </w:r>
    </w:p>
    <w:p>
      <w:pPr>
        <w:spacing w:before="80" w:after="120"/>
        <w:jc w:val="both"/>
      </w:pPr>
      <w:r>
        <w:rPr>
          <w:rFonts w:ascii="Arial" w:cs="Arial" w:eastAsia="Arial" w:hAnsi="Arial"/>
          <w:color w:val="4A4A4A"/>
          <w:sz w:val="22"/>
          <w:szCs w:val="22"/>
        </w:rPr>
        <w:t xml:space="preserve">Mobile financial services platforms such as bKash, Nagad, and Rocket collectively process hundreds of millions of transactions annually, generating a dataset of extraordinary granularity on the financial behaviour, geographic mobility, and economic circumstances of Bangladesh’s working population, including its diaspora. This data has enormous potential for AI applications in financial inclusion, credit scoring for the unbanked, and fraud detection. It also carries profound privacy risks if governed inadequately.</w:t>
      </w:r>
    </w:p>
    <w:p>
      <w:pPr>
        <w:spacing w:before="80" w:after="120"/>
        <w:jc w:val="both"/>
      </w:pPr>
      <w:r>
        <w:rPr>
          <w:rFonts w:ascii="Arial" w:cs="Arial" w:eastAsia="Arial" w:hAnsi="Arial"/>
          <w:color w:val="4A4A4A"/>
          <w:sz w:val="22"/>
          <w:szCs w:val="22"/>
        </w:rPr>
        <w:t xml:space="preserve">This policy recommends the designation of mobile financial services transaction data as a sensitive data category under the PDPO, requiring enhanced consent mechanisms and NAIA approval for any AI training use. It further recommends a dedicated Mobile Financial AI Governance Protocol developed in partnership with Bangladesh Bank and the NAIA, with specific provisions governing the use of remittance data for AI applications.</w:t>
      </w:r>
    </w:p>
    <w:p>
      <w:pPr>
        <w:pStyle w:val="Heading2"/>
        <w:spacing w:before="360" w:after="160"/>
      </w:pPr>
      <w:r>
        <w:rPr>
          <w:rFonts w:ascii="Arial" w:cs="Arial" w:eastAsia="Arial" w:hAnsi="Arial"/>
          <w:b/>
          <w:bCs/>
          <w:color w:val="1B3A6B"/>
          <w:sz w:val="28"/>
          <w:szCs w:val="28"/>
        </w:rPr>
        <w:t xml:space="preserve">7.2 The Chittagong Hill Tracts: Data Rights for Ethnic and Linguistic Minorities</w:t>
      </w:r>
    </w:p>
    <w:p>
      <w:pPr>
        <w:spacing w:before="80" w:after="120"/>
        <w:jc w:val="both"/>
      </w:pPr>
      <w:r>
        <w:rPr>
          <w:rFonts w:ascii="Arial" w:cs="Arial" w:eastAsia="Arial" w:hAnsi="Arial"/>
          <w:color w:val="4A4A4A"/>
          <w:sz w:val="22"/>
          <w:szCs w:val="22"/>
        </w:rPr>
        <w:t xml:space="preserve">The draft policy’s data governance framework makes generic reference to demographic representativeness in training datasets but does not adequately address the specific situation of Bangladesh’s ethnic and linguistic minority communities, particularly in the Chittagong Hill Tracts. Communities speaking Chakma, Marma, Tripuri, Garo, Santal, and other indigenous languages have largely been excluded from the digital economy and will remain so unless specific, targeted interventions are made.</w:t>
      </w:r>
    </w:p>
    <w:p>
      <w:pPr>
        <w:spacing w:before="80" w:after="120"/>
        <w:jc w:val="both"/>
      </w:pPr>
      <w:r>
        <w:rPr>
          <w:rFonts w:ascii="Arial" w:cs="Arial" w:eastAsia="Arial" w:hAnsi="Arial"/>
          <w:color w:val="4A4A4A"/>
          <w:sz w:val="22"/>
          <w:szCs w:val="22"/>
        </w:rPr>
        <w:t xml:space="preserve">Beyond exclusion lies a more active risk: the potential for AI systems trained predominantly on Bangla and English language data to systematically misrepresent, misclassify, or disadvantage members of these communities in automated decision-making contexts. This policy recommends the establishment of a Minority Language AI Initiative as a sub-component of the Bengali Language AI initiative, with dedicated datasets, model development, and community consent protocols for the six largest indigenous languages of Bangladesh.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2FA" w:val="clear"/>
            <w:tcMar>
              <w:top w:type="dxa" w:w="160"/>
              <w:left w:type="dxa" w:w="240"/>
              <w:bottom w:type="dxa" w:w="160"/>
              <w:right w:type="dxa" w:w="240"/>
            </w:tcMar>
          </w:tcPr>
          <w:p>
            <w:pPr>
              <w:spacing w:before="0" w:after="60"/>
            </w:pPr>
            <w:r>
              <w:rPr>
                <w:rFonts w:ascii="Arial" w:cs="Arial" w:eastAsia="Arial" w:hAnsi="Arial"/>
                <w:b/>
                <w:bCs/>
                <w:color w:val="2E75B6"/>
                <w:sz w:val="22"/>
                <w:szCs w:val="22"/>
              </w:rPr>
              <w:t xml:space="preserve">Recommended Addition: Minority Language AI Initiative</w:t>
            </w:r>
          </w:p>
          <w:p>
            <w:pPr>
              <w:spacing w:before="0" w:after="0"/>
              <w:jc w:val="both"/>
            </w:pPr>
            <w:r>
              <w:rPr>
                <w:rFonts w:ascii="Arial" w:cs="Arial" w:eastAsia="Arial" w:hAnsi="Arial"/>
                <w:color w:val="4A4A4A"/>
                <w:sz w:val="21"/>
                <w:szCs w:val="21"/>
              </w:rPr>
              <w:t xml:space="preserve">Dedicated NLP datasets and model development for Chakma, Marma, Tripuri, Garo, Santal, and Mru languages. Community-controlled data sovereignty protocols for indigenous communities. Mandatory representation of ethnic minority communities in NAIA advisory structures. Budget: BDT 150 crore (2026–2030).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Part III — Infrastructure &amp; Resources</w:t>
            </w:r>
          </w:p>
        </w:tc>
      </w:tr>
    </w:tbl>
    <w:p>
      <w:pPr>
        <w:spacing w:before="2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8. Digital Infrastructure and Compute Resources</w:t>
      </w:r>
    </w:p>
    <w:p>
      <w:pPr>
        <w:pStyle w:val="Heading2"/>
        <w:spacing w:before="360" w:after="160"/>
      </w:pPr>
      <w:r>
        <w:rPr>
          <w:rFonts w:ascii="Arial" w:cs="Arial" w:eastAsia="Arial" w:hAnsi="Arial"/>
          <w:b/>
          <w:bCs/>
          <w:color w:val="1B3A6B"/>
          <w:sz w:val="28"/>
          <w:szCs w:val="28"/>
        </w:rPr>
        <w:t xml:space="preserve">8.1 National AI Compute Infrastructure</w:t>
      </w:r>
    </w:p>
    <w:p>
      <w:pPr>
        <w:spacing w:before="80" w:after="120"/>
        <w:jc w:val="both"/>
      </w:pPr>
      <w:r>
        <w:rPr>
          <w:rFonts w:ascii="Arial" w:cs="Arial" w:eastAsia="Arial" w:hAnsi="Arial"/>
          <w:color w:val="4A4A4A"/>
          <w:sz w:val="22"/>
          <w:szCs w:val="22"/>
        </w:rPr>
        <w:t xml:space="preserve">The Bangladesh National AI Compute Grid will be established in two phases between 2026 and 2030. Phase 1, targeting completion by mid-2027, will establish a core cluster of 1,000 GPUs — equivalent to NVIDIA A100 or H100 specifications — located at Kaliakoir Hi-Tech Park with a redundant facility in Chattogram. Peak performance capacity will reach 50 petaflops, supported by 10 petabytes of high-performance storage, a dedicated 20 MW renewable energy supply using a solar-grid hybrid model, and 100 Gbps connectivity to the national backbone. Capital cost for this phase is estimated at BDT 800 crore.</w:t>
      </w:r>
    </w:p>
    <w:p>
      <w:pPr>
        <w:spacing w:before="80" w:after="120"/>
        <w:jc w:val="both"/>
      </w:pPr>
      <w:r>
        <w:rPr>
          <w:rFonts w:ascii="Arial" w:cs="Arial" w:eastAsia="Arial" w:hAnsi="Arial"/>
          <w:color w:val="4A4A4A"/>
          <w:sz w:val="22"/>
          <w:szCs w:val="22"/>
        </w:rPr>
        <w:t xml:space="preserve">Phase 2, completing by 2030, extends compute infrastructure to regional clusters in Khulna, Sylhet, and Rajshahi, each with 500 GPU capacity, bringing total national capacity to 2,500 GPUs. The decentralisation is deliberate: it reduces latency for regional users, enables skills development outside Dhaka, and begins to address the capital-city concentration that has historically limited the reach of Bangladesh’s technology sector.</w:t>
      </w:r>
    </w:p>
    <w:p>
      <w:pPr>
        <w:pStyle w:val="Heading2"/>
        <w:spacing w:before="360" w:after="160"/>
      </w:pPr>
      <w:r>
        <w:rPr>
          <w:rFonts w:ascii="Arial" w:cs="Arial" w:eastAsia="Arial" w:hAnsi="Arial"/>
          <w:b/>
          <w:bCs/>
          <w:color w:val="1B3A6B"/>
          <w:sz w:val="28"/>
          <w:szCs w:val="28"/>
        </w:rPr>
        <w:t xml:space="preserve">8.2 The Power Crisis as AI Infrastructure Constraint</w:t>
      </w:r>
    </w:p>
    <w:p>
      <w:pPr>
        <w:spacing w:before="80" w:after="120"/>
        <w:jc w:val="both"/>
      </w:pPr>
      <w:r>
        <w:rPr>
          <w:rFonts w:ascii="Arial" w:cs="Arial" w:eastAsia="Arial" w:hAnsi="Arial"/>
          <w:color w:val="4A4A4A"/>
          <w:sz w:val="22"/>
          <w:szCs w:val="22"/>
        </w:rPr>
        <w:t xml:space="preserve">The draft policy acknowledges Bangladesh’s power supply challenges in passing but does not treat them as the foundational constraint they represent. Rural areas experiencing 8 to 10 hours of daily power outages cannot support AI applications requiring consistent connectivity and compute. Edge AI devices in rural clinics, IoT sensor networks in agricultural villages, and telemedicine platforms in upazila health complexes all fail in the absence of reliable power.</w:t>
      </w:r>
    </w:p>
    <w:p>
      <w:pPr>
        <w:spacing w:before="80" w:after="120"/>
        <w:jc w:val="both"/>
      </w:pPr>
      <w:r>
        <w:rPr>
          <w:rFonts w:ascii="Arial" w:cs="Arial" w:eastAsia="Arial" w:hAnsi="Arial"/>
          <w:color w:val="4A4A4A"/>
          <w:sz w:val="22"/>
          <w:szCs w:val="22"/>
        </w:rPr>
        <w:t xml:space="preserve">This policy recommends that the AI compute infrastructure strategy be co-developed with the Ministry of Power, Energy and Mineral Resources, with a specific AI Power Security Schedule ensuring uninterrupted power supply to all designated AI infrastructure sites through a combination of grid priority access, on-site solar generation, and battery storage systems. The additional cost is estimated at BDT 300 crore and should be treated as a non-negotiable prerequisite for the success of the broader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2FA" w:val="clear"/>
            <w:tcMar>
              <w:top w:type="dxa" w:w="160"/>
              <w:left w:type="dxa" w:w="240"/>
              <w:bottom w:type="dxa" w:w="160"/>
              <w:right w:type="dxa" w:w="240"/>
            </w:tcMar>
          </w:tcPr>
          <w:p>
            <w:pPr>
              <w:spacing w:before="0" w:after="60"/>
            </w:pPr>
            <w:r>
              <w:rPr>
                <w:rFonts w:ascii="Arial" w:cs="Arial" w:eastAsia="Arial" w:hAnsi="Arial"/>
                <w:b/>
                <w:bCs/>
                <w:color w:val="2E75B6"/>
                <w:sz w:val="22"/>
                <w:szCs w:val="22"/>
              </w:rPr>
              <w:t xml:space="preserve">AI Power Security Schedule</w:t>
            </w:r>
          </w:p>
          <w:p>
            <w:pPr>
              <w:spacing w:before="0" w:after="0"/>
              <w:jc w:val="both"/>
            </w:pPr>
            <w:r>
              <w:rPr>
                <w:rFonts w:ascii="Arial" w:cs="Arial" w:eastAsia="Arial" w:hAnsi="Arial"/>
                <w:color w:val="4A4A4A"/>
                <w:sz w:val="21"/>
                <w:szCs w:val="21"/>
              </w:rPr>
              <w:t xml:space="preserve">All national and divisional AI compute facilities to receive grid priority classification (equivalent to hospitals). Mandatory on-site solar generation and battery backup with minimum 8-hour autonomy at each facility. Upazila-level AI nodes to receive dedicated solar-powered microgrids. Coordinated through Ministry of Power and Rural Electrification Board.</w:t>
            </w:r>
          </w:p>
        </w:tc>
      </w:tr>
    </w:tbl>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9. Financial Framework</w:t>
      </w:r>
    </w:p>
    <w:p>
      <w:pPr>
        <w:pStyle w:val="Heading2"/>
        <w:spacing w:before="360" w:after="160"/>
      </w:pPr>
      <w:r>
        <w:rPr>
          <w:rFonts w:ascii="Arial" w:cs="Arial" w:eastAsia="Arial" w:hAnsi="Arial"/>
          <w:b/>
          <w:bCs/>
          <w:color w:val="1B3A6B"/>
          <w:sz w:val="28"/>
          <w:szCs w:val="28"/>
        </w:rPr>
        <w:t xml:space="preserve">9.1 Total Investment (2026–2030): BDT 12,000 Crore</w:t>
      </w:r>
    </w:p>
    <w:p>
      <w:pPr>
        <w:spacing w:before="10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5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2026</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2027</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2028</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2029</w:t>
            </w:r>
          </w:p>
        </w:tc>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2030</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Infrastructure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3,000</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 Innovation Fund</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240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480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540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540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600</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2,400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Human Capital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2,000</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Research &amp; Development</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180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360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420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420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420</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1,800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Sectoral Deployments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360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360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1,500</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Governance &amp; Oversight</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120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140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180</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International Cooperation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400</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Contingency</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70</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TOTAL (BDT Crore)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2,460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2,640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2,770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2,930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12,000</w:t>
            </w:r>
          </w:p>
        </w:tc>
      </w:tr>
    </w:tbl>
    <w:p>
      <w:pPr>
        <w:spacing w:before="200" w:after="0"/>
      </w:pPr>
      <w:r>
        <w:t xml:space="preserve"/>
      </w:r>
    </w:p>
    <w:p>
      <w:pPr>
        <w:pStyle w:val="Heading2"/>
        <w:spacing w:before="360" w:after="160"/>
      </w:pPr>
      <w:r>
        <w:rPr>
          <w:rFonts w:ascii="Arial" w:cs="Arial" w:eastAsia="Arial" w:hAnsi="Arial"/>
          <w:b/>
          <w:bCs/>
          <w:color w:val="1B3A6B"/>
          <w:sz w:val="28"/>
          <w:szCs w:val="28"/>
        </w:rPr>
        <w:t xml:space="preserve">9.2 The Garment Sector Transition Fund: A Critical Gap</w:t>
      </w:r>
    </w:p>
    <w:p>
      <w:pPr>
        <w:spacing w:before="80" w:after="120"/>
        <w:jc w:val="both"/>
      </w:pPr>
      <w:r>
        <w:rPr>
          <w:rFonts w:ascii="Arial" w:cs="Arial" w:eastAsia="Arial" w:hAnsi="Arial"/>
          <w:color w:val="4A4A4A"/>
          <w:sz w:val="22"/>
          <w:szCs w:val="22"/>
        </w:rPr>
        <w:t xml:space="preserve">Bangladesh’s ready-made garment sector employs approximately four million workers — eighty percent of whom are women, and the majority of whom come from rural backgrounds with limited formal education. The automation trends driven by AI and robotics in global manufacturing pose a more imminent and severe threat to this workforce than any other AI-related labour market disruption Bangladesh faces.</w:t>
      </w:r>
    </w:p>
    <w:p>
      <w:pPr>
        <w:spacing w:before="80" w:after="120"/>
        <w:jc w:val="both"/>
      </w:pPr>
      <w:r>
        <w:rPr>
          <w:rFonts w:ascii="Arial" w:cs="Arial" w:eastAsia="Arial" w:hAnsi="Arial"/>
          <w:color w:val="4A4A4A"/>
          <w:sz w:val="22"/>
          <w:szCs w:val="22"/>
        </w:rPr>
        <w:t xml:space="preserve">Industry projections suggest that between twenty and thirty percent of current garment sector tasks could be automated within the next decade using technologies already commercially deployed in competing manufacturing countries. The Bengali workforce cannot afford to wait for national retraining programs designed around middle-class tech workers. It needs a dedicated, adequately funded, sectorally specific transition mechanism.</w:t>
      </w:r>
    </w:p>
    <w:p>
      <w:pPr>
        <w:spacing w:before="80" w:after="120"/>
        <w:jc w:val="both"/>
      </w:pPr>
      <w:r>
        <w:rPr>
          <w:rFonts w:ascii="Arial" w:cs="Arial" w:eastAsia="Arial" w:hAnsi="Arial"/>
          <w:color w:val="4A4A4A"/>
          <w:sz w:val="22"/>
          <w:szCs w:val="22"/>
        </w:rPr>
        <w:t xml:space="preserve">This policy recommends the establishment of a Garment Sector AI Transition Fund with a minimum capitalisation of BDT 500 crore, financed through a combination of government budget allocation and a mandatory levy on garment export revenues at 0.3 percent. The fund will finance skills retraining programs designed in partnership with the Bangladesh Garment Manufacturers and Exporters Association, targeting both technical skills relevant to AI-adjacent manufacturing roles and broader vocational skills in sectors projected to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102E" w:sz="4"/>
              <w:left w:val="single" w:color="C8102E" w:sz="12"/>
              <w:bottom w:val="single" w:color="C8102E" w:sz="4"/>
              <w:right w:val="single" w:color="C8102E" w:sz="4"/>
            </w:tcBorders>
            <w:shd w:fill="FDF2F4" w:val="clear"/>
            <w:tcMar>
              <w:top w:type="dxa" w:w="160"/>
              <w:left w:type="dxa" w:w="240"/>
              <w:bottom w:type="dxa" w:w="160"/>
              <w:right w:type="dxa" w:w="240"/>
            </w:tcMar>
          </w:tcPr>
          <w:p>
            <w:pPr>
              <w:spacing w:before="0" w:after="60"/>
            </w:pPr>
            <w:r>
              <w:rPr>
                <w:rFonts w:ascii="Arial" w:cs="Arial" w:eastAsia="Arial" w:hAnsi="Arial"/>
                <w:b/>
                <w:bCs/>
                <w:color w:val="C8102E"/>
                <w:sz w:val="22"/>
                <w:szCs w:val="22"/>
              </w:rPr>
              <w:t xml:space="preserve">Recommended Addition: Garment Sector AI Transition Fund</w:t>
            </w:r>
          </w:p>
          <w:p>
            <w:pPr>
              <w:spacing w:before="0" w:after="0"/>
              <w:jc w:val="both"/>
            </w:pPr>
            <w:r>
              <w:rPr>
                <w:rFonts w:ascii="Arial" w:cs="Arial" w:eastAsia="Arial" w:hAnsi="Arial"/>
                <w:color w:val="4A4A4A"/>
                <w:sz w:val="21"/>
                <w:szCs w:val="21"/>
              </w:rPr>
              <w:t xml:space="preserve">BDT 500 crore minimum capitalisation. Funded by 0.3% levy on garment export revenues plus government allocation. Governed by tripartite board (government, BGMEA, labour unions). Programs designed with explicit priority for women workers, rural returnees, and those with less than secondary education. Integrated with social protection baseline to prevent income gaps during retraining.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Part IV — Human Capital</w:t>
            </w:r>
          </w:p>
        </w:tc>
      </w:tr>
    </w:tbl>
    <w:p>
      <w:pPr>
        <w:spacing w:before="2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10. Talent Development and Retention</w:t>
      </w:r>
    </w:p>
    <w:p>
      <w:pPr>
        <w:pStyle w:val="Heading2"/>
        <w:spacing w:before="360" w:after="160"/>
      </w:pPr>
      <w:r>
        <w:rPr>
          <w:rFonts w:ascii="Arial" w:cs="Arial" w:eastAsia="Arial" w:hAnsi="Arial"/>
          <w:b/>
          <w:bCs/>
          <w:color w:val="1B3A6B"/>
          <w:sz w:val="28"/>
          <w:szCs w:val="28"/>
        </w:rPr>
        <w:t xml:space="preserve">10.1 The Brain Drain Crisis</w:t>
      </w:r>
    </w:p>
    <w:p>
      <w:pPr>
        <w:spacing w:before="80" w:after="120"/>
        <w:jc w:val="both"/>
      </w:pPr>
      <w:r>
        <w:rPr>
          <w:rFonts w:ascii="Arial" w:cs="Arial" w:eastAsia="Arial" w:hAnsi="Arial"/>
          <w:color w:val="4A4A4A"/>
          <w:sz w:val="22"/>
          <w:szCs w:val="22"/>
        </w:rPr>
        <w:t xml:space="preserve">Bangladesh produces approximately 10,000 computer science and ICT graduates annually, yet fewer than five percent possess AI-relevant specialisations. The structural driver of talent loss is straightforward: the average AI engineer in Bangladesh earns BDT 60,000 per month, while the same professional commands USD 8,000 or more per month abroad — a differential of roughly thirteen to one. No retention strategy that fails to address this differential, at least partially, will succeed.</w:t>
      </w:r>
    </w:p>
    <w:p>
      <w:pPr>
        <w:spacing w:before="80" w:after="120"/>
        <w:jc w:val="both"/>
      </w:pPr>
      <w:r>
        <w:rPr>
          <w:rFonts w:ascii="Arial" w:cs="Arial" w:eastAsia="Arial" w:hAnsi="Arial"/>
          <w:color w:val="4A4A4A"/>
          <w:sz w:val="22"/>
          <w:szCs w:val="22"/>
        </w:rPr>
        <w:t xml:space="preserve">This policy does not pretend that Bangladesh can match Western salaries. What it can offer instead is a combination of meaningful impact, cultural connection, entrepreneurial opportunity, national prestige, and hybrid working arrangements that allow AI professionals to contribute to Bangladesh while maintaining international income. The Bangladesh AI Fellowship Program, the AI National Service Corps, and the Diaspora Engagement Platform are the primary instruments through which this value proposition is delivered.</w:t>
      </w:r>
    </w:p>
    <w:p>
      <w:pPr>
        <w:pStyle w:val="Heading2"/>
        <w:spacing w:before="360" w:after="160"/>
      </w:pPr>
      <w:r>
        <w:rPr>
          <w:rFonts w:ascii="Arial" w:cs="Arial" w:eastAsia="Arial" w:hAnsi="Arial"/>
          <w:b/>
          <w:bCs/>
          <w:color w:val="1B3A6B"/>
          <w:sz w:val="28"/>
          <w:szCs w:val="28"/>
        </w:rPr>
        <w:t xml:space="preserve">10.2 The Missing Dimension: Women in AI Beyond Quotas</w:t>
      </w:r>
    </w:p>
    <w:p>
      <w:pPr>
        <w:spacing w:before="80" w:after="120"/>
        <w:jc w:val="both"/>
      </w:pPr>
      <w:r>
        <w:rPr>
          <w:rFonts w:ascii="Arial" w:cs="Arial" w:eastAsia="Arial" w:hAnsi="Arial"/>
          <w:color w:val="4A4A4A"/>
          <w:sz w:val="22"/>
          <w:szCs w:val="22"/>
        </w:rPr>
        <w:t xml:space="preserve">The draft policy sets an admirable target of forty percent women in the AI workforce by 2030, up from the current fifteen percent. It also mandates gender representation in training datasets and on the NAIA Board. What it does not adequately address is why women are currently underrepresented and what structural barriers must be dismantled to change that.</w:t>
      </w:r>
    </w:p>
    <w:p>
      <w:pPr>
        <w:spacing w:before="80" w:after="120"/>
        <w:jc w:val="both"/>
      </w:pPr>
      <w:r>
        <w:rPr>
          <w:rFonts w:ascii="Arial" w:cs="Arial" w:eastAsia="Arial" w:hAnsi="Arial"/>
          <w:color w:val="4A4A4A"/>
          <w:sz w:val="22"/>
          <w:szCs w:val="22"/>
        </w:rPr>
        <w:t xml:space="preserve">The reasons are well-documented in Bangladesh’s specific context. Female secondary school completion rates, while improving, still trail male rates significantly in rural areas. Cultural norms in many communities restrict young women’s access to evening classes, internships, and professional networking environments. Workplace harassment in the technology sector is underreported and inadequately addressed. Childcare infrastructure that would enable working mothers to sustain technology careers is almost entirely absent.</w:t>
      </w:r>
    </w:p>
    <w:p>
      <w:pPr>
        <w:spacing w:before="80" w:after="120"/>
        <w:jc w:val="both"/>
      </w:pPr>
      <w:r>
        <w:rPr>
          <w:rFonts w:ascii="Arial" w:cs="Arial" w:eastAsia="Arial" w:hAnsi="Arial"/>
          <w:color w:val="4A4A4A"/>
          <w:sz w:val="22"/>
          <w:szCs w:val="22"/>
        </w:rPr>
        <w:t xml:space="preserve">A forty percent target achieved by importing internationally educated Bangladeshi women into elite positions in Dhaka does not constitute genuine gender equity in the AI workforce. This policy therefore recommends the creation of a Women in AI Rural Pathway Program, providing specialised computing access, childcare support, and mentorship networks specifically targeted at women in non-Dhaka communities pursuing AI-adjacent education and 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2FA" w:val="clear"/>
            <w:tcMar>
              <w:top w:type="dxa" w:w="160"/>
              <w:left w:type="dxa" w:w="240"/>
              <w:bottom w:type="dxa" w:w="160"/>
              <w:right w:type="dxa" w:w="240"/>
            </w:tcMar>
          </w:tcPr>
          <w:p>
            <w:pPr>
              <w:spacing w:before="0" w:after="60"/>
            </w:pPr>
            <w:r>
              <w:rPr>
                <w:rFonts w:ascii="Arial" w:cs="Arial" w:eastAsia="Arial" w:hAnsi="Arial"/>
                <w:b/>
                <w:bCs/>
                <w:color w:val="2E75B6"/>
                <w:sz w:val="22"/>
                <w:szCs w:val="22"/>
              </w:rPr>
              <w:t xml:space="preserve">Women in AI Rural Pathway Program</w:t>
            </w:r>
          </w:p>
          <w:p>
            <w:pPr>
              <w:spacing w:before="0" w:after="0"/>
              <w:jc w:val="both"/>
            </w:pPr>
            <w:r>
              <w:rPr>
                <w:rFonts w:ascii="Arial" w:cs="Arial" w:eastAsia="Arial" w:hAnsi="Arial"/>
                <w:color w:val="4A4A4A"/>
                <w:sz w:val="21"/>
                <w:szCs w:val="21"/>
              </w:rPr>
              <w:t xml:space="preserve">500 dedicated computer access centres in rural upazilas with crèche facilities attached. Scholarship pipeline from secondary school to university AI programs with hostel support for female students. Partnership with existing women’s NGO networks (BRAC, Grameen, Proshika) for community-level outreach. Target: 20% of the 2030 AI workforce goal achieved through women from non-metropolitan backgrounds. Budget: BDT 300 crore (2026–2030).</w:t>
            </w:r>
          </w:p>
        </w:tc>
      </w:tr>
    </w:tbl>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11. Education and Skills Framework</w:t>
      </w:r>
    </w:p>
    <w:p>
      <w:pPr>
        <w:pStyle w:val="Heading2"/>
        <w:spacing w:before="360" w:after="160"/>
      </w:pPr>
      <w:r>
        <w:rPr>
          <w:rFonts w:ascii="Arial" w:cs="Arial" w:eastAsia="Arial" w:hAnsi="Arial"/>
          <w:b/>
          <w:bCs/>
          <w:color w:val="1B3A6B"/>
          <w:sz w:val="28"/>
          <w:szCs w:val="28"/>
        </w:rPr>
        <w:t xml:space="preserve">11.1 AI Curriculum Integration</w:t>
      </w:r>
    </w:p>
    <w:p>
      <w:pPr>
        <w:spacing w:before="80" w:after="120"/>
        <w:jc w:val="both"/>
      </w:pPr>
      <w:r>
        <w:rPr>
          <w:rFonts w:ascii="Arial" w:cs="Arial" w:eastAsia="Arial" w:hAnsi="Arial"/>
          <w:color w:val="4A4A4A"/>
          <w:sz w:val="22"/>
          <w:szCs w:val="22"/>
        </w:rPr>
        <w:t xml:space="preserve">The policy’s education strategy covers the full spectrum from primary school computational thinking through to doctoral research, with particular emphasis on the secondary school AI curriculum, university specialisations, and the massive teacher training program that represents the single most important enabling condition for any school-level AI education initiative.</w:t>
      </w:r>
    </w:p>
    <w:p>
      <w:pPr>
        <w:pStyle w:val="Heading2"/>
        <w:spacing w:before="360" w:after="160"/>
      </w:pPr>
      <w:r>
        <w:rPr>
          <w:rFonts w:ascii="Arial" w:cs="Arial" w:eastAsia="Arial" w:hAnsi="Arial"/>
          <w:b/>
          <w:bCs/>
          <w:color w:val="1B3A6B"/>
          <w:sz w:val="28"/>
          <w:szCs w:val="28"/>
        </w:rPr>
        <w:t xml:space="preserve">11.2 The Madrasa System: A Gap in Scope</w:t>
      </w:r>
    </w:p>
    <w:p>
      <w:pPr>
        <w:spacing w:before="80" w:after="120"/>
        <w:jc w:val="both"/>
      </w:pPr>
      <w:r>
        <w:rPr>
          <w:rFonts w:ascii="Arial" w:cs="Arial" w:eastAsia="Arial" w:hAnsi="Arial"/>
          <w:color w:val="4A4A4A"/>
          <w:sz w:val="22"/>
          <w:szCs w:val="22"/>
        </w:rPr>
        <w:t xml:space="preserve">Bangladesh has approximately 14,000 Alia madrasas and a further estimated 15,000 Qawmi madrasas, collectively enrolling approximately three million students. The draft policy’s education strategy makes no mention of this system. This is not a minor omission. Madrasa students represent a substantial portion of Bangladesh’s young population, and if the AI literacy campaign does not reach them, it will widen rather than narrow existing social inequalities.</w:t>
      </w:r>
    </w:p>
    <w:p>
      <w:pPr>
        <w:spacing w:before="80" w:after="120"/>
        <w:jc w:val="both"/>
      </w:pPr>
      <w:r>
        <w:rPr>
          <w:rFonts w:ascii="Arial" w:cs="Arial" w:eastAsia="Arial" w:hAnsi="Arial"/>
          <w:color w:val="4A4A4A"/>
          <w:sz w:val="22"/>
          <w:szCs w:val="22"/>
        </w:rPr>
        <w:t xml:space="preserve">This policy recommends the development of a Madrasa AI Integration Curriculum, co-designed with the Bangladesh Madrasa Education Board, Waqf Administration, and leading Qawmi scholars, that frames AI literacy within an Islamic ethical framework and addresses the specific concerns about AI’s social implications that are prevalent in religiously conservative communities. The goal is not to impose a secular technology agenda on a faith-based educational institution but to ensure that students in those institutions have the same opportunity for digital fluency as those in the mainstream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2FA" w:val="clear"/>
            <w:tcMar>
              <w:top w:type="dxa" w:w="160"/>
              <w:left w:type="dxa" w:w="240"/>
              <w:bottom w:type="dxa" w:w="160"/>
              <w:right w:type="dxa" w:w="240"/>
            </w:tcMar>
          </w:tcPr>
          <w:p>
            <w:pPr>
              <w:spacing w:before="0" w:after="60"/>
            </w:pPr>
            <w:r>
              <w:rPr>
                <w:rFonts w:ascii="Arial" w:cs="Arial" w:eastAsia="Arial" w:hAnsi="Arial"/>
                <w:b/>
                <w:bCs/>
                <w:color w:val="2E75B6"/>
                <w:sz w:val="22"/>
                <w:szCs w:val="22"/>
              </w:rPr>
              <w:t xml:space="preserve">Recommended Addition: Madrasa AI Integration Program</w:t>
            </w:r>
          </w:p>
          <w:p>
            <w:pPr>
              <w:spacing w:before="0" w:after="0"/>
              <w:jc w:val="both"/>
            </w:pPr>
            <w:r>
              <w:rPr>
                <w:rFonts w:ascii="Arial" w:cs="Arial" w:eastAsia="Arial" w:hAnsi="Arial"/>
                <w:color w:val="4A4A4A"/>
                <w:sz w:val="21"/>
                <w:szCs w:val="21"/>
              </w:rPr>
              <w:t xml:space="preserve">Curriculum development for Alia and Qawmi madrasa systems (ages 12–18). AI ethics framing aligned with Islamic jurisprudence on technology. 5,000 madrasa teachers trained in basic computational literacy by 2028. Partnership with BMEB and respected Islamic scholars. Budget: BDT 100 crore (2026–2030).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Part V — Sectoral Priorities</w:t>
            </w:r>
          </w:p>
        </w:tc>
      </w:tr>
    </w:tbl>
    <w:p>
      <w:pPr>
        <w:spacing w:before="2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12. Priority Sector 1: Agriculture and Food Security</w:t>
      </w:r>
    </w:p>
    <w:p>
      <w:pPr>
        <w:pStyle w:val="Heading2"/>
        <w:spacing w:before="360" w:after="160"/>
      </w:pPr>
      <w:r>
        <w:rPr>
          <w:rFonts w:ascii="Arial" w:cs="Arial" w:eastAsia="Arial" w:hAnsi="Arial"/>
          <w:b/>
          <w:bCs/>
          <w:color w:val="1B3A6B"/>
          <w:sz w:val="28"/>
          <w:szCs w:val="28"/>
        </w:rPr>
        <w:t xml:space="preserve">12.1 Vision and Scale of Impact</w:t>
      </w:r>
    </w:p>
    <w:p>
      <w:pPr>
        <w:spacing w:before="80" w:after="120"/>
        <w:jc w:val="both"/>
      </w:pPr>
      <w:r>
        <w:rPr>
          <w:rFonts w:ascii="Arial" w:cs="Arial" w:eastAsia="Arial" w:hAnsi="Arial"/>
          <w:color w:val="4A4A4A"/>
          <w:sz w:val="22"/>
          <w:szCs w:val="22"/>
        </w:rPr>
        <w:t xml:space="preserve">Bangladesh’s agricultural sector is simultaneously the country’s most important employer, its most severe site of climate vulnerability, and its most underserved domain of technology investment. Sixteen million farming households depend on agriculture for their livelihoods. Twenty-one million tonnes of food are lost annually to post-harvest inefficiencies. Flooding, cyclones, drought, and saline intrusion are not abstract risks but annual realities for millions of farming families. AI offers tools to address each of these challenges — but only if those tools are designed around the actual constraints of Bangladeshi agriculture rather than the assumed conditions of well-resourced farming environments.</w:t>
      </w:r>
    </w:p>
    <w:p>
      <w:pPr>
        <w:spacing w:before="80" w:after="120"/>
        <w:jc w:val="both"/>
      </w:pPr>
      <w:r>
        <w:rPr>
          <w:rFonts w:ascii="Arial" w:cs="Arial" w:eastAsia="Arial" w:hAnsi="Arial"/>
          <w:color w:val="4A4A4A"/>
          <w:sz w:val="22"/>
          <w:szCs w:val="22"/>
        </w:rPr>
        <w:t xml:space="preserve">The centrepiece of the agricultural AI strategy is the Krishok Bandhu AI (Farmer’s Friend AI) platform — an integrated advisory service delivering personalised crop guidance, pest and disease diagnosis from smartphone photographs, hyperlocal weather forecasting, market price predictions, and input optimisation recommendations through mobile apps, SMS, voice channels, and community digital centres. The platform is designed to function with basic feature phones and low bandwidth connectivity, acknowledging the infrastructure realities of rural Bangladesh.</w:t>
      </w:r>
    </w:p>
    <w:p>
      <w:pPr>
        <w:pStyle w:val="Heading2"/>
        <w:spacing w:before="360" w:after="160"/>
      </w:pPr>
      <w:r>
        <w:rPr>
          <w:rFonts w:ascii="Arial" w:cs="Arial" w:eastAsia="Arial" w:hAnsi="Arial"/>
          <w:b/>
          <w:bCs/>
          <w:color w:val="1B3A6B"/>
          <w:sz w:val="28"/>
          <w:szCs w:val="28"/>
        </w:rPr>
        <w:t xml:space="preserve">12.2 The Missing Dimension: Haor and Char Land Farming Communities</w:t>
      </w:r>
    </w:p>
    <w:p>
      <w:pPr>
        <w:spacing w:before="80" w:after="120"/>
        <w:jc w:val="both"/>
      </w:pPr>
      <w:r>
        <w:rPr>
          <w:rFonts w:ascii="Arial" w:cs="Arial" w:eastAsia="Arial" w:hAnsi="Arial"/>
          <w:color w:val="4A4A4A"/>
          <w:sz w:val="22"/>
          <w:szCs w:val="22"/>
        </w:rPr>
        <w:t xml:space="preserve">The draft policy’s agricultural AI strategy is sound but tends toward assumptions that are more appropriate for the main flood plains and dry-land farming regions of Bangladesh than for its most geographically marginal agricultural communities. The haor wetlands of Sylhet and Sunamganj, with their unique single-crop seasonal flooding cycle, and the char islands of the Brahmaputra and Jamuna river systems, with their extreme geomorphological instability and social isolation, present agricultural AI challenges that standard platform designs will not address.</w:t>
      </w:r>
    </w:p>
    <w:p>
      <w:pPr>
        <w:spacing w:before="80" w:after="120"/>
        <w:jc w:val="both"/>
      </w:pPr>
      <w:r>
        <w:rPr>
          <w:rFonts w:ascii="Arial" w:cs="Arial" w:eastAsia="Arial" w:hAnsi="Arial"/>
          <w:color w:val="4A4A4A"/>
          <w:sz w:val="22"/>
          <w:szCs w:val="22"/>
        </w:rPr>
        <w:t xml:space="preserve">Farmers on chars and in haors face connectivity conditions that make standard mobile applications unreliable at best and non-functional at worst. Their crop choices, planting calendars, and market access constraints differ fundamentally from those of farmers in more accessible regions. This policy recommends the development of a Haor and Char Agricultural AI Module within the Krishok Bandhu platform, co-designed with farming communities in these regions and delivered through satellite connectivity rather than mobile networks.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700"/>
        <w:gridCol w:w="1560"/>
        <w:gridCol w:w="15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 Application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17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Budget (BDT Crore)</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2030 KPI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Krishok Bandhu AI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 million farmers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70% adoption in target areas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Post-harvest Loss Reduction AI</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 govt warehouses</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300</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35% loss 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Climate-Resilient Agriculture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 vulnerable districts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72hr advance warnings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Livestock &amp; Fisheries AI</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National scale</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 disease 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Haor &amp; Char Module (new)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500,000 marginal farmers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 adoption in target areas</w:t>
            </w:r>
          </w:p>
        </w:tc>
      </w:tr>
    </w:tbl>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13. Priority Sector 2: Healthcare</w:t>
      </w:r>
    </w:p>
    <w:p>
      <w:pPr>
        <w:pStyle w:val="Heading2"/>
        <w:spacing w:before="360" w:after="160"/>
      </w:pPr>
      <w:r>
        <w:rPr>
          <w:rFonts w:ascii="Arial" w:cs="Arial" w:eastAsia="Arial" w:hAnsi="Arial"/>
          <w:b/>
          <w:bCs/>
          <w:color w:val="1B3A6B"/>
          <w:sz w:val="28"/>
          <w:szCs w:val="28"/>
        </w:rPr>
        <w:t xml:space="preserve">13.1 Vision</w:t>
      </w:r>
    </w:p>
    <w:p>
      <w:pPr>
        <w:spacing w:before="80" w:after="120"/>
        <w:jc w:val="both"/>
      </w:pPr>
      <w:r>
        <w:rPr>
          <w:rFonts w:ascii="Arial" w:cs="Arial" w:eastAsia="Arial" w:hAnsi="Arial"/>
          <w:color w:val="4A4A4A"/>
          <w:sz w:val="22"/>
          <w:szCs w:val="22"/>
        </w:rPr>
        <w:t xml:space="preserve">Bangladesh’s healthcare system suffers from a structural deficit that no amount of AI will eliminate but that AI can meaningfully alleviate. With fewer than six doctors per ten thousand citizens — compared to the WHO standard of 44.5 — and with seventy percent of the population in rural areas where ninety percent of doctors choose not to work, the gap between healthcare need and healthcare supply is vast, persistent, and growing. The Swasthya Seba AI telemedicine platform is designed to bridge part of that gap, extending primary care access to forty million rural citizens by 2030.</w:t>
      </w:r>
    </w:p>
    <w:p>
      <w:pPr>
        <w:pStyle w:val="Heading2"/>
        <w:spacing w:before="360" w:after="160"/>
      </w:pPr>
      <w:r>
        <w:rPr>
          <w:rFonts w:ascii="Arial" w:cs="Arial" w:eastAsia="Arial" w:hAnsi="Arial"/>
          <w:b/>
          <w:bCs/>
          <w:color w:val="1B3A6B"/>
          <w:sz w:val="28"/>
          <w:szCs w:val="28"/>
        </w:rPr>
        <w:t xml:space="preserve">13.2 Mental Health: Bangladesh’s Silent Crisis</w:t>
      </w:r>
    </w:p>
    <w:p>
      <w:pPr>
        <w:spacing w:before="80" w:after="120"/>
        <w:jc w:val="both"/>
      </w:pPr>
      <w:r>
        <w:rPr>
          <w:rFonts w:ascii="Arial" w:cs="Arial" w:eastAsia="Arial" w:hAnsi="Arial"/>
          <w:color w:val="4A4A4A"/>
          <w:sz w:val="22"/>
          <w:szCs w:val="22"/>
        </w:rPr>
        <w:t xml:space="preserve">Bangladesh has approximately 200 psychiatrists for a population of 170 million people. Mental health disorders, including depression, anxiety, and post-traumatic stress disorder — the last significantly elevated in a population with high exposure to natural disasters, economic precarity, and gender-based violence — are severely underdiagnosed and almost universally undertreated. Social stigma attached to mental illness in Bangladesh is profound and operates across all socioeconomic levels.</w:t>
      </w:r>
    </w:p>
    <w:p>
      <w:pPr>
        <w:spacing w:before="80" w:after="120"/>
        <w:jc w:val="both"/>
      </w:pPr>
      <w:r>
        <w:rPr>
          <w:rFonts w:ascii="Arial" w:cs="Arial" w:eastAsia="Arial" w:hAnsi="Arial"/>
          <w:color w:val="4A4A4A"/>
          <w:sz w:val="22"/>
          <w:szCs w:val="22"/>
        </w:rPr>
        <w:t xml:space="preserve">The draft policy’s mental health AI chatbot represents a genuinely important innovation, but its treatment of safeguards needs strengthening. The chatbot must be designed with explicit crisis escalation protocols connected to a national mental health emergency line staffed by trained counsellors. It must not present itself as a substitute for clinical care. And it must be governed by protocols developed in partnership with the Bangladesh National Mental Health Institute and leading clinical psychiatrists.</w:t>
      </w:r>
    </w:p>
    <w:p>
      <w:pPr>
        <w:pStyle w:val="Heading2"/>
        <w:spacing w:before="360" w:after="160"/>
      </w:pPr>
      <w:r>
        <w:rPr>
          <w:rFonts w:ascii="Arial" w:cs="Arial" w:eastAsia="Arial" w:hAnsi="Arial"/>
          <w:b/>
          <w:bCs/>
          <w:color w:val="1B3A6B"/>
          <w:sz w:val="28"/>
          <w:szCs w:val="28"/>
        </w:rPr>
        <w:t xml:space="preserve">13.3 Maternal and Child Health: The Missing Priority</w:t>
      </w:r>
    </w:p>
    <w:p>
      <w:pPr>
        <w:spacing w:before="80" w:after="120"/>
        <w:jc w:val="both"/>
      </w:pPr>
      <w:r>
        <w:rPr>
          <w:rFonts w:ascii="Arial" w:cs="Arial" w:eastAsia="Arial" w:hAnsi="Arial"/>
          <w:color w:val="4A4A4A"/>
          <w:sz w:val="22"/>
          <w:szCs w:val="22"/>
        </w:rPr>
        <w:t xml:space="preserve">Bangladesh’s maternal mortality rate of 173 per 100,000 live births, while substantially reduced from historical highs, remains unacceptably elevated. Under-5 mortality at 31 per thousand live births similarly represents an ongoing preventable tragedy. The draft policy’s health AI strategy does not give adequate attention to AI applications specifically targeting maternal and child health outcomes, despite this being one of the areas where evidence from comparable countries suggests AI can make the most rapid and measurable impact.</w:t>
      </w:r>
    </w:p>
    <w:p>
      <w:pPr>
        <w:spacing w:before="80" w:after="120"/>
        <w:jc w:val="both"/>
      </w:pPr>
      <w:r>
        <w:rPr>
          <w:rFonts w:ascii="Arial" w:cs="Arial" w:eastAsia="Arial" w:hAnsi="Arial"/>
          <w:color w:val="4A4A4A"/>
          <w:sz w:val="22"/>
          <w:szCs w:val="22"/>
        </w:rPr>
        <w:t xml:space="preserve">This policy recommends a dedicated Maternal and Child Health AI Module within the Swasthya Seba platform, incorporating AI-assisted antenatal risk stratification, postpartum complication early warning systems, and community health worker decision support tools specifically designed for the Bangladesh context and validated through clinical trials at public maternity hospitals.</w:t>
      </w:r>
    </w:p>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14. Priority Sector 3: Public Service Delivery</w:t>
      </w:r>
    </w:p>
    <w:p>
      <w:pPr>
        <w:pStyle w:val="Heading2"/>
        <w:spacing w:before="360" w:after="160"/>
      </w:pPr>
      <w:r>
        <w:rPr>
          <w:rFonts w:ascii="Arial" w:cs="Arial" w:eastAsia="Arial" w:hAnsi="Arial"/>
          <w:b/>
          <w:bCs/>
          <w:color w:val="1B3A6B"/>
          <w:sz w:val="28"/>
          <w:szCs w:val="28"/>
        </w:rPr>
        <w:t xml:space="preserve">14.1 The Anti-Corruption Application</w:t>
      </w:r>
    </w:p>
    <w:p>
      <w:pPr>
        <w:spacing w:before="80" w:after="120"/>
        <w:jc w:val="both"/>
      </w:pPr>
      <w:r>
        <w:rPr>
          <w:rFonts w:ascii="Arial" w:cs="Arial" w:eastAsia="Arial" w:hAnsi="Arial"/>
          <w:color w:val="4A4A4A"/>
          <w:sz w:val="22"/>
          <w:szCs w:val="22"/>
        </w:rPr>
        <w:t xml:space="preserve">Bangladesh’s Transparency International Corruption Perceptions Index ranking has historically reflected structural governance deficiencies that AI has a genuine capacity to address. Procurement fraud, leakage from social safety net programs, and tax evasion through underreporting are not simply ethical failures — they represent a direct tax on the resources available for national development. The AI fraud detection tools proposed in this policy, targeting procurement anomalies, welfare payment manipulation, and tax filing irregularities, are therefore among the highest-return investments in the entire framework.</w:t>
      </w:r>
    </w:p>
    <w:p>
      <w:pPr>
        <w:spacing w:before="80" w:after="120"/>
        <w:jc w:val="both"/>
      </w:pPr>
      <w:r>
        <w:rPr>
          <w:rFonts w:ascii="Arial" w:cs="Arial" w:eastAsia="Arial" w:hAnsi="Arial"/>
          <w:color w:val="4A4A4A"/>
          <w:sz w:val="22"/>
          <w:szCs w:val="22"/>
        </w:rPr>
        <w:t xml:space="preserve">The Janatar Sahayak AI chatbot — a 24/7 citizen service interface for government information and services — represents a significant step toward a government that proactively serves its citizens rather than requiring citizens to navigate Byzantine administrative processes. Critically, the chatbot must be designed with full Bengali language fluency from day one, not as a later add-on to an English-first system.</w:t>
      </w:r>
    </w:p>
    <w:p>
      <w:pPr>
        <w:pStyle w:val="Heading2"/>
        <w:spacing w:before="360" w:after="160"/>
      </w:pPr>
      <w:r>
        <w:rPr>
          <w:rFonts w:ascii="Arial" w:cs="Arial" w:eastAsia="Arial" w:hAnsi="Arial"/>
          <w:b/>
          <w:bCs/>
          <w:color w:val="1B3A6B"/>
          <w:sz w:val="28"/>
          <w:szCs w:val="28"/>
        </w:rPr>
        <w:t xml:space="preserve">14.2 Land Records and Dispute Resolution: A Critical Gap</w:t>
      </w:r>
    </w:p>
    <w:p>
      <w:pPr>
        <w:spacing w:before="80" w:after="120"/>
        <w:jc w:val="both"/>
      </w:pPr>
      <w:r>
        <w:rPr>
          <w:rFonts w:ascii="Arial" w:cs="Arial" w:eastAsia="Arial" w:hAnsi="Arial"/>
          <w:color w:val="4A4A4A"/>
          <w:sz w:val="22"/>
          <w:szCs w:val="22"/>
        </w:rPr>
        <w:t xml:space="preserve">Land disputes are the single most common source of civil litigation in Bangladesh and a significant driver of rural poverty, social conflict, and occasionally physical violence. The country’s land records system — still partially dependent on hand-written mutation records in many areas — is a site of endemic corruption and error. AI-assisted land record digitisation, cross-verification, and dispute detection could have an outsized impact on rural justice and social stability.</w:t>
      </w:r>
    </w:p>
    <w:p>
      <w:pPr>
        <w:spacing w:before="80" w:after="120"/>
        <w:jc w:val="both"/>
      </w:pPr>
      <w:r>
        <w:rPr>
          <w:rFonts w:ascii="Arial" w:cs="Arial" w:eastAsia="Arial" w:hAnsi="Arial"/>
          <w:color w:val="4A4A4A"/>
          <w:sz w:val="22"/>
          <w:szCs w:val="22"/>
        </w:rPr>
        <w:t xml:space="preserve">This policy recommends the inclusion of a Land Records AI Initiative within the public service delivery component, co-developed with the Ministry of Land, targeting the digitisation and AI-assisted verification of all land records by 2030, with specific anti-fraud mechanisms to detect fraudulent mutation entries and algorithmic detection of boundary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2FA" w:val="clear"/>
            <w:tcMar>
              <w:top w:type="dxa" w:w="160"/>
              <w:left w:type="dxa" w:w="240"/>
              <w:bottom w:type="dxa" w:w="160"/>
              <w:right w:type="dxa" w:w="240"/>
            </w:tcMar>
          </w:tcPr>
          <w:p>
            <w:pPr>
              <w:spacing w:before="0" w:after="60"/>
            </w:pPr>
            <w:r>
              <w:rPr>
                <w:rFonts w:ascii="Arial" w:cs="Arial" w:eastAsia="Arial" w:hAnsi="Arial"/>
                <w:b/>
                <w:bCs/>
                <w:color w:val="2E75B6"/>
                <w:sz w:val="22"/>
                <w:szCs w:val="22"/>
              </w:rPr>
              <w:t xml:space="preserve">Recommended Addition: Land Records AI Initiative</w:t>
            </w:r>
          </w:p>
          <w:p>
            <w:pPr>
              <w:spacing w:before="0" w:after="0"/>
              <w:jc w:val="both"/>
            </w:pPr>
            <w:r>
              <w:rPr>
                <w:rFonts w:ascii="Arial" w:cs="Arial" w:eastAsia="Arial" w:hAnsi="Arial"/>
                <w:color w:val="4A4A4A"/>
                <w:sz w:val="21"/>
                <w:szCs w:val="21"/>
              </w:rPr>
              <w:t xml:space="preserve">Complete digitisation and AI verification of all district land records by 2029. Algorithmic fraud detection for mutation requests (flagging for human review). Mobile-accessible land record verification for citizens. Integration with National Digital Land Database. Budget: BDT 250 crore (2026–2030).</w:t>
            </w:r>
          </w:p>
        </w:tc>
      </w:tr>
    </w:tbl>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15. Priority Sector 4: Disaster Risk Management</w:t>
      </w:r>
    </w:p>
    <w:p>
      <w:pPr>
        <w:pStyle w:val="Heading2"/>
        <w:spacing w:before="360" w:after="160"/>
      </w:pPr>
      <w:r>
        <w:rPr>
          <w:rFonts w:ascii="Arial" w:cs="Arial" w:eastAsia="Arial" w:hAnsi="Arial"/>
          <w:b/>
          <w:bCs/>
          <w:color w:val="1B3A6B"/>
          <w:sz w:val="28"/>
          <w:szCs w:val="28"/>
        </w:rPr>
        <w:t xml:space="preserve">15.1 Bangladesh as a Global Laboratory for Climate AI</w:t>
      </w:r>
    </w:p>
    <w:p>
      <w:pPr>
        <w:spacing w:before="80" w:after="120"/>
        <w:jc w:val="both"/>
      </w:pPr>
      <w:r>
        <w:rPr>
          <w:rFonts w:ascii="Arial" w:cs="Arial" w:eastAsia="Arial" w:hAnsi="Arial"/>
          <w:color w:val="4A4A4A"/>
          <w:sz w:val="22"/>
          <w:szCs w:val="22"/>
        </w:rPr>
        <w:t xml:space="preserve">Bangladesh ranks among the ten most climate-vulnerable countries on earth. Annual flooding affects between twenty and thirty percent of the country’s land area. Major cyclones occur every two to three years. Sea level rise threatens permanent inundation of significant coastal territories. Saline intrusion is advancing inland. These are not distant projections. They are current realities that Bangladesh’s government, communities, and farmers manage every year with inadequate tools.</w:t>
      </w:r>
    </w:p>
    <w:p>
      <w:pPr>
        <w:spacing w:before="80" w:after="120"/>
        <w:jc w:val="both"/>
      </w:pPr>
      <w:r>
        <w:rPr>
          <w:rFonts w:ascii="Arial" w:cs="Arial" w:eastAsia="Arial" w:hAnsi="Arial"/>
          <w:color w:val="4A4A4A"/>
          <w:sz w:val="22"/>
          <w:szCs w:val="22"/>
        </w:rPr>
        <w:t xml:space="preserve">This same vulnerability, paradoxically, represents a global asset. Bangladesh has developed world-class disaster preparedness and response capabilities through decades of hard-won experience. The Cyclone Preparedness Programme, established after the catastrophic 1970 cyclone, is internationally recognised as a model of community-based early warning. The Bangladesh Meteorological Department’s forecasting capabilities, while under-resourced, have made significant advances. AI layered onto this existing institutional capability can produce early warning systems of global significance.</w:t>
      </w:r>
    </w:p>
    <w:p>
      <w:pPr>
        <w:pStyle w:val="Heading2"/>
        <w:spacing w:before="360" w:after="160"/>
      </w:pPr>
      <w:r>
        <w:rPr>
          <w:rFonts w:ascii="Arial" w:cs="Arial" w:eastAsia="Arial" w:hAnsi="Arial"/>
          <w:b/>
          <w:bCs/>
          <w:color w:val="1B3A6B"/>
          <w:sz w:val="28"/>
          <w:szCs w:val="28"/>
        </w:rPr>
        <w:t xml:space="preserve">15.2 Climate Migration and Urban AI Governance</w:t>
      </w:r>
    </w:p>
    <w:p>
      <w:pPr>
        <w:spacing w:before="80" w:after="120"/>
        <w:jc w:val="both"/>
      </w:pPr>
      <w:r>
        <w:rPr>
          <w:rFonts w:ascii="Arial" w:cs="Arial" w:eastAsia="Arial" w:hAnsi="Arial"/>
          <w:color w:val="4A4A4A"/>
          <w:sz w:val="22"/>
          <w:szCs w:val="22"/>
        </w:rPr>
        <w:t xml:space="preserve">The draft policy’s disaster AI strategy focuses on early warning and emergency response but does not address one of the most consequential long-term consequences of climate vulnerability: mass internal migration. Bangladesh already has millions of climate migrants, primarily from coastal districts and riverbank erosion zones, who have relocated to Dhaka, Chattogram, Khulna, and other urban centres, often into informal settlements with minimal access to services.</w:t>
      </w:r>
    </w:p>
    <w:p>
      <w:pPr>
        <w:spacing w:before="80" w:after="120"/>
        <w:jc w:val="both"/>
      </w:pPr>
      <w:r>
        <w:rPr>
          <w:rFonts w:ascii="Arial" w:cs="Arial" w:eastAsia="Arial" w:hAnsi="Arial"/>
          <w:color w:val="4A4A4A"/>
          <w:sz w:val="22"/>
          <w:szCs w:val="22"/>
        </w:rPr>
        <w:t xml:space="preserve">This internal migration is accelerating. Climate projections suggest that tens of millions of additional Bangladeshis will be displaced from coastal zones and river floodplains over the next two to three decades. AI has an important role to play in managing this migration humanely — through predictive modelling of migration flows, urban service planning in receiving cities, and targeted support for the most vulnerable migrants. This policy recommends the inclusion of a Climate Migration AI Module within the disaster management strategy, co-developed with the Ministry of Disaster Management and Relief and the Ministry of Local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102E" w:sz="4"/>
              <w:left w:val="single" w:color="C8102E" w:sz="12"/>
              <w:bottom w:val="single" w:color="C8102E" w:sz="4"/>
              <w:right w:val="single" w:color="C8102E" w:sz="4"/>
            </w:tcBorders>
            <w:shd w:fill="FDF2F4" w:val="clear"/>
            <w:tcMar>
              <w:top w:type="dxa" w:w="160"/>
              <w:left w:type="dxa" w:w="240"/>
              <w:bottom w:type="dxa" w:w="160"/>
              <w:right w:type="dxa" w:w="240"/>
            </w:tcMar>
          </w:tcPr>
          <w:p>
            <w:pPr>
              <w:spacing w:before="0" w:after="60"/>
            </w:pPr>
            <w:r>
              <w:rPr>
                <w:rFonts w:ascii="Arial" w:cs="Arial" w:eastAsia="Arial" w:hAnsi="Arial"/>
                <w:b/>
                <w:bCs/>
                <w:color w:val="C8102E"/>
                <w:sz w:val="22"/>
                <w:szCs w:val="22"/>
              </w:rPr>
              <w:t xml:space="preserve">Recommended Addition: Climate Migration AI Module</w:t>
            </w:r>
          </w:p>
          <w:p>
            <w:pPr>
              <w:spacing w:before="0" w:after="0"/>
              <w:jc w:val="both"/>
            </w:pPr>
            <w:r>
              <w:rPr>
                <w:rFonts w:ascii="Arial" w:cs="Arial" w:eastAsia="Arial" w:hAnsi="Arial"/>
                <w:color w:val="4A4A4A"/>
                <w:sz w:val="21"/>
                <w:szCs w:val="21"/>
              </w:rPr>
              <w:t xml:space="preserve">Predictive modelling of climate-induced internal migration flows to inform urban infrastructure planning. AI-assisted identification and support for climate migrants in urban informal settlements. Integration with national social protection database for service continuity. Development of a Bangladesh Climate Migration Registry. Budget: BDT 180 crore (2026–2030).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Part VI — Implementation</w:t>
            </w:r>
          </w:p>
        </w:tc>
      </w:tr>
    </w:tbl>
    <w:p>
      <w:pPr>
        <w:spacing w:before="2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16. Phased Implementation Roadmap</w:t>
      </w:r>
    </w:p>
    <w:p>
      <w:pPr>
        <w:pStyle w:val="Heading2"/>
        <w:spacing w:before="360" w:after="160"/>
      </w:pPr>
      <w:r>
        <w:rPr>
          <w:rFonts w:ascii="Arial" w:cs="Arial" w:eastAsia="Arial" w:hAnsi="Arial"/>
          <w:b/>
          <w:bCs/>
          <w:color w:val="1B3A6B"/>
          <w:sz w:val="28"/>
          <w:szCs w:val="28"/>
        </w:rPr>
        <w:t xml:space="preserve">Phase 1: Foundation (2026–2027) — BDT 3,600 Crore</w:t>
      </w:r>
    </w:p>
    <w:p>
      <w:pPr>
        <w:spacing w:before="80" w:after="120"/>
        <w:jc w:val="both"/>
      </w:pPr>
      <w:r>
        <w:rPr>
          <w:rFonts w:ascii="Arial" w:cs="Arial" w:eastAsia="Arial" w:hAnsi="Arial"/>
          <w:color w:val="4A4A4A"/>
          <w:sz w:val="22"/>
          <w:szCs w:val="22"/>
        </w:rPr>
        <w:t xml:space="preserve">Phase 1 is the most critical phase in the implementation sequence. Every subsequent achievement depends on whether the foundational elements are put in place correctly, on time, and with sufficient quality. The temptation to rush to visible, photogenic deployments — a hospital AI system here, a traffic management pilot there — before the regulatory, institutional, and data infrastructure is in place must be firmly resisted. The political pressure to show early results is understandable; the cost of premature scaling is potentially catastrophic for public trust in the entire initiative.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6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Q2 2026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Establish National AI Authority; appoint Board and Executive Director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Q3 2026</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Pass Bangladesh AI Act through Parliament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Q3 2026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Launch 5 pilot projects (agriculture, health, disaster, transport, public services)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Q4 2026</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National AI Compute Cluster — site selection and procurement finalised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Q4 2026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Bengali Language AI Corpus — data collection commences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Q1 2027</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First AI Standards and Certification Framework published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Q2 2027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National GPU Cluster operational (1,000 GPUs)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Q3 2027</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National Agricultural Data Repository launched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Q3 2027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National Health Data Exchange (beta) launched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Q4 2027</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40,000 civil servants trained in AI literacy (cumulative)</w:t>
            </w:r>
          </w:p>
        </w:tc>
      </w:tr>
    </w:tbl>
    <w:p>
      <w:pPr>
        <w:spacing w:before="200" w:after="0"/>
      </w:pPr>
      <w:r>
        <w:t xml:space="preserve"/>
      </w:r>
    </w:p>
    <w:p>
      <w:pPr>
        <w:pStyle w:val="Heading2"/>
        <w:spacing w:before="360" w:after="160"/>
      </w:pPr>
      <w:r>
        <w:rPr>
          <w:rFonts w:ascii="Arial" w:cs="Arial" w:eastAsia="Arial" w:hAnsi="Arial"/>
          <w:b/>
          <w:bCs/>
          <w:color w:val="1B3A6B"/>
          <w:sz w:val="28"/>
          <w:szCs w:val="28"/>
        </w:rPr>
        <w:t xml:space="preserve">Phase 2: Scaling (2028–2029) — BDT 5,400 Crore</w:t>
      </w:r>
    </w:p>
    <w:p>
      <w:pPr>
        <w:spacing w:before="80" w:after="120"/>
        <w:jc w:val="both"/>
      </w:pPr>
      <w:r>
        <w:rPr>
          <w:rFonts w:ascii="Arial" w:cs="Arial" w:eastAsia="Arial" w:hAnsi="Arial"/>
          <w:color w:val="4A4A4A"/>
          <w:sz w:val="22"/>
          <w:szCs w:val="22"/>
        </w:rPr>
        <w:t xml:space="preserve">Phase 2 implements the lessons of Phase 1 at national scale. Agricultural AI reaches two million farmers and then four million. Telemedicine AI extends from 100 to all 492 upazilas. The first SAARC AI Summit is hosted in Dhaka. Bengali Language AI Platform reaches 50 million users. The AI workforce triples from its 2025 baseline. Women constitute 35 percent of that workforce.</w:t>
      </w:r>
    </w:p>
    <w:p>
      <w:pPr>
        <w:pStyle w:val="Heading2"/>
        <w:spacing w:before="360" w:after="160"/>
      </w:pPr>
      <w:r>
        <w:rPr>
          <w:rFonts w:ascii="Arial" w:cs="Arial" w:eastAsia="Arial" w:hAnsi="Arial"/>
          <w:b/>
          <w:bCs/>
          <w:color w:val="1B3A6B"/>
          <w:sz w:val="28"/>
          <w:szCs w:val="28"/>
        </w:rPr>
        <w:t xml:space="preserve">Phase 3: Leadership (2030) — BDT 3,000 Crore (Annual)</w:t>
      </w:r>
    </w:p>
    <w:p>
      <w:pPr>
        <w:spacing w:before="80" w:after="120"/>
        <w:jc w:val="both"/>
      </w:pPr>
      <w:r>
        <w:rPr>
          <w:rFonts w:ascii="Arial" w:cs="Arial" w:eastAsia="Arial" w:hAnsi="Arial"/>
          <w:color w:val="4A4A4A"/>
          <w:sz w:val="22"/>
          <w:szCs w:val="22"/>
        </w:rPr>
        <w:t xml:space="preserve">Phase 3 consolidates Bangladesh’s position as South Asia’s AI policy leader and establishes the self-sustaining ecosystem dynamics — startup activity, export revenues, diaspora engagement, research output — that will carry the initiative beyond the five-year policy horizon without requiring continuous government subsidy at current levels.</w:t>
      </w:r>
    </w:p>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17. Pilot Projects and Quick Wins</w:t>
      </w:r>
    </w:p>
    <w:p>
      <w:pPr>
        <w:spacing w:before="80" w:after="120"/>
        <w:jc w:val="both"/>
      </w:pPr>
      <w:r>
        <w:rPr>
          <w:rFonts w:ascii="Arial" w:cs="Arial" w:eastAsia="Arial" w:hAnsi="Arial"/>
          <w:color w:val="4A4A4A"/>
          <w:sz w:val="22"/>
          <w:szCs w:val="22"/>
        </w:rPr>
        <w:t xml:space="preserve">Five pilot projects will be operational by Q4 2026, each with clearly defined success criteria, independent evaluation frameworks, and explicit scaling decisions tied to evidence rather than political preference.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29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Pilot</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Population</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Budget</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Launch</w:t>
            </w:r>
          </w:p>
        </w:tc>
        <w:tc>
          <w:tcPr>
            <w:tcW w:type="dxa" w:w="2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Krishok Bandhu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100,000 farmers, 10 districts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BDT 60Cr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Q3 2026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70% adoption; 15% yield increase; 75% farmer satisfaction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Swasthya Seba AI</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2M people, 100 Upazilas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BDT 80Cr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Q4 2026</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100,000 consultations; 80% patient satisfaction; 90% diagnostic 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 Flood Forecasting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 flood-prone districts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BDT 40Cr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Q2 2026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72-hour advance warning; 90% accuracy; 50% mortality reduction vs baseline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 Traffic Management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Select Dhaka corridors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BDT 30Cr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Q1 2027</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 congestion reduction; 15% accident reduction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Janatar Sahayak Chatbot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 core government services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BDT 20Cr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Q3 2026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500,000 interactions; 80% resolution without escalation; 40% processing time reduction</w:t>
            </w:r>
          </w:p>
        </w:tc>
      </w:tr>
    </w:tbl>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18. Monitoring, Evaluation, and Adaptive Management</w:t>
      </w:r>
    </w:p>
    <w:p>
      <w:pPr>
        <w:pStyle w:val="Heading2"/>
        <w:spacing w:before="360" w:after="160"/>
      </w:pPr>
      <w:r>
        <w:rPr>
          <w:rFonts w:ascii="Arial" w:cs="Arial" w:eastAsia="Arial" w:hAnsi="Arial"/>
          <w:b/>
          <w:bCs/>
          <w:color w:val="1B3A6B"/>
          <w:sz w:val="28"/>
          <w:szCs w:val="28"/>
        </w:rPr>
        <w:t xml:space="preserve">18.1 Accountability Architecture</w:t>
      </w:r>
    </w:p>
    <w:p>
      <w:pPr>
        <w:spacing w:before="80" w:after="120"/>
        <w:jc w:val="both"/>
      </w:pPr>
      <w:r>
        <w:rPr>
          <w:rFonts w:ascii="Arial" w:cs="Arial" w:eastAsia="Arial" w:hAnsi="Arial"/>
          <w:color w:val="4A4A4A"/>
          <w:sz w:val="22"/>
          <w:szCs w:val="22"/>
        </w:rPr>
        <w:t xml:space="preserve">This policy adopts an adaptive management philosophy rather than a rigid five-year plan. AI technology evolves faster than any planning cycle. The regulatory environment must evolve with it. Evidence from pilots must be capable of fundamentally changing strategic priorities rather than merely adjusting targets at the margins. Failures must be named, analysed, and learned from rather than obscured behind bureaucratic language.</w:t>
      </w:r>
    </w:p>
    <w:p>
      <w:pPr>
        <w:spacing w:before="80" w:after="120"/>
        <w:jc w:val="both"/>
      </w:pPr>
      <w:r>
        <w:rPr>
          <w:rFonts w:ascii="Arial" w:cs="Arial" w:eastAsia="Arial" w:hAnsi="Arial"/>
          <w:color w:val="4A4A4A"/>
          <w:sz w:val="22"/>
          <w:szCs w:val="22"/>
        </w:rPr>
        <w:t xml:space="preserve">The National AI Dashboard will provide real-time public tracking of key performance indicators, updated quarterly, and accessible to citizens, researchers, and the media. Parliamentary oversight through the ICT Committee, annual NAIA reports to Parliament, and mandatory public audits of the AI Innovation Fund collectively constitute the accountability architecture within which this policy will be held to account.</w:t>
      </w:r>
    </w:p>
    <w:p>
      <w:pPr>
        <w:pStyle w:val="Heading2"/>
        <w:spacing w:before="360" w:after="160"/>
      </w:pPr>
      <w:r>
        <w:rPr>
          <w:rFonts w:ascii="Arial" w:cs="Arial" w:eastAsia="Arial" w:hAnsi="Arial"/>
          <w:b/>
          <w:bCs/>
          <w:color w:val="1B3A6B"/>
          <w:sz w:val="28"/>
          <w:szCs w:val="28"/>
        </w:rPr>
        <w:t xml:space="preserve">18.2 The Digital Rights Observatory</w:t>
      </w:r>
    </w:p>
    <w:p>
      <w:pPr>
        <w:spacing w:before="80" w:after="120"/>
        <w:jc w:val="both"/>
      </w:pPr>
      <w:r>
        <w:rPr>
          <w:rFonts w:ascii="Arial" w:cs="Arial" w:eastAsia="Arial" w:hAnsi="Arial"/>
          <w:color w:val="4A4A4A"/>
          <w:sz w:val="22"/>
          <w:szCs w:val="22"/>
        </w:rPr>
        <w:t xml:space="preserve">The draft policy’s accountability architecture focuses primarily on performance against economic and social targets. It gives insufficient attention to the monitoring of AI’s impact on citizens’ rights and civil liberties — a dimension that is particularly important in a country emerging from a period of authoritarian governance and with legitimate public anxieties about the surveillance potential of AI technologies.</w:t>
      </w:r>
    </w:p>
    <w:p>
      <w:pPr>
        <w:spacing w:before="80" w:after="120"/>
        <w:jc w:val="both"/>
      </w:pPr>
      <w:r>
        <w:rPr>
          <w:rFonts w:ascii="Arial" w:cs="Arial" w:eastAsia="Arial" w:hAnsi="Arial"/>
          <w:color w:val="4A4A4A"/>
          <w:sz w:val="22"/>
          <w:szCs w:val="22"/>
        </w:rPr>
        <w:t xml:space="preserve">This policy recommends the establishment of an independent Digital Rights Observatory, separate from the NAIA, with a mandate to monitor and report publicly on AI’s impact on freedom of expression, freedom of assembly, privacy rights, and the rights of marginalised communities. The Observatory will be financed by government but governed by civil society, with the explicit purpose of holding both government and private sector AI deployers to account in terms that the existing regulatory architecture may be reluctant to apply to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2FA" w:val="clear"/>
            <w:tcMar>
              <w:top w:type="dxa" w:w="160"/>
              <w:left w:type="dxa" w:w="240"/>
              <w:bottom w:type="dxa" w:w="160"/>
              <w:right w:type="dxa" w:w="240"/>
            </w:tcMar>
          </w:tcPr>
          <w:p>
            <w:pPr>
              <w:spacing w:before="0" w:after="60"/>
            </w:pPr>
            <w:r>
              <w:rPr>
                <w:rFonts w:ascii="Arial" w:cs="Arial" w:eastAsia="Arial" w:hAnsi="Arial"/>
                <w:b/>
                <w:bCs/>
                <w:color w:val="2E75B6"/>
                <w:sz w:val="22"/>
                <w:szCs w:val="22"/>
              </w:rPr>
              <w:t xml:space="preserve">Recommended Addition: Digital Rights Observatory</w:t>
            </w:r>
          </w:p>
          <w:p>
            <w:pPr>
              <w:spacing w:before="0" w:after="0"/>
              <w:jc w:val="both"/>
            </w:pPr>
            <w:r>
              <w:rPr>
                <w:rFonts w:ascii="Arial" w:cs="Arial" w:eastAsia="Arial" w:hAnsi="Arial"/>
                <w:color w:val="4A4A4A"/>
                <w:sz w:val="21"/>
                <w:szCs w:val="21"/>
              </w:rPr>
              <w:t xml:space="preserve">Independent civil society body mandated to monitor AI’s impact on fundamental rights. Annual public report on digital rights in Bangladesh. Legal standing to bring cases before the NAIA and courts. International civil society partnerships (Access Now, Electronic Frontier Foundation, Article 19). Budget: BDT 80 crore (2026–2030).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Part VII — Regional &amp; International Cooperation</w:t>
            </w:r>
          </w:p>
        </w:tc>
      </w:tr>
    </w:tbl>
    <w:p>
      <w:pPr>
        <w:spacing w:before="2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19. Regional and International Cooperation</w:t>
      </w:r>
    </w:p>
    <w:p>
      <w:pPr>
        <w:pStyle w:val="Heading2"/>
        <w:spacing w:before="360" w:after="160"/>
      </w:pPr>
      <w:r>
        <w:rPr>
          <w:rFonts w:ascii="Arial" w:cs="Arial" w:eastAsia="Arial" w:hAnsi="Arial"/>
          <w:b/>
          <w:bCs/>
          <w:color w:val="1B3A6B"/>
          <w:sz w:val="28"/>
          <w:szCs w:val="28"/>
        </w:rPr>
        <w:t xml:space="preserve">19.1 The South Asian AI Alliance</w:t>
      </w:r>
    </w:p>
    <w:p>
      <w:pPr>
        <w:spacing w:before="80" w:after="120"/>
        <w:jc w:val="both"/>
      </w:pPr>
      <w:r>
        <w:rPr>
          <w:rFonts w:ascii="Arial" w:cs="Arial" w:eastAsia="Arial" w:hAnsi="Arial"/>
          <w:color w:val="4A4A4A"/>
          <w:sz w:val="22"/>
          <w:szCs w:val="22"/>
        </w:rPr>
        <w:t xml:space="preserve">Bangladesh is uniquely positioned to lead regional AI governance in South Asia. As neither the most powerful (India) nor the most fragile (Pakistan, Sri Lanka) state in the region, it occupies a credible middle ground from which regional convening is both legitimate and achievable. The proposed South Asian AI Alliance, with Bangladesh as founding secretariat host, would establish the first regional framework for AI standards harmonisation, researcher mobility, joint R&amp;D, data sharing, and disaster AI coordination.</w:t>
      </w:r>
    </w:p>
    <w:p>
      <w:pPr>
        <w:spacing w:before="80" w:after="120"/>
        <w:jc w:val="both"/>
      </w:pPr>
      <w:r>
        <w:rPr>
          <w:rFonts w:ascii="Arial" w:cs="Arial" w:eastAsia="Arial" w:hAnsi="Arial"/>
          <w:color w:val="4A4A4A"/>
          <w:sz w:val="22"/>
          <w:szCs w:val="22"/>
        </w:rPr>
        <w:t xml:space="preserve">The 2028 SAARC AI Summit in Dhaka is the anchor event for this initiative. Its success will depend on advance diplomatic preparation with India in particular, whose participation is essential for the Alliance to be taken seriously. The relationship between Bangladesh and India on AI governance is one of complementarity rather than competition: India has scale, infrastructure, and institutional depth; Bangladesh has agility, political will, and the Bengali language asset that neither can develop independently as effectively as both can together.</w:t>
      </w:r>
    </w:p>
    <w:p>
      <w:pPr>
        <w:pStyle w:val="Heading2"/>
        <w:spacing w:before="360" w:after="160"/>
      </w:pPr>
      <w:r>
        <w:rPr>
          <w:rFonts w:ascii="Arial" w:cs="Arial" w:eastAsia="Arial" w:hAnsi="Arial"/>
          <w:b/>
          <w:bCs/>
          <w:color w:val="1B3A6B"/>
          <w:sz w:val="28"/>
          <w:szCs w:val="28"/>
        </w:rPr>
        <w:t xml:space="preserve">19.2 The Global South AI Governance Agenda</w:t>
      </w:r>
    </w:p>
    <w:p>
      <w:pPr>
        <w:spacing w:before="80" w:after="120"/>
        <w:jc w:val="both"/>
      </w:pPr>
      <w:r>
        <w:rPr>
          <w:rFonts w:ascii="Arial" w:cs="Arial" w:eastAsia="Arial" w:hAnsi="Arial"/>
          <w:color w:val="4A4A4A"/>
          <w:sz w:val="22"/>
          <w:szCs w:val="22"/>
        </w:rPr>
        <w:t xml:space="preserve">Bangladesh has a credible claim to leadership in the Global South AI governance conversation that extends beyond South Asia. The combination of a functional AI regulatory framework, a demonstrated commitment to inclusive AI, and a track record in climate-resilient technology development positions Bangladesh as a model that African, Southeast Asian, and Pacific Island nations can learn from more readily than they can learn from the EU’s technically complex, resource-intensive regulatory architecture.</w:t>
      </w:r>
    </w:p>
    <w:p>
      <w:pPr>
        <w:spacing w:before="80" w:after="120"/>
        <w:jc w:val="both"/>
      </w:pPr>
      <w:r>
        <w:rPr>
          <w:rFonts w:ascii="Arial" w:cs="Arial" w:eastAsia="Arial" w:hAnsi="Arial"/>
          <w:color w:val="4A4A4A"/>
          <w:sz w:val="22"/>
          <w:szCs w:val="22"/>
        </w:rPr>
        <w:t xml:space="preserve">This policy recommends that Bangladesh take an active role in UN AI governance discussions, including the Global Digital Compact process, advocating specifically for the recognition of linguistic diversity as a fundamental AI governance principle, the inclusion of climate vulnerability as a distinct AI risk category, and the establishment of a Global South AI Capacity Fund analogous to the Green Climate Fund.</w:t>
      </w:r>
    </w:p>
    <w:p>
      <w:pPr>
        <w:pStyle w:val="Heading2"/>
        <w:spacing w:before="360" w:after="160"/>
      </w:pPr>
      <w:r>
        <w:rPr>
          <w:rFonts w:ascii="Arial" w:cs="Arial" w:eastAsia="Arial" w:hAnsi="Arial"/>
          <w:b/>
          <w:bCs/>
          <w:color w:val="1B3A6B"/>
          <w:sz w:val="28"/>
          <w:szCs w:val="28"/>
        </w:rPr>
        <w:t xml:space="preserve">19.3 The India-Bangladesh Bengali Language AI Partnership</w:t>
      </w:r>
    </w:p>
    <w:p>
      <w:pPr>
        <w:spacing w:before="80" w:after="120"/>
        <w:jc w:val="both"/>
      </w:pPr>
      <w:r>
        <w:rPr>
          <w:rFonts w:ascii="Arial" w:cs="Arial" w:eastAsia="Arial" w:hAnsi="Arial"/>
          <w:color w:val="4A4A4A"/>
          <w:sz w:val="22"/>
          <w:szCs w:val="22"/>
        </w:rPr>
        <w:t xml:space="preserve">The Bengali language is spoken by approximately 280 million people globally. Approximately 100 million of those speakers are in West Bengal, India, and a further 10 million in the Indian states of Assam, Tripura, and the diaspora. The linguistic, cultural, and commercial case for a joint India-Bangladesh Bengali Language AI initiative is overwhelming, yet political and institutional barriers to such cooperation remain significant.</w:t>
      </w:r>
    </w:p>
    <w:p>
      <w:pPr>
        <w:spacing w:before="80" w:after="120"/>
        <w:jc w:val="both"/>
      </w:pPr>
      <w:r>
        <w:rPr>
          <w:rFonts w:ascii="Arial" w:cs="Arial" w:eastAsia="Arial" w:hAnsi="Arial"/>
          <w:color w:val="4A4A4A"/>
          <w:sz w:val="22"/>
          <w:szCs w:val="22"/>
        </w:rPr>
        <w:t xml:space="preserve">This policy recommends that the Bangladesh government pursue, through diplomatic channels, the establishment of a Joint Bengali Language AI Commission with India, bringing together the Bangladesh National AI Authority and India’s equivalent institutions, along with leading NLP research centres at ISI Kolkata, Jadavpur University, University of Dhaka, and BUET. The resulting open-source Bengali AI resources would be freely available to all Bengali speakers globally, establishing Dhaka and Kolkata as the twin capitals of the global Bengali digital infrastructure.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Annexes</w:t>
            </w:r>
          </w:p>
        </w:tc>
      </w:tr>
    </w:tbl>
    <w:p>
      <w:pPr>
        <w:spacing w:before="2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Annex A: KPI Dashboard</w:t>
      </w:r>
    </w:p>
    <w:p>
      <w:pPr>
        <w:spacing w:before="100" w:after="0"/>
      </w:pPr>
      <w:r>
        <w:t xml:space="preserve"/>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3000"/>
        <w:gridCol w:w="1860"/>
        <w:gridCol w:w="1800"/>
        <w:gridCol w:w="18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1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2025 Baseline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2028 Target</w:t>
            </w:r>
          </w:p>
        </w:tc>
        <w:tc>
          <w:tcPr>
            <w:tcW w:type="dxa" w:w="1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2030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 sector GDP contribution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Direct AI jobs</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30,000</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AI-enabled jobs (indirect)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200,000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 startups</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150</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Post-harvest loss reduction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35%</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Rural telemedicine access (million)</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5M</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25M</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40M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Road fatality reduction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25%</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AI-capable workforce</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30,000</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Women in AI workforce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Civil servants AI-trained</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60,000</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National GPU capacity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1,500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2,500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Bengali AI Platform users (million)</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5M</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50M</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100M+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 services exports (USD million/year)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50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200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SAARC AI ecosystem ranking</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4th</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2nd</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Top 3</w:t>
            </w:r>
          </w:p>
        </w:tc>
      </w:tr>
    </w:tbl>
    <w:p>
      <w:pPr>
        <w:spacing w:before="4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Annex B: Risk Classification Summary</w:t>
      </w:r>
    </w:p>
    <w:p>
      <w:pPr>
        <w:spacing w:before="100" w:after="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500"/>
        <w:gridCol w:w="3000"/>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c>
          <w:tcPr>
            <w:tcW w:type="dxa" w:w="3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Categories</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Requirement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Prohibited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Social scoring, mass biometric surveillance, subliminal manipulation, individual predictive policing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Absolute ban; BDT 10Cr fine + 5yr imprisonment</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2</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High-Risk</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Critical infrastructure, employment AI, healthcare diagnostics, judicial AI, border control, education admissions, electoral systems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Pre-deployment NAIA authorisation + AIA + annual re-certification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Limited-Risk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Chatbots, recommendation systems, AI-generated content, emotion recognition, marketing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Mandatory user disclosure; opt-out mechanism; deepfake labelling</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4</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Minimal-Risk</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Spam filters, inventory management, game AI, basic analytics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Standard consumer protection law; no AI-specific regulation unless harm occurs</w:t>
            </w:r>
          </w:p>
        </w:tc>
      </w:tr>
    </w:tbl>
    <w:p>
      <w:pPr>
        <w:spacing w:before="4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Annex C: Institutional Roles Summary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Institution</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AI Role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National AI Authority (NAIA)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Apex AI governance body: regulation, promotion, coordination, advisory</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Prime Minister's Office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Strategic direction; NAIA supervision; inter-ministerial coordination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Ministry of ICT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Digital infrastructure; broader digital transformation mandate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Ministry of Finance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Budget allocation; tax policy; investment incentive framework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Ministry of Agriculture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Agricultural AI deployment; farmer training; data provision</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Ministry of Health</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Health AI deployment; medical device regulation; telemedicine oversight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Ministry of Disaster Management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Disaster AI systems; early warning integration; emergency response AI</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Ministry of Land (new rec.)</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Land Records AI Initiative; anti-corruption application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Ministry of Education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 curriculum; university oversight via UGC; teacher training</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Bangladesh Bank</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Mobile financial AI governance protocol; fintech AI oversight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Election Commission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Electoral AI Protocol; deepfake prohibition enforcement</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AI Ethics Council</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Independent ethical oversight of high-risk AI systems; public reporting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Digital Rights Observatory (new rec.)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Civil rights impact monitoring; annual public report</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Personal Data Protection Authority</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PDPO enforcement; AI data governance coordination with NAIA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Divisional AI Coordination Offices (new rec.)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A4A4A"/>
                <w:sz w:val="19"/>
                <w:szCs w:val="19"/>
              </w:rPr>
              <w:t xml:space="preserve">Sub-national implementation; local capacity building; citizen grievance handling</w:t>
            </w:r>
          </w:p>
        </w:tc>
      </w:tr>
    </w:tbl>
    <w:p>
      <w:r>
        <w:br w:type="page"/>
      </w:r>
    </w:p>
    <w:p>
      <w:pPr>
        <w:pStyle w:val="Heading1"/>
        <w:pBdr>
          <w:bottom w:val="single" w:color="C8102E" w:sz="6" w:space="6"/>
        </w:pBdr>
        <w:spacing w:before="480" w:after="200"/>
      </w:pPr>
      <w:r>
        <w:rPr>
          <w:rFonts w:ascii="Arial" w:cs="Arial" w:eastAsia="Arial" w:hAnsi="Arial"/>
          <w:b/>
          <w:bCs/>
          <w:color w:val="1B3A6B"/>
          <w:sz w:val="36"/>
          <w:szCs w:val="36"/>
        </w:rPr>
        <w:t xml:space="preserve">Annex D: Bengali Language AI Initiative</w:t>
      </w:r>
    </w:p>
    <w:p>
      <w:pPr>
        <w:pStyle w:val="Heading2"/>
        <w:spacing w:before="360" w:after="160"/>
      </w:pPr>
      <w:r>
        <w:rPr>
          <w:rFonts w:ascii="Arial" w:cs="Arial" w:eastAsia="Arial" w:hAnsi="Arial"/>
          <w:b/>
          <w:bCs/>
          <w:color w:val="1B3A6B"/>
          <w:sz w:val="28"/>
          <w:szCs w:val="28"/>
        </w:rPr>
        <w:t xml:space="preserve">Vision</w:t>
      </w:r>
    </w:p>
    <w:p>
      <w:pPr>
        <w:spacing w:before="80" w:after="120"/>
        <w:jc w:val="both"/>
      </w:pPr>
      <w:r>
        <w:rPr>
          <w:rFonts w:ascii="Arial" w:cs="Arial" w:eastAsia="Arial" w:hAnsi="Arial"/>
          <w:color w:val="4A4A4A"/>
          <w:sz w:val="22"/>
          <w:szCs w:val="22"/>
        </w:rPr>
        <w:t xml:space="preserve">Bangladesh will establish itself as the global centre for Bengali language artificial intelligence, serving 280 million Bengali speakers worldwide with world-class natural language processing infrastructure, freely available and culturally appropriate. All Bengali language resources developed with public funding will be open-source and freely accessible globally, establishing Bangladesh as the steward of the global Bengali digital commons.</w:t>
      </w:r>
    </w:p>
    <w:p>
      <w:pPr>
        <w:pStyle w:val="Heading2"/>
        <w:spacing w:before="360" w:after="160"/>
      </w:pPr>
      <w:r>
        <w:rPr>
          <w:rFonts w:ascii="Arial" w:cs="Arial" w:eastAsia="Arial" w:hAnsi="Arial"/>
          <w:b/>
          <w:bCs/>
          <w:color w:val="1B3A6B"/>
          <w:sz w:val="28"/>
          <w:szCs w:val="28"/>
        </w:rPr>
        <w:t xml:space="preserve">Target: 50 Billion Words by 2030</w:t>
      </w:r>
    </w:p>
    <w:p>
      <w:pPr>
        <w:spacing w:before="80" w:after="120"/>
        <w:jc w:val="both"/>
      </w:pPr>
      <w:r>
        <w:rPr>
          <w:rFonts w:ascii="Arial" w:cs="Arial" w:eastAsia="Arial" w:hAnsi="Arial"/>
          <w:color w:val="4A4A4A"/>
          <w:sz w:val="22"/>
          <w:szCs w:val="22"/>
        </w:rPr>
        <w:t xml:space="preserve">The Bengali Language Corpus will grow from its current approximately five billion words to fifty billion by 2030, incorporating digitised classical and modern literature, news archives dating from the 1950s, government documents, social media data with appropriate consent and anonymisation, Wikipedia, and crowdsourced contributions from writers, students, and researchers across the global Bengali-speaking community.</w:t>
      </w:r>
    </w:p>
    <w:p>
      <w:pPr>
        <w:pStyle w:val="Heading2"/>
        <w:spacing w:before="360" w:after="160"/>
      </w:pPr>
      <w:r>
        <w:rPr>
          <w:rFonts w:ascii="Arial" w:cs="Arial" w:eastAsia="Arial" w:hAnsi="Arial"/>
          <w:b/>
          <w:bCs/>
          <w:color w:val="1B3A6B"/>
          <w:sz w:val="28"/>
          <w:szCs w:val="28"/>
        </w:rPr>
        <w:t xml:space="preserve">Core Model Development</w:t>
      </w:r>
    </w:p>
    <w:p>
      <w:pPr>
        <w:pStyle w:val="ListParagraph"/>
        <w:numPr>
          <w:ilvl w:val="0"/>
          <w:numId w:val="2"/>
        </w:numPr>
        <w:spacing w:before="60" w:after="60"/>
      </w:pPr>
      <w:r>
        <w:rPr>
          <w:rFonts w:ascii="Arial" w:cs="Arial" w:eastAsia="Arial" w:hAnsi="Arial"/>
          <w:color w:val="4A4A4A"/>
          <w:sz w:val="22"/>
          <w:szCs w:val="22"/>
        </w:rPr>
        <w:t xml:space="preserve">BenGPT: Large language model for Bengali at GPT-3.5/4 equivalent scale</w:t>
      </w:r>
    </w:p>
    <w:p>
      <w:pPr>
        <w:pStyle w:val="ListParagraph"/>
        <w:numPr>
          <w:ilvl w:val="0"/>
          <w:numId w:val="2"/>
        </w:numPr>
        <w:spacing w:before="60" w:after="60"/>
      </w:pPr>
      <w:r>
        <w:rPr>
          <w:rFonts w:ascii="Arial" w:cs="Arial" w:eastAsia="Arial" w:hAnsi="Arial"/>
          <w:color w:val="4A4A4A"/>
          <w:sz w:val="22"/>
          <w:szCs w:val="22"/>
        </w:rPr>
        <w:t xml:space="preserve">BenBERT: BERT-style model for language understanding tasks</w:t>
      </w:r>
    </w:p>
    <w:p>
      <w:pPr>
        <w:pStyle w:val="ListParagraph"/>
        <w:numPr>
          <w:ilvl w:val="0"/>
          <w:numId w:val="2"/>
        </w:numPr>
        <w:spacing w:before="60" w:after="60"/>
      </w:pPr>
      <w:r>
        <w:rPr>
          <w:rFonts w:ascii="Arial" w:cs="Arial" w:eastAsia="Arial" w:hAnsi="Arial"/>
          <w:color w:val="4A4A4A"/>
          <w:sz w:val="22"/>
          <w:szCs w:val="22"/>
        </w:rPr>
        <w:t xml:space="preserve">Bengali-English MT: Bidirectional translation at commercial quality</w:t>
      </w:r>
    </w:p>
    <w:p>
      <w:pPr>
        <w:pStyle w:val="ListParagraph"/>
        <w:numPr>
          <w:ilvl w:val="0"/>
          <w:numId w:val="2"/>
        </w:numPr>
        <w:spacing w:before="60" w:after="60"/>
      </w:pPr>
      <w:r>
        <w:rPr>
          <w:rFonts w:ascii="Arial" w:cs="Arial" w:eastAsia="Arial" w:hAnsi="Arial"/>
          <w:color w:val="4A4A4A"/>
          <w:sz w:val="22"/>
          <w:szCs w:val="22"/>
        </w:rPr>
        <w:t xml:space="preserve">Bengali Speech Recognition: For voice-first rural applications</w:t>
      </w:r>
    </w:p>
    <w:p>
      <w:pPr>
        <w:pStyle w:val="ListParagraph"/>
        <w:numPr>
          <w:ilvl w:val="0"/>
          <w:numId w:val="2"/>
        </w:numPr>
        <w:spacing w:before="60" w:after="60"/>
      </w:pPr>
      <w:r>
        <w:rPr>
          <w:rFonts w:ascii="Arial" w:cs="Arial" w:eastAsia="Arial" w:hAnsi="Arial"/>
          <w:color w:val="4A4A4A"/>
          <w:sz w:val="22"/>
          <w:szCs w:val="22"/>
        </w:rPr>
        <w:t xml:space="preserve">Bengali Text-to-Speech: Natural synthesis for accessibility applications</w:t>
      </w:r>
    </w:p>
    <w:p>
      <w:pPr>
        <w:pStyle w:val="ListParagraph"/>
        <w:numPr>
          <w:ilvl w:val="0"/>
          <w:numId w:val="2"/>
        </w:numPr>
        <w:spacing w:before="60" w:after="60"/>
      </w:pPr>
      <w:r>
        <w:rPr>
          <w:rFonts w:ascii="Arial" w:cs="Arial" w:eastAsia="Arial" w:hAnsi="Arial"/>
          <w:color w:val="4A4A4A"/>
          <w:sz w:val="22"/>
          <w:szCs w:val="22"/>
        </w:rPr>
        <w:t xml:space="preserve">Minority Language Extensions: Chakma, Marma, Tripuri, Garo, Santal modules (new recommendation)</w:t>
      </w:r>
    </w:p>
    <w:p>
      <w:pPr>
        <w:spacing w:before="200" w:after="0"/>
      </w:pPr>
      <w:r>
        <w:t xml:space="preserve"/>
      </w:r>
    </w:p>
    <w:p>
      <w:pPr>
        <w:spacing w:before="80" w:after="120"/>
        <w:jc w:val="both"/>
      </w:pPr>
      <w:r>
        <w:rPr>
          <w:rFonts w:ascii="Arial" w:cs="Arial" w:eastAsia="Arial" w:hAnsi="Arial"/>
          <w:color w:val="4A4A4A"/>
          <w:sz w:val="22"/>
          <w:szCs w:val="22"/>
        </w:rPr>
        <w:t xml:space="preserve">Total Bengali Language AI Initiative Budget: BDT 900 crore (2026–2030). Projected revenue from commercial applications by 2030: BDT 500 crore per year.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60"/>
              <w:bottom w:type="dxa" w:w="160"/>
              <w:right w:type="dxa" w:w="240"/>
            </w:tcMar>
          </w:tcPr>
          <w:p>
            <w:pPr>
              <w:spacing w:before="0" w:after="0"/>
              <w:jc w:val="left"/>
            </w:pPr>
            <w:r>
              <w:rPr>
                <w:rFonts w:ascii="Arial" w:cs="Arial" w:eastAsia="Arial" w:hAnsi="Arial"/>
                <w:b/>
                <w:bCs/>
                <w:caps/>
                <w:color w:val="FFFFFF"/>
                <w:sz w:val="26"/>
                <w:szCs w:val="26"/>
              </w:rPr>
              <w:t xml:space="preserve">Conclusion</w:t>
            </w:r>
          </w:p>
        </w:tc>
      </w:tr>
    </w:tbl>
    <w:p>
      <w:pPr>
        <w:spacing w:before="200" w:after="0"/>
      </w:pPr>
      <w:r>
        <w:t xml:space="preserve"/>
      </w:r>
    </w:p>
    <w:p>
      <w:pPr>
        <w:pStyle w:val="Heading1"/>
        <w:pBdr>
          <w:bottom w:val="single" w:color="C8102E" w:sz="6" w:space="6"/>
        </w:pBdr>
        <w:spacing w:before="480" w:after="200"/>
      </w:pPr>
      <w:r>
        <w:rPr>
          <w:rFonts w:ascii="Arial" w:cs="Arial" w:eastAsia="Arial" w:hAnsi="Arial"/>
          <w:b/>
          <w:bCs/>
          <w:color w:val="1B3A6B"/>
          <w:sz w:val="36"/>
          <w:szCs w:val="36"/>
        </w:rPr>
        <w:t xml:space="preserve">Conclusion: Architecture Without Shortcuts</w:t>
      </w:r>
    </w:p>
    <w:p>
      <w:pPr>
        <w:spacing w:before="80" w:after="120"/>
        <w:jc w:val="both"/>
      </w:pPr>
      <w:r>
        <w:rPr>
          <w:rFonts w:ascii="Arial" w:cs="Arial" w:eastAsia="Arial" w:hAnsi="Arial"/>
          <w:color w:val="4A4A4A"/>
          <w:sz w:val="22"/>
          <w:szCs w:val="22"/>
        </w:rPr>
        <w:t xml:space="preserve">The National AI Policy of Bangladesh 2026–2030 is an attempt to do something genuinely difficult: to build a credible, comprehensive, and contextually grounded AI governance framework for a country that has the ambition, the human capital potential, and the developmental urgency to make AI genuinely transformative, but that cannot afford to repeat the mistakes of wealthier nations that built their AI ecosystems without adequate attention to equity, accountability, or the structural conditions of the societies they govern.</w:t>
      </w:r>
    </w:p>
    <w:p>
      <w:pPr>
        <w:spacing w:before="80" w:after="120"/>
        <w:jc w:val="both"/>
      </w:pPr>
      <w:r>
        <w:rPr>
          <w:rFonts w:ascii="Arial" w:cs="Arial" w:eastAsia="Arial" w:hAnsi="Arial"/>
          <w:color w:val="4A4A4A"/>
          <w:sz w:val="22"/>
          <w:szCs w:val="22"/>
        </w:rPr>
        <w:t xml:space="preserve">The original draft of this policy, on which this document is substantially based and substantially extended, represents a serious and sophisticated foundation. Its risk-tiered regulatory architecture is sound. Its sectoral priorities — Bengali language AI, climate-resilient agriculture, frugal healthcare, disaster management — are well-chosen. Its financial framework is realistic without being timid. Its targets are ambitious without being fantastical.</w:t>
      </w:r>
    </w:p>
    <w:p>
      <w:pPr>
        <w:spacing w:before="80" w:after="120"/>
        <w:jc w:val="both"/>
      </w:pPr>
      <w:r>
        <w:rPr>
          <w:rFonts w:ascii="Arial" w:cs="Arial" w:eastAsia="Arial" w:hAnsi="Arial"/>
          <w:color w:val="4A4A4A"/>
          <w:sz w:val="22"/>
          <w:szCs w:val="22"/>
        </w:rPr>
        <w:t xml:space="preserve">What this analysis has attempted to add is the texture of Bangladesh’s specific context: the haor communities and char-land farmers who will be left behind by a one-size-fits-all agricultural AI platform; the garment workers whose livelihoods face disruption that the policy does not adequately prepare for; the madrasa students who are absent from the education strategy; the ethnic minority communities whose languages and data rights the governance framework incompletely addresses; the electoral risks that the regulatory architecture ignores; and the climate migrants whose numbers will grow regardless of what any AI policy does or does not accomplish.</w:t>
      </w:r>
    </w:p>
    <w:p>
      <w:pPr>
        <w:spacing w:before="80" w:after="120"/>
        <w:jc w:val="both"/>
      </w:pPr>
      <w:r>
        <w:rPr>
          <w:rFonts w:ascii="Arial" w:cs="Arial" w:eastAsia="Arial" w:hAnsi="Arial"/>
          <w:color w:val="4A4A4A"/>
          <w:sz w:val="22"/>
          <w:szCs w:val="22"/>
        </w:rPr>
        <w:t xml:space="preserve">These additions are not criticisms of the original document’s ambition. They are arguments that the ambition should be larger, the scope should be wider, and the commitment to leaving no one behind should be more than rhetorical. Bangladesh has been making and breaking developmental promises to its people for half a century. The July 2024 revolution was, among other things, a demand that this cycle end. An AI policy that is serious about accountability, equity, and implementation is one contribution to honouring that demand.</w:t>
      </w:r>
    </w:p>
    <w:p>
      <w:pPr>
        <w:spacing w:before="80" w:after="120"/>
        <w:jc w:val="both"/>
      </w:pPr>
      <w:r>
        <w:rPr>
          <w:rFonts w:ascii="Arial" w:cs="Arial" w:eastAsia="Arial" w:hAnsi="Arial"/>
          <w:color w:val="4A4A4A"/>
          <w:sz w:val="22"/>
          <w:szCs w:val="22"/>
        </w:rPr>
        <w:t xml:space="preserve">What remains, as always, is political will. Institutions will be only as effective as the leadership that staffs them. Targets will be only as meaningful as the fiscal commitments that fund them. The regulatory framework will be only as robust as the enforcement that backs it. The architecture proposed in this document can be built. Whether Bangladesh chooses to build it — and whether it builds it for everyone rather than the already-privileged few — is the question to which all subsequent policy choices must answer.</w:t>
      </w:r>
    </w:p>
    <w:p>
      <w:pPr>
        <w:spacing w:before="4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200"/>
            </w:tcMar>
          </w:tcPr>
          <w:p>
            <w:pPr>
              <w:spacing w:before="0" w:after="60"/>
              <w:jc w:val="left"/>
            </w:pPr>
            <w:r>
              <w:rPr>
                <w:rFonts w:ascii="Arial" w:cs="Arial" w:eastAsia="Arial" w:hAnsi="Arial"/>
                <w:color w:val="FFFFFF"/>
                <w:sz w:val="19"/>
                <w:szCs w:val="19"/>
              </w:rPr>
              <w:t xml:space="preserve">Published by</w:t>
            </w:r>
          </w:p>
          <w:p>
            <w:pPr>
              <w:spacing w:before="0" w:after="40"/>
              <w:jc w:val="left"/>
            </w:pPr>
            <w:r>
              <w:rPr>
                <w:rFonts w:ascii="Arial" w:cs="Arial" w:eastAsia="Arial" w:hAnsi="Arial"/>
                <w:b/>
                <w:bCs/>
                <w:color w:val="FFFFFF"/>
                <w:sz w:val="24"/>
                <w:szCs w:val="24"/>
              </w:rPr>
              <w:t xml:space="preserve">Political Insights BD (PIBBD)</w:t>
            </w:r>
          </w:p>
          <w:p>
            <w:pPr>
              <w:spacing w:before="0" w:after="0"/>
              <w:jc w:val="left"/>
            </w:pPr>
            <w:r>
              <w:rPr>
                <w:rFonts w:ascii="Arial" w:cs="Arial" w:eastAsia="Arial" w:hAnsi="Arial"/>
                <w:i/>
                <w:iCs/>
                <w:color w:val="FFFFFF"/>
                <w:sz w:val="19"/>
                <w:szCs w:val="19"/>
              </w:rPr>
              <w:t xml:space="preserve">Bangladesh’s First Political Consultancy</w:t>
            </w:r>
          </w:p>
        </w:tc>
        <w:tc>
          <w:tcPr>
            <w:tcBorders>
              <w:top w:val="none" w:color="FFFFFF" w:sz="0"/>
              <w:left w:val="none" w:color="FFFFFF" w:sz="0"/>
              <w:bottom w:val="none" w:color="FFFFFF" w:sz="0"/>
              <w:right w:val="none" w:color="FFFFFF" w:sz="0"/>
            </w:tcBorders>
            <w:shd w:fill="C8102E" w:val="clear"/>
            <w:tcMar>
              <w:top w:type="dxa" w:w="200"/>
              <w:left w:type="dxa" w:w="300"/>
              <w:bottom w:type="dxa" w:w="200"/>
              <w:right w:type="dxa" w:w="200"/>
            </w:tcMar>
          </w:tcPr>
          <w:p>
            <w:pPr>
              <w:spacing w:before="0" w:after="60"/>
              <w:jc w:val="left"/>
            </w:pPr>
            <w:r>
              <w:rPr>
                <w:rFonts w:ascii="Arial" w:cs="Arial" w:eastAsia="Arial" w:hAnsi="Arial"/>
                <w:color w:val="FFFFFF"/>
                <w:sz w:val="19"/>
                <w:szCs w:val="19"/>
              </w:rPr>
              <w:t xml:space="preserve">Lead Researcher &amp; Author</w:t>
            </w:r>
          </w:p>
          <w:p>
            <w:pPr>
              <w:spacing w:before="0" w:after="40"/>
              <w:jc w:val="left"/>
            </w:pPr>
            <w:r>
              <w:rPr>
                <w:rFonts w:ascii="Arial" w:cs="Arial" w:eastAsia="Arial" w:hAnsi="Arial"/>
                <w:b/>
                <w:bCs/>
                <w:color w:val="FFFFFF"/>
                <w:sz w:val="24"/>
                <w:szCs w:val="24"/>
              </w:rPr>
              <w:t xml:space="preserve">Ahmad Rafi</w:t>
            </w:r>
          </w:p>
          <w:p>
            <w:pPr>
              <w:spacing w:before="0" w:after="0"/>
              <w:jc w:val="left"/>
            </w:pPr>
            <w:r>
              <w:rPr>
                <w:rFonts w:ascii="Arial" w:cs="Arial" w:eastAsia="Arial" w:hAnsi="Arial"/>
                <w:i/>
                <w:iCs/>
                <w:color w:val="FFFFFF"/>
                <w:sz w:val="19"/>
                <w:szCs w:val="19"/>
              </w:rPr>
              <w:t xml:space="preserve">Director, PIBBD • MA International Communication</w:t>
            </w:r>
          </w:p>
        </w:tc>
      </w:tr>
    </w:tbl>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after="0"/>
    </w:pPr>
    <w:r>
      <w:rPr>
        <w:rFonts w:ascii="Arial" w:cs="Arial" w:eastAsia="Arial" w:hAnsi="Arial"/>
        <w:color w:val="4A4A4A"/>
        <w:sz w:val="17"/>
        <w:szCs w:val="17"/>
      </w:rPr>
      <w:t xml:space="preserve">Political Insights BD (PIBBD) • Draft for Public Consultation</w:t>
    </w:r>
    <w:r>
      <w:rPr>
        <w:rFonts w:ascii="Arial" w:cs="Arial" w:eastAsia="Arial" w:hAnsi="Arial"/>
        <w:sz w:val="17"/>
        <w:szCs w:val="17"/>
      </w:rPr>
      <w:t xml:space="preserve">	</w:t>
    </w:r>
    <w:r>
      <w:rPr>
        <w:rFonts w:ascii="Arial" w:cs="Arial" w:eastAsia="Arial" w:hAnsi="Arial"/>
        <w:b/>
        <w:bCs/>
        <w:color w:val="1B3A6B"/>
        <w:sz w:val="17"/>
        <w:szCs w:val="17"/>
      </w:rPr>
      <w:t xml:space="preserve"/>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4"/>
      </w:pBdr>
      <w:tabs>
        <w:tab w:val="right" w:pos="9026"/>
      </w:tabs>
      <w:spacing w:before="0" w:after="100"/>
    </w:pPr>
    <w:r>
      <w:rPr>
        <w:rFonts w:ascii="Arial" w:cs="Arial" w:eastAsia="Arial" w:hAnsi="Arial"/>
        <w:b/>
        <w:bCs/>
        <w:color w:val="1B3A6B"/>
        <w:sz w:val="18"/>
        <w:szCs w:val="18"/>
      </w:rPr>
      <w:t xml:space="preserve">National Artificial Intelligence Policy of Bangladesh 2026–2030</w:t>
    </w:r>
    <w:r>
      <w:rPr>
        <w:rFonts w:ascii="Arial" w:cs="Arial" w:eastAsia="Arial" w:hAnsi="Arial"/>
        <w:sz w:val="18"/>
        <w:szCs w:val="18"/>
      </w:rPr>
      <w:t xml:space="preserve">	</w:t>
    </w:r>
    <w:r>
      <w:rPr>
        <w:rFonts w:ascii="Arial" w:cs="Arial" w:eastAsia="Arial" w:hAnsi="Arial"/>
        <w:i/>
        <w:iCs/>
        <w:color w:val="C8102E"/>
        <w:sz w:val="18"/>
        <w:szCs w:val="18"/>
      </w:rPr>
      <w:t xml:space="preserve">PIBBD • Ahmad Rafi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B3A6B"/>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2026-02-27T11:08:04.890Z</dcterms:created>
  <dcterms:modified xsi:type="dcterms:W3CDTF">2026-02-27T11:08:04.891Z</dcterms:modified>
</cp:coreProperties>
</file>

<file path=docProps/custom.xml><?xml version="1.0" encoding="utf-8"?>
<Properties xmlns="http://schemas.openxmlformats.org/officeDocument/2006/custom-properties" xmlns:vt="http://schemas.openxmlformats.org/officeDocument/2006/docPropsVTypes"/>
</file>