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W w:type="dxa" w:w="9766"/>
            <w:tcBorders>
              <w:top w:val="none" w:color="FFFFFF" w:sz="0"/>
              <w:left w:val="none" w:color="FFFFFF" w:sz="0"/>
              <w:bottom w:val="none" w:color="FFFFFF" w:sz="0"/>
              <w:right w:val="none" w:color="FFFFFF" w:sz="0"/>
            </w:tcBorders>
            <w:shd w:fill="006747" w:val="clear"/>
            <w:tcMar>
              <w:top w:type="dxa" w:w="560"/>
              <w:left w:type="dxa" w:w="440"/>
              <w:bottom w:type="dxa" w:w="560"/>
              <w:right w:type="dxa" w:w="440"/>
            </w:tcMar>
          </w:tcPr>
          <w:p>
            <w:pPr>
              <w:spacing w:before="0" w:after="120"/>
              <w:jc w:val="center"/>
            </w:pPr>
            <w:r>
              <w:rPr>
                <w:rFonts w:ascii="Calibri" w:cs="Calibri" w:eastAsia="Calibri" w:hAnsi="Calibri"/>
                <w:b w:val="false"/>
                <w:bCs w:val="false"/>
                <w:color w:val="CCFFCC"/>
                <w:sz w:val="24"/>
                <w:szCs w:val="24"/>
              </w:rPr>
              <w:t xml:space="preserve">🇧🇩  BANGLADESH NATIONAL AI POLICY</w:t>
            </w:r>
          </w:p>
          <w:p>
            <w:pPr>
              <w:spacing w:before="0" w:after="200"/>
              <w:jc w:val="center"/>
            </w:pPr>
            <w:r>
              <w:rPr>
                <w:rFonts w:ascii="Calibri" w:cs="Calibri" w:eastAsia="Calibri" w:hAnsi="Calibri"/>
                <w:b/>
                <w:bCs/>
                <w:color w:val="FFFFFF"/>
                <w:sz w:val="52"/>
                <w:szCs w:val="52"/>
              </w:rPr>
              <w:t xml:space="preserve">Practical Claude Command Toolkit</w:t>
            </w:r>
          </w:p>
          <w:p>
            <w:pPr>
              <w:spacing w:before="0" w:after="120"/>
              <w:jc w:val="center"/>
            </w:pPr>
            <w:r>
              <w:rPr>
                <w:rFonts w:ascii="Calibri" w:cs="Calibri" w:eastAsia="Calibri" w:hAnsi="Calibri"/>
                <w:color w:val="CCFFCC"/>
                <w:sz w:val="24"/>
                <w:szCs w:val="24"/>
              </w:rPr>
              <w:t xml:space="preserve">Ready-to-use AI prompts for policy compliance, audit &amp; strategic implementation</w:t>
            </w:r>
          </w:p>
          <w:p>
            <w:pPr>
              <w:spacing w:before="120" w:after="40"/>
              <w:jc w:val="center"/>
            </w:pPr>
            <w:r>
              <w:rPr>
                <w:rFonts w:ascii="Calibri" w:cs="Calibri" w:eastAsia="Calibri" w:hAnsi="Calibri"/>
                <w:color w:val="D9DDD5"/>
                <w:sz w:val="20"/>
                <w:szCs w:val="20"/>
              </w:rPr>
              <w:t xml:space="preserve">Aligned with National AI Policy 2026–2030 (v1.1)  •  PDPA  •  Cyber Safety Ordinance 2025</w:t>
            </w:r>
          </w:p>
        </w:tc>
      </w:tr>
    </w:tbl>
    <w:p>
      <w:pPr>
        <w:spacing w:before="40" w:after="40"/>
        <w:jc w:val="left"/>
      </w:pPr>
      <w:r>
        <w:rPr>
          <w:rFonts w:ascii="Calibri" w:cs="Calibri" w:eastAsia="Calibri" w:hAnsi="Calibri"/>
          <w:b w:val="false"/>
          <w:bCs w:val="false"/>
          <w:i w:val="false"/>
          <w:iCs w:val="false"/>
          <w:color w:val="1A1A1A"/>
          <w:sz w:val="22"/>
          <w:szCs w:val="22"/>
        </w:rP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W w:type="dxa" w:w="9766"/>
            <w:tcBorders>
              <w:top w:val="none" w:color="FFFFFF" w:sz="0"/>
              <w:left w:val="none" w:color="FFFFFF" w:sz="0"/>
              <w:bottom w:val="none" w:color="FFFFFF" w:sz="0"/>
              <w:right w:val="none" w:color="FFFFFF" w:sz="0"/>
            </w:tcBorders>
            <w:shd w:fill="F2F4F0" w:val="clear"/>
            <w:tcMar>
              <w:top w:type="dxa" w:w="240"/>
              <w:left w:type="dxa" w:w="360"/>
              <w:bottom w:type="dxa" w:w="240"/>
              <w:right w:type="dxa" w:w="360"/>
            </w:tcMar>
          </w:tcPr>
          <w:p>
            <w:pPr>
              <w:spacing w:before="0" w:after="60"/>
            </w:pPr>
            <w:r>
              <w:rPr>
                <w:rFonts w:ascii="Calibri" w:cs="Calibri" w:eastAsia="Calibri" w:hAnsi="Calibri"/>
                <w:b/>
                <w:bCs/>
                <w:color w:val="004D35"/>
                <w:sz w:val="24"/>
                <w:szCs w:val="24"/>
              </w:rPr>
              <w:t xml:space="preserve">How to use this toolkit</w:t>
            </w:r>
          </w:p>
          <w:p>
            <w:pPr>
              <w:spacing w:before="0" w:after="0"/>
            </w:pPr>
            <w:r>
              <w:rPr>
                <w:rFonts w:ascii="Calibri" w:cs="Calibri" w:eastAsia="Calibri" w:hAnsi="Calibri"/>
                <w:color w:val="4A4A4A"/>
                <w:sz w:val="22"/>
                <w:szCs w:val="22"/>
              </w:rPr>
              <w:t xml:space="preserve">This document provides three fully-built Claude AI prompt templates that any Bangladeshi company, department, or consultant can use immediately. Each command is designed to produce governance-grade output that is compliant with the National AI Policy 2026–2030 and the Personal Data Protection Act. Simply copy the command, fill in the bracketed fields, and paste into Claude.</w:t>
            </w:r>
          </w:p>
        </w:tc>
      </w:tr>
    </w:tbl>
    <w:p>
      <w:pPr>
        <w:spacing w:before="0" w:after="200"/>
        <w:jc w:val="left"/>
      </w:pPr>
      <w:r>
        <w:rPr>
          <w:rFonts w:ascii="Calibri" w:cs="Calibri" w:eastAsia="Calibri" w:hAnsi="Calibri"/>
          <w:b w:val="false"/>
          <w:bCs w:val="false"/>
          <w:i w:val="false"/>
          <w:iCs w:val="false"/>
          <w:color w:val="1A1A1A"/>
          <w:sz w:val="22"/>
          <w:szCs w:val="22"/>
        </w:rPr>
        <w:t xml:space="preserve"/>
      </w:r>
    </w:p>
    <w:p>
      <w:pPr>
        <w:shd w:fill="004D35" w:val="clear"/>
        <w:spacing w:before="320" w:after="160"/>
      </w:pPr>
      <w:r>
        <w:rPr>
          <w:rFonts w:ascii="Calibri" w:cs="Calibri" w:eastAsia="Calibri" w:hAnsi="Calibri"/>
          <w:b/>
          <w:bCs/>
          <w:color w:val="FFFFFF"/>
          <w:sz w:val="28"/>
          <w:szCs w:val="28"/>
        </w:rPr>
        <w:t xml:space="preserve">  Command 1 — Internal AI Policy Drafter</w:t>
      </w:r>
    </w:p>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200"/>
        <w:gridCol w:w="9566"/>
      </w:tblGrid>
      <w:tr>
        <w:tc>
          <w:tcPr>
            <w:tcW w:type="dxa" w:w="200"/>
            <w:tcBorders>
              <w:top w:val="none" w:color="FFFFFF" w:sz="0"/>
              <w:left w:val="none" w:color="FFFFFF" w:sz="0"/>
              <w:bottom w:val="none" w:color="FFFFFF" w:sz="0"/>
              <w:right w:val="none" w:color="FFFFFF" w:sz="0"/>
            </w:tcBorders>
            <w:shd w:fill="006747" w:val="clear"/>
          </w:tcPr>
          <w:p>
            <w:pPr>
              <w:spacing w:before="80" w:after="80"/>
              <w:jc w:val="left"/>
            </w:pPr>
            <w:r>
              <w:rPr>
                <w:rFonts w:ascii="Calibri" w:cs="Calibri" w:eastAsia="Calibri" w:hAnsi="Calibri"/>
                <w:b w:val="false"/>
                <w:bCs w:val="false"/>
                <w:i w:val="false"/>
                <w:iCs w:val="false"/>
                <w:color w:val="1A1A1A"/>
                <w:sz w:val="22"/>
                <w:szCs w:val="22"/>
              </w:rPr>
              <w:t xml:space="preserve"/>
            </w:r>
          </w:p>
        </w:tc>
        <w:tc>
          <w:tcPr>
            <w:tcW w:type="dxa" w:w="9566"/>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0" w:after="60"/>
            </w:pPr>
            <w:r>
              <w:rPr>
                <w:rFonts w:ascii="Calibri" w:cs="Calibri" w:eastAsia="Calibri" w:hAnsi="Calibri"/>
                <w:b/>
                <w:bCs/>
                <w:color w:val="1A1A1A"/>
                <w:sz w:val="22"/>
                <w:szCs w:val="22"/>
              </w:rPr>
              <w:t xml:space="preserve">Use this to create an internal AI usage policy for your company or department.</w:t>
            </w:r>
          </w:p>
          <w:p>
            <w:pPr>
              <w:spacing w:before="0" w:after="0"/>
            </w:pPr>
            <w:r>
              <w:rPr>
                <w:rFonts w:ascii="Calibri" w:cs="Calibri" w:eastAsia="Calibri" w:hAnsi="Calibri"/>
                <w:color w:val="4A4A4A"/>
                <w:sz w:val="21"/>
                <w:szCs w:val="21"/>
              </w:rPr>
              <w:t xml:space="preserve">Output: A formal policy document with Scope, Acceptable Use, Accountability, Risk Classification, Data Sovereignty, and Linguistic Inclusion sections — ready for sign-off.</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The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D35" w:sz="4"/>
              <w:left w:val="single" w:color="004D35" w:sz="4"/>
              <w:bottom w:val="single" w:color="004D35" w:sz="4"/>
              <w:right w:val="single" w:color="004D35" w:sz="4"/>
            </w:tcBorders>
            <w:shd w:fill="EEF5F0" w:val="clear"/>
            <w:tcMar>
              <w:top w:type="dxa" w:w="160"/>
              <w:left w:type="dxa" w:w="200"/>
              <w:bottom w:type="dxa" w:w="160"/>
              <w:right w:type="dxa" w:w="200"/>
            </w:tcMar>
          </w:tcPr>
          <w:p>
            <w:pPr>
              <w:spacing w:before="0" w:after="0"/>
            </w:pPr>
            <w:r>
              <w:rPr>
                <w:rFonts w:ascii="Courier New" w:cs="Courier New" w:eastAsia="Courier New" w:hAnsi="Courier New"/>
                <w:color w:val="003322"/>
                <w:sz w:val="18"/>
                <w:szCs w:val="18"/>
              </w:rPr>
              <w:t xml:space="preserve">Act as a Senior AI Policy Consultant specialising in South Asian digital governance.</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Draft a comprehensive AI Usage Policy for [YOUR COMPANY / DEPARTMENT NAME] operating in Bangladesh.</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Ensure the policy aligns with:</w:t>
            </w:r>
          </w:p>
          <w:p>
            <w:pPr>
              <w:spacing w:before="40" w:after="0"/>
            </w:pPr>
            <w:r>
              <w:rPr>
                <w:rFonts w:ascii="Courier New" w:cs="Courier New" w:eastAsia="Courier New" w:hAnsi="Courier New"/>
                <w:color w:val="003322"/>
                <w:sz w:val="18"/>
                <w:szCs w:val="18"/>
              </w:rPr>
              <w:t xml:space="preserve">• National AI Policy 2026–2030 (Draft v1.1)</w:t>
            </w:r>
          </w:p>
          <w:p>
            <w:pPr>
              <w:spacing w:before="40" w:after="0"/>
            </w:pPr>
            <w:r>
              <w:rPr>
                <w:rFonts w:ascii="Courier New" w:cs="Courier New" w:eastAsia="Courier New" w:hAnsi="Courier New"/>
                <w:color w:val="003322"/>
                <w:sz w:val="18"/>
                <w:szCs w:val="18"/>
              </w:rPr>
              <w:t xml:space="preserve">• Personal Data Protection Act (PDPA) 2025</w:t>
            </w:r>
          </w:p>
          <w:p>
            <w:pPr>
              <w:spacing w:before="40" w:after="0"/>
            </w:pPr>
            <w:r>
              <w:rPr>
                <w:rFonts w:ascii="Courier New" w:cs="Courier New" w:eastAsia="Courier New" w:hAnsi="Courier New"/>
                <w:color w:val="003322"/>
                <w:sz w:val="18"/>
                <w:szCs w:val="18"/>
              </w:rPr>
              <w:t xml:space="preserve">• Cyber Safety Ordinance 2025</w:t>
            </w:r>
          </w:p>
          <w:p>
            <w:pPr>
              <w:spacing w:before="40" w:after="0"/>
            </w:pPr>
            <w:r>
              <w:rPr>
                <w:rFonts w:ascii="Courier New" w:cs="Courier New" w:eastAsia="Courier New" w:hAnsi="Courier New"/>
                <w:color w:val="003322"/>
                <w:sz w:val="18"/>
                <w:szCs w:val="18"/>
              </w:rPr>
              <w:t xml:space="preserve">• National Data Governance Ordinance (NDGO) 2025</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Structure the policy with the following mandatory sections:</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1. SCOPE</w:t>
            </w:r>
          </w:p>
          <w:p>
            <w:pPr>
              <w:spacing w:before="40" w:after="0"/>
            </w:pPr>
            <w:r>
              <w:rPr>
                <w:rFonts w:ascii="Courier New" w:cs="Courier New" w:eastAsia="Courier New" w:hAnsi="Courier New"/>
                <w:color w:val="003322"/>
                <w:sz w:val="18"/>
                <w:szCs w:val="18"/>
              </w:rPr>
              <w:t xml:space="preserve">   – Define which employees, contractors, and systems this policy covers.</w:t>
            </w:r>
          </w:p>
          <w:p>
            <w:pPr>
              <w:spacing w:before="40" w:after="0"/>
            </w:pPr>
            <w:r>
              <w:rPr>
                <w:rFonts w:ascii="Courier New" w:cs="Courier New" w:eastAsia="Courier New" w:hAnsi="Courier New"/>
                <w:color w:val="003322"/>
                <w:sz w:val="18"/>
                <w:szCs w:val="18"/>
              </w:rPr>
              <w:t xml:space="preserve">   – Specify applicable AI tools (internal and third-party).</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2. RISK CLASSIFICATION</w:t>
            </w:r>
          </w:p>
          <w:p>
            <w:pPr>
              <w:spacing w:before="40" w:after="0"/>
            </w:pPr>
            <w:r>
              <w:rPr>
                <w:rFonts w:ascii="Courier New" w:cs="Courier New" w:eastAsia="Courier New" w:hAnsi="Courier New"/>
                <w:color w:val="003322"/>
                <w:sz w:val="18"/>
                <w:szCs w:val="18"/>
              </w:rPr>
              <w:t xml:space="preserve">   – Categorise all AI tools into: Prohibited / High-Risk / Limited-Risk / Low-Risk.</w:t>
            </w:r>
          </w:p>
          <w:p>
            <w:pPr>
              <w:spacing w:before="40" w:after="0"/>
            </w:pPr>
            <w:r>
              <w:rPr>
                <w:rFonts w:ascii="Courier New" w:cs="Courier New" w:eastAsia="Courier New" w:hAnsi="Courier New"/>
                <w:color w:val="003322"/>
                <w:sz w:val="18"/>
                <w:szCs w:val="18"/>
              </w:rPr>
              <w:t xml:space="preserve">   – Provide at least 3 sector-specific examples for each category.</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3. ACCEPTABLE USE</w:t>
            </w:r>
          </w:p>
          <w:p>
            <w:pPr>
              <w:spacing w:before="40" w:after="0"/>
            </w:pPr>
            <w:r>
              <w:rPr>
                <w:rFonts w:ascii="Courier New" w:cs="Courier New" w:eastAsia="Courier New" w:hAnsi="Courier New"/>
                <w:color w:val="003322"/>
                <w:sz w:val="18"/>
                <w:szCs w:val="18"/>
              </w:rPr>
              <w:t xml:space="preserve">   – Define permitted and prohibited use cases for [YOUR SECTOR, e.g., healthcare / finance].</w:t>
            </w:r>
          </w:p>
          <w:p>
            <w:pPr>
              <w:spacing w:before="40" w:after="0"/>
            </w:pPr>
            <w:r>
              <w:rPr>
                <w:rFonts w:ascii="Courier New" w:cs="Courier New" w:eastAsia="Courier New" w:hAnsi="Courier New"/>
                <w:color w:val="003322"/>
                <w:sz w:val="18"/>
                <w:szCs w:val="18"/>
              </w:rPr>
              <w:t xml:space="preserve">   – Include rules for using foreign AI models (e.g., Claude, GPT-4) with citizen data.</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4. DATA SOVEREIGNTY</w:t>
            </w:r>
          </w:p>
          <w:p>
            <w:pPr>
              <w:spacing w:before="40" w:after="0"/>
            </w:pPr>
            <w:r>
              <w:rPr>
                <w:rFonts w:ascii="Courier New" w:cs="Courier New" w:eastAsia="Courier New" w:hAnsi="Courier New"/>
                <w:color w:val="003322"/>
                <w:sz w:val="18"/>
                <w:szCs w:val="18"/>
              </w:rPr>
              <w:t xml:space="preserve">   – Mandate that all sensitive citizen data must reside on locally hosted servers.</w:t>
            </w:r>
          </w:p>
          <w:p>
            <w:pPr>
              <w:spacing w:before="40" w:after="0"/>
            </w:pPr>
            <w:r>
              <w:rPr>
                <w:rFonts w:ascii="Courier New" w:cs="Courier New" w:eastAsia="Courier New" w:hAnsi="Courier New"/>
                <w:color w:val="003322"/>
                <w:sz w:val="18"/>
                <w:szCs w:val="18"/>
              </w:rPr>
              <w:t xml:space="preserve">   – Define cross-border data transfer conditions per NDGO 2025 and PDPA.</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5. LINGUISTIC INCLUSION</w:t>
            </w:r>
          </w:p>
          <w:p>
            <w:pPr>
              <w:spacing w:before="40" w:after="0"/>
            </w:pPr>
            <w:r>
              <w:rPr>
                <w:rFonts w:ascii="Courier New" w:cs="Courier New" w:eastAsia="Courier New" w:hAnsi="Courier New"/>
                <w:color w:val="003322"/>
                <w:sz w:val="18"/>
                <w:szCs w:val="18"/>
              </w:rPr>
              <w:t xml:space="preserve">   – Require that all citizen-facing AI tools support Bangla NLU/NLP.</w:t>
            </w:r>
          </w:p>
          <w:p>
            <w:pPr>
              <w:spacing w:before="40" w:after="0"/>
            </w:pPr>
            <w:r>
              <w:rPr>
                <w:rFonts w:ascii="Courier New" w:cs="Courier New" w:eastAsia="Courier New" w:hAnsi="Courier New"/>
                <w:color w:val="003322"/>
                <w:sz w:val="18"/>
                <w:szCs w:val="18"/>
              </w:rPr>
              <w:t xml:space="preserve">   – Specify fallback protocols when Bangla-capable tools are unavailable.</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6. ETHICAL PILLARS</w:t>
            </w:r>
          </w:p>
          <w:p>
            <w:pPr>
              <w:spacing w:before="40" w:after="0"/>
            </w:pPr>
            <w:r>
              <w:rPr>
                <w:rFonts w:ascii="Courier New" w:cs="Courier New" w:eastAsia="Courier New" w:hAnsi="Courier New"/>
                <w:color w:val="003322"/>
                <w:sz w:val="18"/>
                <w:szCs w:val="18"/>
              </w:rPr>
              <w:t xml:space="preserve">   – Embed social equity, non-discrimination, transparency, and human oversight.</w:t>
            </w:r>
          </w:p>
          <w:p>
            <w:pPr>
              <w:spacing w:before="40" w:after="0"/>
            </w:pPr>
            <w:r>
              <w:rPr>
                <w:rFonts w:ascii="Courier New" w:cs="Courier New" w:eastAsia="Courier New" w:hAnsi="Courier New"/>
                <w:color w:val="003322"/>
                <w:sz w:val="18"/>
                <w:szCs w:val="18"/>
              </w:rPr>
              <w:t xml:space="preserve">   – Include an Algorithmic Impact Assessment (AIA) requirement for High-Risk systems.</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7. ACCOUNTABILITY &amp; ENFORCEMENT</w:t>
            </w:r>
          </w:p>
          <w:p>
            <w:pPr>
              <w:spacing w:before="40" w:after="0"/>
            </w:pPr>
            <w:r>
              <w:rPr>
                <w:rFonts w:ascii="Courier New" w:cs="Courier New" w:eastAsia="Courier New" w:hAnsi="Courier New"/>
                <w:color w:val="003322"/>
                <w:sz w:val="18"/>
                <w:szCs w:val="18"/>
              </w:rPr>
              <w:t xml:space="preserve">   – Designate an AI Compliance Officer and reporting lines.</w:t>
            </w:r>
          </w:p>
          <w:p>
            <w:pPr>
              <w:spacing w:before="40" w:after="0"/>
            </w:pPr>
            <w:r>
              <w:rPr>
                <w:rFonts w:ascii="Courier New" w:cs="Courier New" w:eastAsia="Courier New" w:hAnsi="Courier New"/>
                <w:color w:val="003322"/>
                <w:sz w:val="18"/>
                <w:szCs w:val="18"/>
              </w:rPr>
              <w:t xml:space="preserve">   – Define penalties for policy violations and incident reporting timelines (max 72 hrs).</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Output format: Formal policy document with clause numbers, defined terms, and an</w:t>
            </w:r>
          </w:p>
          <w:p>
            <w:pPr>
              <w:spacing w:before="40" w:after="0"/>
            </w:pPr>
            <w:r>
              <w:rPr>
                <w:rFonts w:ascii="Courier New" w:cs="Courier New" w:eastAsia="Courier New" w:hAnsi="Courier New"/>
                <w:color w:val="003322"/>
                <w:sz w:val="18"/>
                <w:szCs w:val="18"/>
              </w:rPr>
              <w:t xml:space="preserve">effective date field. Use "shall" for mandatory provisions and "should" for guidance.</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Fields to Customise Before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006747" w:val="clear"/>
            <w:tcMar>
              <w:top w:type="dxa" w:w="80"/>
              <w:left w:type="dxa" w:w="160"/>
              <w:bottom w:type="dxa" w:w="80"/>
              <w:right w:type="dxa" w:w="160"/>
            </w:tcMar>
          </w:tcPr>
          <w:p>
            <w:r>
              <w:rPr>
                <w:rFonts w:ascii="Calibri" w:cs="Calibri" w:eastAsia="Calibri" w:hAnsi="Calibri"/>
                <w:b/>
                <w:bCs/>
                <w:color w:val="FFFFFF"/>
                <w:sz w:val="21"/>
                <w:szCs w:val="21"/>
              </w:rPr>
              <w:t xml:space="preserve">Placeholder</w:t>
            </w:r>
          </w:p>
        </w:tc>
        <w:tc>
          <w:tcPr>
            <w:tcW w:type="dxa" w:w="6026"/>
            <w:tcBorders>
              <w:top w:val="single" w:color="DDDDDD" w:sz="4"/>
              <w:left w:val="single" w:color="DDDDDD" w:sz="4"/>
              <w:bottom w:val="single" w:color="DDDDDD" w:sz="4"/>
              <w:right w:val="single" w:color="DDDDDD" w:sz="4"/>
            </w:tcBorders>
            <w:shd w:fill="006747" w:val="clear"/>
            <w:tcMar>
              <w:top w:type="dxa" w:w="80"/>
              <w:left w:type="dxa" w:w="160"/>
              <w:bottom w:type="dxa" w:w="80"/>
              <w:right w:type="dxa" w:w="160"/>
            </w:tcMar>
          </w:tcPr>
          <w:p>
            <w:r>
              <w:rPr>
                <w:rFonts w:ascii="Calibri" w:cs="Calibri" w:eastAsia="Calibri" w:hAnsi="Calibri"/>
                <w:b/>
                <w:bCs/>
                <w:color w:val="FFFFFF"/>
                <w:sz w:val="21"/>
                <w:szCs w:val="21"/>
              </w:rPr>
              <w:t xml:space="preserve">Replace with…</w:t>
            </w:r>
          </w:p>
        </w:tc>
      </w:tr>
      <w:tr>
        <w:tc>
          <w:tcPr>
            <w:tcW w:type="dxa" w:w="27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1"/>
                <w:szCs w:val="21"/>
              </w:rPr>
              <w:t xml:space="preserve">[YOUR COMPANY / DEPARTMENT NAME]</w:t>
            </w:r>
          </w:p>
        </w:tc>
        <w:tc>
          <w:tcPr>
            <w:tcW w:type="dxa" w:w="63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1"/>
                <w:szCs w:val="21"/>
              </w:rPr>
              <w:t xml:space="preserve">e.g., Grameenphone Ltd. / Ministry of Agriculture</w:t>
            </w:r>
          </w:p>
        </w:tc>
      </w:tr>
      <w:tr>
        <w:tc>
          <w:tcPr>
            <w:tcW w:type="dxa" w:w="27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1"/>
                <w:szCs w:val="21"/>
              </w:rPr>
              <w:t xml:space="preserve">[YOUR SECTOR]</w:t>
            </w:r>
          </w:p>
        </w:tc>
        <w:tc>
          <w:tcPr>
            <w:tcW w:type="dxa" w:w="6326"/>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1"/>
                <w:szCs w:val="21"/>
              </w:rPr>
              <w:t xml:space="preserve">e.g., Telecommunications / Rural Banking / Public Health</w:t>
            </w:r>
          </w:p>
        </w:tc>
      </w:tr>
      <w:tr>
        <w:tc>
          <w:tcPr>
            <w:tcW w:type="dxa" w:w="27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1"/>
                <w:szCs w:val="21"/>
              </w:rPr>
              <w:t xml:space="preserve">[EFFECTIVE DATE]</w:t>
            </w:r>
          </w:p>
        </w:tc>
        <w:tc>
          <w:tcPr>
            <w:tcW w:type="dxa" w:w="63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1"/>
                <w:szCs w:val="21"/>
              </w:rPr>
              <w:t xml:space="preserve">e.g., 1 January 2027</w:t>
            </w:r>
          </w:p>
        </w:tc>
      </w:tr>
      <w:tr>
        <w:tc>
          <w:tcPr>
            <w:tcW w:type="dxa" w:w="27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1"/>
                <w:szCs w:val="21"/>
              </w:rPr>
              <w:t xml:space="preserve">[AI COMPLIANCE OFFICER NAME]</w:t>
            </w:r>
          </w:p>
        </w:tc>
        <w:tc>
          <w:tcPr>
            <w:tcW w:type="dxa" w:w="6326"/>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1"/>
                <w:szCs w:val="21"/>
              </w:rPr>
              <w:t xml:space="preserve">Name and designation of the responsible officer</w:t>
            </w:r>
          </w:p>
        </w:tc>
      </w:tr>
    </w:tbl>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vAlign w:val="center"/>
          </w:tcPr>
          <w:p>
            <w:pPr>
              <w:jc w:val="center"/>
            </w:pPr>
            <w:r>
              <w:rPr>
                <w:sz w:val="28"/>
                <w:szCs w:val="28"/>
              </w:rPr>
              <w:t xml:space="preserve">💡</w:t>
            </w:r>
          </w:p>
        </w:tc>
        <w:tc>
          <w:tcPr>
            <w:tcW w:type="dxa" w:w="8666"/>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before="0" w:after="40"/>
            </w:pPr>
            <w:r>
              <w:rPr>
                <w:rFonts w:ascii="Calibri" w:cs="Calibri" w:eastAsia="Calibri" w:hAnsi="Calibri"/>
                <w:b/>
                <w:bCs/>
                <w:color w:val="7A5200"/>
                <w:sz w:val="22"/>
                <w:szCs w:val="22"/>
              </w:rPr>
              <w:t xml:space="preserve">Pro Tip — Policy Review Cycle</w:t>
            </w:r>
          </w:p>
          <w:p>
            <w:pPr>
              <w:spacing w:before="0" w:after="0"/>
            </w:pPr>
            <w:r>
              <w:rPr>
                <w:rFonts w:ascii="Calibri" w:cs="Calibri" w:eastAsia="Calibri" w:hAnsi="Calibri"/>
                <w:color w:val="5A3C00"/>
                <w:sz w:val="20"/>
                <w:szCs w:val="20"/>
              </w:rPr>
              <w:t xml:space="preserve">After generating the first draft, run a second prompt: "Review this policy for completeness against the NDGIA AI governance checklist and flag any missing provisions." This catches gaps before legal review.</w:t>
            </w:r>
          </w:p>
        </w:tc>
      </w:tr>
    </w:tbl>
    <w:p>
      <w:pPr>
        <w:spacing w:before="200" w:after="200"/>
        <w:jc w:val="left"/>
      </w:pPr>
      <w:r>
        <w:rPr>
          <w:rFonts w:ascii="Calibri" w:cs="Calibri" w:eastAsia="Calibri" w:hAnsi="Calibri"/>
          <w:b w:val="false"/>
          <w:bCs w:val="false"/>
          <w:i w:val="false"/>
          <w:iCs w:val="false"/>
          <w:color w:val="1A1A1A"/>
          <w:sz w:val="22"/>
          <w:szCs w:val="22"/>
        </w:rPr>
        <w:t xml:space="preserve"/>
      </w:r>
    </w:p>
    <w:p>
      <w:pPr>
        <w:shd w:fill="004D35" w:val="clear"/>
        <w:spacing w:before="320" w:after="160"/>
      </w:pPr>
      <w:r>
        <w:rPr>
          <w:rFonts w:ascii="Calibri" w:cs="Calibri" w:eastAsia="Calibri" w:hAnsi="Calibri"/>
          <w:b/>
          <w:bCs/>
          <w:color w:val="FFFFFF"/>
          <w:sz w:val="28"/>
          <w:szCs w:val="28"/>
        </w:rPr>
        <w:t xml:space="preserve">  Command 2 — Compliance Auditor</w:t>
      </w:r>
    </w:p>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200"/>
        <w:gridCol w:w="9566"/>
      </w:tblGrid>
      <w:tr>
        <w:tc>
          <w:tcPr>
            <w:tcW w:type="dxa" w:w="200"/>
            <w:tcBorders>
              <w:top w:val="none" w:color="FFFFFF" w:sz="0"/>
              <w:left w:val="none" w:color="FFFFFF" w:sz="0"/>
              <w:bottom w:val="none" w:color="FFFFFF" w:sz="0"/>
              <w:right w:val="none" w:color="FFFFFF" w:sz="0"/>
            </w:tcBorders>
            <w:shd w:fill="C8922A" w:val="clear"/>
          </w:tcPr>
          <w:p>
            <w:pPr>
              <w:spacing w:before="80" w:after="80"/>
              <w:jc w:val="left"/>
            </w:pPr>
            <w:r>
              <w:rPr>
                <w:rFonts w:ascii="Calibri" w:cs="Calibri" w:eastAsia="Calibri" w:hAnsi="Calibri"/>
                <w:b w:val="false"/>
                <w:bCs w:val="false"/>
                <w:i w:val="false"/>
                <w:iCs w:val="false"/>
                <w:color w:val="1A1A1A"/>
                <w:sz w:val="22"/>
                <w:szCs w:val="22"/>
              </w:rPr>
              <w:t xml:space="preserve"/>
            </w:r>
          </w:p>
        </w:tc>
        <w:tc>
          <w:tcPr>
            <w:tcW w:type="dxa" w:w="9566"/>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0" w:after="60"/>
            </w:pPr>
            <w:r>
              <w:rPr>
                <w:rFonts w:ascii="Calibri" w:cs="Calibri" w:eastAsia="Calibri" w:hAnsi="Calibri"/>
                <w:b/>
                <w:bCs/>
                <w:color w:val="1A1A1A"/>
                <w:sz w:val="22"/>
                <w:szCs w:val="22"/>
              </w:rPr>
              <w:t xml:space="preserve">Use this to audit an existing AI project or startup idea against Smart Bangladesh guidelines.</w:t>
            </w:r>
          </w:p>
          <w:p>
            <w:pPr>
              <w:spacing w:before="0" w:after="0"/>
            </w:pPr>
            <w:r>
              <w:rPr>
                <w:rFonts w:ascii="Calibri" w:cs="Calibri" w:eastAsia="Calibri" w:hAnsi="Calibri"/>
                <w:color w:val="4A4A4A"/>
                <w:sz w:val="21"/>
                <w:szCs w:val="21"/>
              </w:rPr>
              <w:t xml:space="preserve">Output: A compliance gap analysis with a prioritised action checklist, risk flags, and mandatory assessment requirements.</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The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D35" w:sz="4"/>
              <w:left w:val="single" w:color="004D35" w:sz="4"/>
              <w:bottom w:val="single" w:color="004D35" w:sz="4"/>
              <w:right w:val="single" w:color="004D35" w:sz="4"/>
            </w:tcBorders>
            <w:shd w:fill="EEF5F0" w:val="clear"/>
            <w:tcMar>
              <w:top w:type="dxa" w:w="160"/>
              <w:left w:type="dxa" w:w="200"/>
              <w:bottom w:type="dxa" w:w="160"/>
              <w:right w:type="dxa" w:w="200"/>
            </w:tcMar>
          </w:tcPr>
          <w:p>
            <w:pPr>
              <w:spacing w:before="0" w:after="0"/>
            </w:pPr>
            <w:r>
              <w:rPr>
                <w:rFonts w:ascii="Courier New" w:cs="Courier New" w:eastAsia="Courier New" w:hAnsi="Courier New"/>
                <w:color w:val="003322"/>
                <w:sz w:val="18"/>
                <w:szCs w:val="18"/>
              </w:rPr>
              <w:t xml:space="preserve">Act as a Legal and Technical AI Compliance Auditor specialising in Bangladesh's digital</w:t>
            </w:r>
          </w:p>
          <w:p>
            <w:pPr>
              <w:spacing w:before="40" w:after="0"/>
            </w:pPr>
            <w:r>
              <w:rPr>
                <w:rFonts w:ascii="Courier New" w:cs="Courier New" w:eastAsia="Courier New" w:hAnsi="Courier New"/>
                <w:color w:val="003322"/>
                <w:sz w:val="18"/>
                <w:szCs w:val="18"/>
              </w:rPr>
              <w:t xml:space="preserve">governance framework.</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I am developing an AI-driven [DESCRIBE YOUR SYSTEM, e.g., Credit Scoring / Crop Monitoring /</w:t>
            </w:r>
          </w:p>
          <w:p>
            <w:pPr>
              <w:spacing w:before="40" w:after="0"/>
            </w:pPr>
            <w:r>
              <w:rPr>
                <w:rFonts w:ascii="Courier New" w:cs="Courier New" w:eastAsia="Courier New" w:hAnsi="Courier New"/>
                <w:color w:val="003322"/>
                <w:sz w:val="18"/>
                <w:szCs w:val="18"/>
              </w:rPr>
              <w:t xml:space="preserve">Telemedicine Triage] system for the Bangladesh market targeting [TARGET POPULATION].</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Audit my project against:</w:t>
            </w:r>
          </w:p>
          <w:p>
            <w:pPr>
              <w:spacing w:before="40" w:after="0"/>
            </w:pPr>
            <w:r>
              <w:rPr>
                <w:rFonts w:ascii="Courier New" w:cs="Courier New" w:eastAsia="Courier New" w:hAnsi="Courier New"/>
                <w:color w:val="003322"/>
                <w:sz w:val="18"/>
                <w:szCs w:val="18"/>
              </w:rPr>
              <w:t xml:space="preserve">• National AI Policy 2026–2030 (v1.1)</w:t>
            </w:r>
          </w:p>
          <w:p>
            <w:pPr>
              <w:spacing w:before="40" w:after="0"/>
            </w:pPr>
            <w:r>
              <w:rPr>
                <w:rFonts w:ascii="Courier New" w:cs="Courier New" w:eastAsia="Courier New" w:hAnsi="Courier New"/>
                <w:color w:val="003322"/>
                <w:sz w:val="18"/>
                <w:szCs w:val="18"/>
              </w:rPr>
              <w:t xml:space="preserve">• Personal Data Protection Act (PDPA) 2025</w:t>
            </w:r>
          </w:p>
          <w:p>
            <w:pPr>
              <w:spacing w:before="40" w:after="0"/>
            </w:pPr>
            <w:r>
              <w:rPr>
                <w:rFonts w:ascii="Courier New" w:cs="Courier New" w:eastAsia="Courier New" w:hAnsi="Courier New"/>
                <w:color w:val="003322"/>
                <w:sz w:val="18"/>
                <w:szCs w:val="18"/>
              </w:rPr>
              <w:t xml:space="preserve">• Cyber Safety Ordinance 2025</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Audit Focus Area 1 — PROHIBITED CATEGORY CHECK:</w:t>
            </w:r>
          </w:p>
          <w:p>
            <w:pPr>
              <w:spacing w:before="40" w:after="0"/>
            </w:pPr>
            <w:r>
              <w:rPr>
                <w:rFonts w:ascii="Courier New" w:cs="Courier New" w:eastAsia="Courier New" w:hAnsi="Courier New"/>
                <w:color w:val="003322"/>
                <w:sz w:val="18"/>
                <w:szCs w:val="18"/>
              </w:rPr>
              <w:t xml:space="preserve">• Does my use of [LIST YOUR DATA TYPES, e.g., real-time biometric / NID / location data]</w:t>
            </w:r>
          </w:p>
          <w:p>
            <w:pPr>
              <w:spacing w:before="40" w:after="0"/>
            </w:pPr>
            <w:r>
              <w:rPr>
                <w:rFonts w:ascii="Courier New" w:cs="Courier New" w:eastAsia="Courier New" w:hAnsi="Courier New"/>
                <w:color w:val="003322"/>
                <w:sz w:val="18"/>
                <w:szCs w:val="18"/>
              </w:rPr>
              <w:t xml:space="preserve">  violate the Prohibited category?</w:t>
            </w:r>
          </w:p>
          <w:p>
            <w:pPr>
              <w:spacing w:before="40" w:after="0"/>
            </w:pPr>
            <w:r>
              <w:rPr>
                <w:rFonts w:ascii="Courier New" w:cs="Courier New" w:eastAsia="Courier New" w:hAnsi="Courier New"/>
                <w:color w:val="003322"/>
                <w:sz w:val="18"/>
                <w:szCs w:val="18"/>
              </w:rPr>
              <w:t xml:space="preserve">• Does my system risk being classified as mass surveillance or predictive profiling?</w:t>
            </w:r>
          </w:p>
          <w:p>
            <w:pPr>
              <w:spacing w:before="40" w:after="0"/>
            </w:pPr>
            <w:r>
              <w:rPr>
                <w:rFonts w:ascii="Courier New" w:cs="Courier New" w:eastAsia="Courier New" w:hAnsi="Courier New"/>
                <w:color w:val="003322"/>
                <w:sz w:val="18"/>
                <w:szCs w:val="18"/>
              </w:rPr>
              <w:t xml:space="preserve">• Provide a binary YES / NO verdict with legal citation for each finding.</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Audit Focus Area 2 — HIGH-RISK ASSESSMENT REQUIREMENTS:</w:t>
            </w:r>
          </w:p>
          <w:p>
            <w:pPr>
              <w:spacing w:before="40" w:after="0"/>
            </w:pPr>
            <w:r>
              <w:rPr>
                <w:rFonts w:ascii="Courier New" w:cs="Courier New" w:eastAsia="Courier New" w:hAnsi="Courier New"/>
                <w:color w:val="003322"/>
                <w:sz w:val="18"/>
                <w:szCs w:val="18"/>
              </w:rPr>
              <w:t xml:space="preserve">• List the mandatory Algorithmic Impact Assessments (AIAs) I must perform before launch.</w:t>
            </w:r>
          </w:p>
          <w:p>
            <w:pPr>
              <w:spacing w:before="40" w:after="0"/>
            </w:pPr>
            <w:r>
              <w:rPr>
                <w:rFonts w:ascii="Courier New" w:cs="Courier New" w:eastAsia="Courier New" w:hAnsi="Courier New"/>
                <w:color w:val="003322"/>
                <w:sz w:val="18"/>
                <w:szCs w:val="18"/>
              </w:rPr>
              <w:t xml:space="preserve">• Identify which of my use cases triggers the strict liability provisions under Section 4.11</w:t>
            </w:r>
          </w:p>
          <w:p>
            <w:pPr>
              <w:spacing w:before="40" w:after="0"/>
            </w:pPr>
            <w:r>
              <w:rPr>
                <w:rFonts w:ascii="Courier New" w:cs="Courier New" w:eastAsia="Courier New" w:hAnsi="Courier New"/>
                <w:color w:val="003322"/>
                <w:sz w:val="18"/>
                <w:szCs w:val="18"/>
              </w:rPr>
              <w:t xml:space="preserve">  of the National AI Policy.</w:t>
            </w:r>
          </w:p>
          <w:p>
            <w:pPr>
              <w:spacing w:before="40" w:after="0"/>
            </w:pPr>
            <w:r>
              <w:rPr>
                <w:rFonts w:ascii="Courier New" w:cs="Courier New" w:eastAsia="Courier New" w:hAnsi="Courier New"/>
                <w:color w:val="003322"/>
                <w:sz w:val="18"/>
                <w:szCs w:val="18"/>
              </w:rPr>
              <w:t xml:space="preserve">• What evidence preservation obligations apply (minimum retention period)?</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Audit Focus Area 3 — EXPLAINABLE AI (XAI) FOR LOW-LITERACY POPULATIONS:</w:t>
            </w:r>
          </w:p>
          <w:p>
            <w:pPr>
              <w:spacing w:before="40" w:after="0"/>
            </w:pPr>
            <w:r>
              <w:rPr>
                <w:rFonts w:ascii="Courier New" w:cs="Courier New" w:eastAsia="Courier New" w:hAnsi="Courier New"/>
                <w:color w:val="003322"/>
                <w:sz w:val="18"/>
                <w:szCs w:val="18"/>
              </w:rPr>
              <w:t xml:space="preserve">• How should I implement explainability for users with varying digital literacy levels?</w:t>
            </w:r>
          </w:p>
          <w:p>
            <w:pPr>
              <w:spacing w:before="40" w:after="0"/>
            </w:pPr>
            <w:r>
              <w:rPr>
                <w:rFonts w:ascii="Courier New" w:cs="Courier New" w:eastAsia="Courier New" w:hAnsi="Courier New"/>
                <w:color w:val="003322"/>
                <w:sz w:val="18"/>
                <w:szCs w:val="18"/>
              </w:rPr>
              <w:t xml:space="preserve">• Provide 3 practical XAI methods appropriate for rural Bangladesh users.</w:t>
            </w:r>
          </w:p>
          <w:p>
            <w:pPr>
              <w:spacing w:before="40" w:after="0"/>
            </w:pPr>
            <w:r>
              <w:rPr>
                <w:rFonts w:ascii="Courier New" w:cs="Courier New" w:eastAsia="Courier New" w:hAnsi="Courier New"/>
                <w:color w:val="003322"/>
                <w:sz w:val="18"/>
                <w:szCs w:val="18"/>
              </w:rPr>
              <w:t xml:space="preserve">• What language and accessibility requirements must my explanations meet?</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Audit Focus Area 4 — DATA SOVEREIGNTY COMPLIANCE:</w:t>
            </w:r>
          </w:p>
          <w:p>
            <w:pPr>
              <w:spacing w:before="40" w:after="0"/>
            </w:pPr>
            <w:r>
              <w:rPr>
                <w:rFonts w:ascii="Courier New" w:cs="Courier New" w:eastAsia="Courier New" w:hAnsi="Courier New"/>
                <w:color w:val="003322"/>
                <w:sz w:val="18"/>
                <w:szCs w:val="18"/>
              </w:rPr>
              <w:t xml:space="preserve">• Which data elements in my system must be stored on local BD servers?</w:t>
            </w:r>
          </w:p>
          <w:p>
            <w:pPr>
              <w:spacing w:before="40" w:after="0"/>
            </w:pPr>
            <w:r>
              <w:rPr>
                <w:rFonts w:ascii="Courier New" w:cs="Courier New" w:eastAsia="Courier New" w:hAnsi="Courier New"/>
                <w:color w:val="003322"/>
                <w:sz w:val="18"/>
                <w:szCs w:val="18"/>
              </w:rPr>
              <w:t xml:space="preserve">• What conditions apply if I process data on foreign cloud infrastructure?</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Deliver: A 5-step compliance checklist ordered by priority, with estimated effort</w:t>
            </w:r>
          </w:p>
          <w:p>
            <w:pPr>
              <w:spacing w:before="40" w:after="0"/>
            </w:pPr>
            <w:r>
              <w:rPr>
                <w:rFonts w:ascii="Courier New" w:cs="Courier New" w:eastAsia="Courier New" w:hAnsi="Courier New"/>
                <w:color w:val="003322"/>
                <w:sz w:val="18"/>
                <w:szCs w:val="18"/>
              </w:rPr>
              <w:t xml:space="preserve">(Low / Medium / High) and the regulatory deadline for each step.</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Compliance Checklist Template (Pre-filled for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900"/>
        <w:gridCol w:w="3226"/>
      </w:tblGrid>
      <w:tr>
        <w:tc>
          <w:tcPr>
            <w:tcW w:type="dxa" w:w="400"/>
            <w:tcBorders>
              <w:top w:val="single" w:color="006747" w:sz="4"/>
              <w:left w:val="single" w:color="006747" w:sz="4"/>
              <w:bottom w:val="single" w:color="006747" w:sz="4"/>
              <w:right w:val="single" w:color="006747" w:sz="4"/>
            </w:tcBorders>
            <w:shd w:fill="006747"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w:t>
            </w:r>
          </w:p>
        </w:tc>
        <w:tc>
          <w:tcPr>
            <w:tcW w:type="dxa" w:w="4500"/>
            <w:tcBorders>
              <w:top w:val="single" w:color="006747" w:sz="4"/>
              <w:left w:val="single" w:color="006747" w:sz="4"/>
              <w:bottom w:val="single" w:color="006747" w:sz="4"/>
              <w:right w:val="single" w:color="006747" w:sz="4"/>
            </w:tcBorders>
            <w:shd w:fill="006747" w:val="clear"/>
            <w:tcMar>
              <w:top w:type="dxa" w:w="100"/>
              <w:left w:type="dxa" w:w="160"/>
              <w:bottom w:type="dxa" w:w="100"/>
              <w:right w:type="dxa" w:w="160"/>
            </w:tcMar>
          </w:tcPr>
          <w:p>
            <w:r>
              <w:rPr>
                <w:rFonts w:ascii="Calibri" w:cs="Calibri" w:eastAsia="Calibri" w:hAnsi="Calibri"/>
                <w:b/>
                <w:bCs/>
                <w:color w:val="FFFFFF"/>
                <w:sz w:val="21"/>
                <w:szCs w:val="21"/>
              </w:rPr>
              <w:t xml:space="preserve">Compliance Step</w:t>
            </w:r>
          </w:p>
        </w:tc>
        <w:tc>
          <w:tcPr>
            <w:tcW w:type="dxa" w:w="900"/>
            <w:tcBorders>
              <w:top w:val="single" w:color="006747" w:sz="4"/>
              <w:left w:val="single" w:color="006747" w:sz="4"/>
              <w:bottom w:val="single" w:color="006747" w:sz="4"/>
              <w:right w:val="single" w:color="006747" w:sz="4"/>
            </w:tcBorders>
            <w:shd w:fill="006747"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c>
          <w:tcPr>
            <w:tcW w:type="dxa" w:w="3226"/>
            <w:tcBorders>
              <w:top w:val="single" w:color="006747" w:sz="4"/>
              <w:left w:val="single" w:color="006747" w:sz="4"/>
              <w:bottom w:val="single" w:color="006747" w:sz="4"/>
              <w:right w:val="single" w:color="006747" w:sz="4"/>
            </w:tcBorders>
            <w:shd w:fill="006747" w:val="clear"/>
            <w:tcMar>
              <w:top w:type="dxa" w:w="100"/>
              <w:left w:type="dxa" w:w="120"/>
              <w:bottom w:type="dxa" w:w="100"/>
              <w:right w:type="dxa" w:w="120"/>
            </w:tcMar>
          </w:tcPr>
          <w:p>
            <w:r>
              <w:rPr>
                <w:rFonts w:ascii="Calibri" w:cs="Calibri" w:eastAsia="Calibri" w:hAnsi="Calibri"/>
                <w:b/>
                <w:bCs/>
                <w:color w:val="FFFFFF"/>
                <w:sz w:val="21"/>
                <w:szCs w:val="21"/>
              </w:rPr>
              <w:t xml:space="preserve">Status</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1</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Prohibited Category Screening</w:t>
            </w:r>
          </w:p>
          <w:p>
            <w:pPr>
              <w:spacing w:before="0" w:after="0"/>
            </w:pPr>
            <w:r>
              <w:rPr>
                <w:rFonts w:ascii="Calibri" w:cs="Calibri" w:eastAsia="Calibri" w:hAnsi="Calibri"/>
                <w:color w:val="4A4A4A"/>
                <w:sz w:val="20"/>
                <w:szCs w:val="20"/>
              </w:rPr>
              <w:t xml:space="preserve">Confirm no use case falls under banned AI practices (social scoring, mass surveillance, deepfakes)</w:t>
            </w:r>
          </w:p>
        </w:tc>
        <w:tc>
          <w:tcPr>
            <w:tcW w:type="dxa" w:w="9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HIGH</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2</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Algorithmic Impact Assessment (AIA)</w:t>
            </w:r>
          </w:p>
          <w:p>
            <w:pPr>
              <w:spacing w:before="0" w:after="0"/>
            </w:pPr>
            <w:r>
              <w:rPr>
                <w:rFonts w:ascii="Calibri" w:cs="Calibri" w:eastAsia="Calibri" w:hAnsi="Calibri"/>
                <w:color w:val="4A4A4A"/>
                <w:sz w:val="20"/>
                <w:szCs w:val="20"/>
              </w:rPr>
              <w:t xml:space="preserve">Complete AIA for all high-risk components before deployment. Document findings.</w:t>
            </w:r>
          </w:p>
        </w:tc>
        <w:tc>
          <w:tcPr>
            <w:tcW w:type="dxa" w:w="9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HIGH</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3</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Data Localisation Audit</w:t>
            </w:r>
          </w:p>
          <w:p>
            <w:pPr>
              <w:spacing w:before="0" w:after="0"/>
            </w:pPr>
            <w:r>
              <w:rPr>
                <w:rFonts w:ascii="Calibri" w:cs="Calibri" w:eastAsia="Calibri" w:hAnsi="Calibri"/>
                <w:color w:val="4A4A4A"/>
                <w:sz w:val="20"/>
                <w:szCs w:val="20"/>
              </w:rPr>
              <w:t xml:space="preserve">Map all data flows. Ensure sensitive citizen data hosted on BD-registered infrastructure.</w:t>
            </w:r>
          </w:p>
        </w:tc>
        <w:tc>
          <w:tcPr>
            <w:tcW w:type="dxa" w:w="9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HIGH</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4</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Explainability Framework</w:t>
            </w:r>
          </w:p>
          <w:p>
            <w:pPr>
              <w:spacing w:before="0" w:after="0"/>
            </w:pPr>
            <w:r>
              <w:rPr>
                <w:rFonts w:ascii="Calibri" w:cs="Calibri" w:eastAsia="Calibri" w:hAnsi="Calibri"/>
                <w:color w:val="4A4A4A"/>
                <w:sz w:val="20"/>
                <w:szCs w:val="20"/>
              </w:rPr>
              <w:t xml:space="preserve">Implement counterfactual explanations + Bangla-language plain-text summaries for all decisions.</w:t>
            </w:r>
          </w:p>
        </w:tc>
        <w:tc>
          <w:tcPr>
            <w:tcW w:type="dxa" w:w="900"/>
            <w:tcBorders>
              <w:top w:val="single" w:color="DDDDDD" w:sz="4"/>
              <w:left w:val="single" w:color="DDDDDD" w:sz="4"/>
              <w:bottom w:val="single" w:color="DDDDDD" w:sz="4"/>
              <w:right w:val="single" w:color="DDDDDD" w:sz="4"/>
            </w:tcBorders>
            <w:shd w:fill="FEF5E7" w:val="clear"/>
            <w:tcMar>
              <w:top w:type="dxa" w:w="80"/>
              <w:left w:type="dxa" w:w="120"/>
              <w:bottom w:type="dxa" w:w="80"/>
              <w:right w:type="dxa" w:w="120"/>
            </w:tcMar>
            <w:vAlign w:val="center"/>
          </w:tcPr>
          <w:p>
            <w:pPr>
              <w:jc w:val="center"/>
            </w:pPr>
            <w:r>
              <w:rPr>
                <w:rFonts w:ascii="Calibri" w:cs="Calibri" w:eastAsia="Calibri" w:hAnsi="Calibri"/>
                <w:b/>
                <w:bCs/>
                <w:color w:val="E67E22"/>
                <w:sz w:val="18"/>
                <w:szCs w:val="18"/>
              </w:rPr>
              <w:t xml:space="preserve">MED</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5</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Evidence Preservation Setup</w:t>
            </w:r>
          </w:p>
          <w:p>
            <w:pPr>
              <w:spacing w:before="0" w:after="0"/>
            </w:pPr>
            <w:r>
              <w:rPr>
                <w:rFonts w:ascii="Calibri" w:cs="Calibri" w:eastAsia="Calibri" w:hAnsi="Calibri"/>
                <w:color w:val="4A4A4A"/>
                <w:sz w:val="20"/>
                <w:szCs w:val="20"/>
              </w:rPr>
              <w:t xml:space="preserve">Configure 5-year retention for model versions, inference logs, and decision records.</w:t>
            </w:r>
          </w:p>
        </w:tc>
        <w:tc>
          <w:tcPr>
            <w:tcW w:type="dxa" w:w="900"/>
            <w:tcBorders>
              <w:top w:val="single" w:color="DDDDDD" w:sz="4"/>
              <w:left w:val="single" w:color="DDDDDD" w:sz="4"/>
              <w:bottom w:val="single" w:color="DDDDDD" w:sz="4"/>
              <w:right w:val="single" w:color="DDDDDD" w:sz="4"/>
            </w:tcBorders>
            <w:shd w:fill="FEF5E7" w:val="clear"/>
            <w:tcMar>
              <w:top w:type="dxa" w:w="80"/>
              <w:left w:type="dxa" w:w="120"/>
              <w:bottom w:type="dxa" w:w="80"/>
              <w:right w:type="dxa" w:w="120"/>
            </w:tcMar>
            <w:vAlign w:val="center"/>
          </w:tcPr>
          <w:p>
            <w:pPr>
              <w:jc w:val="center"/>
            </w:pPr>
            <w:r>
              <w:rPr>
                <w:rFonts w:ascii="Calibri" w:cs="Calibri" w:eastAsia="Calibri" w:hAnsi="Calibri"/>
                <w:b/>
                <w:bCs/>
                <w:color w:val="E67E22"/>
                <w:sz w:val="18"/>
                <w:szCs w:val="18"/>
              </w:rPr>
              <w:t xml:space="preserve">MED</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6</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Bangla NLP Validation</w:t>
            </w:r>
          </w:p>
          <w:p>
            <w:pPr>
              <w:spacing w:before="0" w:after="0"/>
            </w:pPr>
            <w:r>
              <w:rPr>
                <w:rFonts w:ascii="Calibri" w:cs="Calibri" w:eastAsia="Calibri" w:hAnsi="Calibri"/>
                <w:color w:val="4A4A4A"/>
                <w:sz w:val="20"/>
                <w:szCs w:val="20"/>
              </w:rPr>
              <w:t xml:space="preserve">Test all citizen-facing outputs for Bangla accuracy with at least 3 regional dialect samples.</w:t>
            </w:r>
          </w:p>
        </w:tc>
        <w:tc>
          <w:tcPr>
            <w:tcW w:type="dxa" w:w="900"/>
            <w:tcBorders>
              <w:top w:val="single" w:color="DDDDDD" w:sz="4"/>
              <w:left w:val="single" w:color="DDDDDD" w:sz="4"/>
              <w:bottom w:val="single" w:color="DDDDDD" w:sz="4"/>
              <w:right w:val="single" w:color="DDDDDD" w:sz="4"/>
            </w:tcBorders>
            <w:shd w:fill="FEF5E7" w:val="clear"/>
            <w:tcMar>
              <w:top w:type="dxa" w:w="80"/>
              <w:left w:type="dxa" w:w="120"/>
              <w:bottom w:type="dxa" w:w="80"/>
              <w:right w:type="dxa" w:w="120"/>
            </w:tcMar>
            <w:vAlign w:val="center"/>
          </w:tcPr>
          <w:p>
            <w:pPr>
              <w:jc w:val="center"/>
            </w:pPr>
            <w:r>
              <w:rPr>
                <w:rFonts w:ascii="Calibri" w:cs="Calibri" w:eastAsia="Calibri" w:hAnsi="Calibri"/>
                <w:b/>
                <w:bCs/>
                <w:color w:val="E67E22"/>
                <w:sz w:val="18"/>
                <w:szCs w:val="18"/>
              </w:rPr>
              <w:t xml:space="preserve">MED</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r>
        <w:tc>
          <w:tcPr>
            <w:tcW w:type="dxa" w:w="400"/>
            <w:tcBorders>
              <w:top w:val="single" w:color="DDDDDD" w:sz="4"/>
              <w:left w:val="single" w:color="DDDDDD" w:sz="4"/>
              <w:bottom w:val="single" w:color="DDDDDD" w:sz="4"/>
              <w:right w:val="single" w:color="DDDDDD" w:sz="4"/>
            </w:tcBorders>
            <w:shd w:fill="F2F4F0" w:val="clear"/>
            <w:tcMar>
              <w:top w:type="dxa" w:w="80"/>
              <w:left w:type="dxa" w:w="120"/>
              <w:bottom w:type="dxa" w:w="80"/>
              <w:right w:type="dxa" w:w="120"/>
            </w:tcMar>
            <w:vAlign w:val="center"/>
          </w:tcPr>
          <w:p>
            <w:pPr>
              <w:jc w:val="center"/>
            </w:pPr>
            <w:r>
              <w:rPr>
                <w:rFonts w:ascii="Calibri" w:cs="Calibri" w:eastAsia="Calibri" w:hAnsi="Calibri"/>
                <w:b/>
                <w:bCs/>
                <w:color w:val="006747"/>
                <w:sz w:val="22"/>
                <w:szCs w:val="22"/>
              </w:rPr>
              <w:t xml:space="preserve">7</w:t>
            </w:r>
          </w:p>
        </w:tc>
        <w:tc>
          <w:tcPr>
            <w:tcW w:type="dxa" w:w="45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before="0" w:after="40"/>
            </w:pPr>
            <w:r>
              <w:rPr>
                <w:rFonts w:ascii="Calibri" w:cs="Calibri" w:eastAsia="Calibri" w:hAnsi="Calibri"/>
                <w:b/>
                <w:bCs/>
                <w:color w:val="1A1A1A"/>
                <w:sz w:val="22"/>
                <w:szCs w:val="22"/>
              </w:rPr>
              <w:t xml:space="preserve">Human Override Protocol</w:t>
            </w:r>
          </w:p>
          <w:p>
            <w:pPr>
              <w:spacing w:before="0" w:after="0"/>
            </w:pPr>
            <w:r>
              <w:rPr>
                <w:rFonts w:ascii="Calibri" w:cs="Calibri" w:eastAsia="Calibri" w:hAnsi="Calibri"/>
                <w:color w:val="4A4A4A"/>
                <w:sz w:val="20"/>
                <w:szCs w:val="20"/>
              </w:rPr>
              <w:t xml:space="preserve">Ensure every high-stakes automated decision has a documented human review pathway.</w:t>
            </w:r>
          </w:p>
        </w:tc>
        <w:tc>
          <w:tcPr>
            <w:tcW w:type="dxa" w:w="900"/>
            <w:tcBorders>
              <w:top w:val="single" w:color="DDDDDD" w:sz="4"/>
              <w:left w:val="single" w:color="DDDDDD" w:sz="4"/>
              <w:bottom w:val="single" w:color="DDDDDD" w:sz="4"/>
              <w:right w:val="single" w:color="DDDDDD" w:sz="4"/>
            </w:tcBorders>
            <w:shd w:fill="EAFAF1" w:val="clear"/>
            <w:tcMar>
              <w:top w:type="dxa" w:w="80"/>
              <w:left w:type="dxa" w:w="120"/>
              <w:bottom w:type="dxa" w:w="80"/>
              <w:right w:type="dxa" w:w="120"/>
            </w:tcMar>
            <w:vAlign w:val="center"/>
          </w:tcPr>
          <w:p>
            <w:pPr>
              <w:jc w:val="center"/>
            </w:pPr>
            <w:r>
              <w:rPr>
                <w:rFonts w:ascii="Calibri" w:cs="Calibri" w:eastAsia="Calibri" w:hAnsi="Calibri"/>
                <w:b/>
                <w:bCs/>
                <w:color w:val="27AE60"/>
                <w:sz w:val="18"/>
                <w:szCs w:val="18"/>
              </w:rPr>
              <w:t xml:space="preserve">LOW</w:t>
            </w:r>
          </w:p>
        </w:tc>
        <w:tc>
          <w:tcPr>
            <w:tcW w:type="dxa" w:w="3226"/>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rFonts w:ascii="Calibri" w:cs="Calibri" w:eastAsia="Calibri" w:hAnsi="Calibri"/>
                <w:color w:val="4A4A4A"/>
                <w:sz w:val="20"/>
                <w:szCs w:val="20"/>
              </w:rPr>
              <w:t xml:space="preserve">☐  Completed</w:t>
            </w:r>
          </w:p>
        </w:tc>
      </w:tr>
    </w:tbl>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vAlign w:val="center"/>
          </w:tcPr>
          <w:p>
            <w:pPr>
              <w:jc w:val="center"/>
            </w:pPr>
            <w:r>
              <w:rPr>
                <w:sz w:val="28"/>
                <w:szCs w:val="28"/>
              </w:rPr>
              <w:t xml:space="preserve">💡</w:t>
            </w:r>
          </w:p>
        </w:tc>
        <w:tc>
          <w:tcPr>
            <w:tcW w:type="dxa" w:w="8666"/>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before="0" w:after="40"/>
            </w:pPr>
            <w:r>
              <w:rPr>
                <w:rFonts w:ascii="Calibri" w:cs="Calibri" w:eastAsia="Calibri" w:hAnsi="Calibri"/>
                <w:b/>
                <w:bCs/>
                <w:color w:val="7A5200"/>
                <w:sz w:val="22"/>
                <w:szCs w:val="22"/>
              </w:rPr>
              <w:t xml:space="preserve">Red Flag — July Revolution Context</w:t>
            </w:r>
          </w:p>
          <w:p>
            <w:pPr>
              <w:spacing w:before="0" w:after="0"/>
            </w:pPr>
            <w:r>
              <w:rPr>
                <w:rFonts w:ascii="Calibri" w:cs="Calibri" w:eastAsia="Calibri" w:hAnsi="Calibri"/>
                <w:color w:val="5A3C00"/>
                <w:sz w:val="20"/>
                <w:szCs w:val="20"/>
              </w:rPr>
              <w:t xml:space="preserve">Since 2024, the BD regulatory environment is especially sensitive to surveillance framing. If your system collects location data, behavioural patterns, or social network information at scale, Claude will likely flag it as requiring judicial authorisation. Reframe your use case around 'service personalisation' not 'monitoring' in your prompt.</w:t>
            </w:r>
          </w:p>
        </w:tc>
      </w:tr>
    </w:tbl>
    <w:p>
      <w:pPr>
        <w:spacing w:before="200" w:after="200"/>
        <w:jc w:val="left"/>
      </w:pPr>
      <w:r>
        <w:rPr>
          <w:rFonts w:ascii="Calibri" w:cs="Calibri" w:eastAsia="Calibri" w:hAnsi="Calibri"/>
          <w:b w:val="false"/>
          <w:bCs w:val="false"/>
          <w:i w:val="false"/>
          <w:iCs w:val="false"/>
          <w:color w:val="1A1A1A"/>
          <w:sz w:val="22"/>
          <w:szCs w:val="22"/>
        </w:rPr>
        <w:t xml:space="preserve"/>
      </w:r>
    </w:p>
    <w:p>
      <w:pPr>
        <w:shd w:fill="004D35" w:val="clear"/>
        <w:spacing w:before="320" w:after="160"/>
      </w:pPr>
      <w:r>
        <w:rPr>
          <w:rFonts w:ascii="Calibri" w:cs="Calibri" w:eastAsia="Calibri" w:hAnsi="Calibri"/>
          <w:b/>
          <w:bCs/>
          <w:color w:val="FFFFFF"/>
          <w:sz w:val="28"/>
          <w:szCs w:val="28"/>
        </w:rPr>
        <w:t xml:space="preserve">  Command 3 — Strategic Implementation Roadmap</w:t>
      </w:r>
    </w:p>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200"/>
        <w:gridCol w:w="9566"/>
      </w:tblGrid>
      <w:tr>
        <w:tc>
          <w:tcPr>
            <w:tcW w:type="dxa" w:w="200"/>
            <w:tcBorders>
              <w:top w:val="none" w:color="FFFFFF" w:sz="0"/>
              <w:left w:val="none" w:color="FFFFFF" w:sz="0"/>
              <w:bottom w:val="none" w:color="FFFFFF" w:sz="0"/>
              <w:right w:val="none" w:color="FFFFFF" w:sz="0"/>
            </w:tcBorders>
            <w:shd w:fill="2980B9" w:val="clear"/>
          </w:tcPr>
          <w:p>
            <w:pPr>
              <w:spacing w:before="80" w:after="80"/>
              <w:jc w:val="left"/>
            </w:pPr>
            <w:r>
              <w:rPr>
                <w:rFonts w:ascii="Calibri" w:cs="Calibri" w:eastAsia="Calibri" w:hAnsi="Calibri"/>
                <w:b w:val="false"/>
                <w:bCs w:val="false"/>
                <w:i w:val="false"/>
                <w:iCs w:val="false"/>
                <w:color w:val="1A1A1A"/>
                <w:sz w:val="22"/>
                <w:szCs w:val="22"/>
              </w:rPr>
              <w:t xml:space="preserve"/>
            </w:r>
          </w:p>
        </w:tc>
        <w:tc>
          <w:tcPr>
            <w:tcW w:type="dxa" w:w="9566"/>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0" w:after="60"/>
            </w:pPr>
            <w:r>
              <w:rPr>
                <w:rFonts w:ascii="Calibri" w:cs="Calibri" w:eastAsia="Calibri" w:hAnsi="Calibri"/>
                <w:b/>
                <w:bCs/>
                <w:color w:val="1A1A1A"/>
                <w:sz w:val="22"/>
                <w:szCs w:val="22"/>
              </w:rPr>
              <w:t xml:space="preserve">Use this to generate a sector-specific AI implementation roadmap with SOPs for staff.</w:t>
            </w:r>
          </w:p>
          <w:p>
            <w:pPr>
              <w:spacing w:before="0" w:after="0"/>
            </w:pPr>
            <w:r>
              <w:rPr>
                <w:rFonts w:ascii="Calibri" w:cs="Calibri" w:eastAsia="Calibri" w:hAnsi="Calibri"/>
                <w:color w:val="4A4A4A"/>
                <w:sz w:val="21"/>
                <w:szCs w:val="21"/>
              </w:rPr>
              <w:t xml:space="preserve">Output: A phased implementation roadmap, gap analysis on talent and infrastructure, local dataset strategy, and a staff Standard Operating Procedure for using LLMs at work.</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The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D35" w:sz="4"/>
              <w:left w:val="single" w:color="004D35" w:sz="4"/>
              <w:bottom w:val="single" w:color="004D35" w:sz="4"/>
              <w:right w:val="single" w:color="004D35" w:sz="4"/>
            </w:tcBorders>
            <w:shd w:fill="EEF5F0" w:val="clear"/>
            <w:tcMar>
              <w:top w:type="dxa" w:w="160"/>
              <w:left w:type="dxa" w:w="200"/>
              <w:bottom w:type="dxa" w:w="160"/>
              <w:right w:type="dxa" w:w="200"/>
            </w:tcMar>
          </w:tcPr>
          <w:p>
            <w:pPr>
              <w:spacing w:before="0" w:after="0"/>
            </w:pPr>
            <w:r>
              <w:rPr>
                <w:rFonts w:ascii="Courier New" w:cs="Courier New" w:eastAsia="Courier New" w:hAnsi="Courier New"/>
                <w:color w:val="003322"/>
                <w:sz w:val="18"/>
                <w:szCs w:val="18"/>
              </w:rPr>
              <w:t xml:space="preserve">Act as a Digital Transformation Strategist with deep expertise in Bangladesh's ICT landscape.</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Organisation: [ORGANISATION NAME]</w:t>
            </w:r>
          </w:p>
          <w:p>
            <w:pPr>
              <w:spacing w:before="40" w:after="0"/>
            </w:pPr>
            <w:r>
              <w:rPr>
                <w:rFonts w:ascii="Courier New" w:cs="Courier New" w:eastAsia="Courier New" w:hAnsi="Courier New"/>
                <w:color w:val="003322"/>
                <w:sz w:val="18"/>
                <w:szCs w:val="18"/>
              </w:rPr>
              <w:t xml:space="preserve">Sector: [SELECT ONE: Public Service / Manufacturing / Agriculture / Smart Mobility / Education /</w:t>
            </w:r>
          </w:p>
          <w:p>
            <w:pPr>
              <w:spacing w:before="40" w:after="0"/>
            </w:pPr>
            <w:r>
              <w:rPr>
                <w:rFonts w:ascii="Courier New" w:cs="Courier New" w:eastAsia="Courier New" w:hAnsi="Courier New"/>
                <w:color w:val="003322"/>
                <w:sz w:val="18"/>
                <w:szCs w:val="18"/>
              </w:rPr>
              <w:t xml:space="preserve">         Healthcare / Finance]</w:t>
            </w:r>
          </w:p>
          <w:p>
            <w:pPr>
              <w:spacing w:before="40" w:after="0"/>
            </w:pPr>
            <w:r>
              <w:rPr>
                <w:rFonts w:ascii="Courier New" w:cs="Courier New" w:eastAsia="Courier New" w:hAnsi="Courier New"/>
                <w:color w:val="003322"/>
                <w:sz w:val="18"/>
                <w:szCs w:val="18"/>
              </w:rPr>
              <w:t xml:space="preserve">Organisation Size: [SMALL / MEDIUM / LARGE]</w:t>
            </w:r>
          </w:p>
          <w:p>
            <w:pPr>
              <w:spacing w:before="40" w:after="0"/>
            </w:pPr>
            <w:r>
              <w:rPr>
                <w:rFonts w:ascii="Courier New" w:cs="Courier New" w:eastAsia="Courier New" w:hAnsi="Courier New"/>
                <w:color w:val="003322"/>
                <w:sz w:val="18"/>
                <w:szCs w:val="18"/>
              </w:rPr>
              <w:t xml:space="preserve">Current Digital Maturity: [BASIC / INTERMEDIATE / ADVANCED]</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Design a phased Generative AI implementation roadmap (2026–2030) that adheres to the</w:t>
            </w:r>
          </w:p>
          <w:p>
            <w:pPr>
              <w:spacing w:before="40" w:after="0"/>
            </w:pPr>
            <w:r>
              <w:rPr>
                <w:rFonts w:ascii="Courier New" w:cs="Courier New" w:eastAsia="Courier New" w:hAnsi="Courier New"/>
                <w:color w:val="003322"/>
                <w:sz w:val="18"/>
                <w:szCs w:val="18"/>
              </w:rPr>
              <w:t xml:space="preserve">Human-Centric principle of the Bangladesh National AI Policy.</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SECTION 1 — GAP ANALYSIS:</w:t>
            </w:r>
          </w:p>
          <w:p>
            <w:pPr>
              <w:spacing w:before="40" w:after="0"/>
            </w:pPr>
            <w:r>
              <w:rPr>
                <w:rFonts w:ascii="Courier New" w:cs="Courier New" w:eastAsia="Courier New" w:hAnsi="Courier New"/>
                <w:color w:val="003322"/>
                <w:sz w:val="18"/>
                <w:szCs w:val="18"/>
              </w:rPr>
              <w:t xml:space="preserve">• Identify the top 3 AI talent gaps for this sector in Bangladesh and propose solutions</w:t>
            </w:r>
          </w:p>
          <w:p>
            <w:pPr>
              <w:spacing w:before="40" w:after="0"/>
            </w:pPr>
            <w:r>
              <w:rPr>
                <w:rFonts w:ascii="Courier New" w:cs="Courier New" w:eastAsia="Courier New" w:hAnsi="Courier New"/>
                <w:color w:val="003322"/>
                <w:sz w:val="18"/>
                <w:szCs w:val="18"/>
              </w:rPr>
              <w:t xml:space="preserve">  (local training, diaspora return programme, upskilling).</w:t>
            </w:r>
          </w:p>
          <w:p>
            <w:pPr>
              <w:spacing w:before="40" w:after="0"/>
            </w:pPr>
            <w:r>
              <w:rPr>
                <w:rFonts w:ascii="Courier New" w:cs="Courier New" w:eastAsia="Courier New" w:hAnsi="Courier New"/>
                <w:color w:val="003322"/>
                <w:sz w:val="18"/>
                <w:szCs w:val="18"/>
              </w:rPr>
              <w:t xml:space="preserve">• Assess GPU/compute scarcity: what shared infrastructure options exist via the National</w:t>
            </w:r>
          </w:p>
          <w:p>
            <w:pPr>
              <w:spacing w:before="40" w:after="0"/>
            </w:pPr>
            <w:r>
              <w:rPr>
                <w:rFonts w:ascii="Courier New" w:cs="Courier New" w:eastAsia="Courier New" w:hAnsi="Courier New"/>
                <w:color w:val="003322"/>
                <w:sz w:val="18"/>
                <w:szCs w:val="18"/>
              </w:rPr>
              <w:t xml:space="preserve">  Data Center or Asia-Pacific regional agreements?</w:t>
            </w:r>
          </w:p>
          <w:p>
            <w:pPr>
              <w:spacing w:before="40" w:after="0"/>
            </w:pPr>
            <w:r>
              <w:rPr>
                <w:rFonts w:ascii="Courier New" w:cs="Courier New" w:eastAsia="Courier New" w:hAnsi="Courier New"/>
                <w:color w:val="003322"/>
                <w:sz w:val="18"/>
                <w:szCs w:val="18"/>
              </w:rPr>
              <w:t xml:space="preserve">• What open-source or locally available datasets can reduce dependence on Western training data?</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SECTION 2 — PHASED ROADMAP:</w:t>
            </w:r>
          </w:p>
          <w:p>
            <w:pPr>
              <w:spacing w:before="40" w:after="0"/>
            </w:pPr>
            <w:r>
              <w:rPr>
                <w:rFonts w:ascii="Courier New" w:cs="Courier New" w:eastAsia="Courier New" w:hAnsi="Courier New"/>
                <w:color w:val="003322"/>
                <w:sz w:val="18"/>
                <w:szCs w:val="18"/>
              </w:rPr>
              <w:t xml:space="preserve">Phase 1 (2026): Foundation — regulatory compliance, staff training, pilot projects.</w:t>
            </w:r>
          </w:p>
          <w:p>
            <w:pPr>
              <w:spacing w:before="40" w:after="0"/>
            </w:pPr>
            <w:r>
              <w:rPr>
                <w:rFonts w:ascii="Courier New" w:cs="Courier New" w:eastAsia="Courier New" w:hAnsi="Courier New"/>
                <w:color w:val="003322"/>
                <w:sz w:val="18"/>
                <w:szCs w:val="18"/>
              </w:rPr>
              <w:t xml:space="preserve">Phase 2 (2027–28): Scale — deploy AI in 2 priority service areas, integrate with NDGIA APIs.</w:t>
            </w:r>
          </w:p>
          <w:p>
            <w:pPr>
              <w:spacing w:before="40" w:after="0"/>
            </w:pPr>
            <w:r>
              <w:rPr>
                <w:rFonts w:ascii="Courier New" w:cs="Courier New" w:eastAsia="Courier New" w:hAnsi="Courier New"/>
                <w:color w:val="003322"/>
                <w:sz w:val="18"/>
                <w:szCs w:val="18"/>
              </w:rPr>
              <w:t xml:space="preserve">Phase 3 (2029–30): Optimise — evaluate impact, expand, contribute to national Bangla LLM.</w:t>
            </w:r>
          </w:p>
          <w:p>
            <w:pPr>
              <w:spacing w:before="40" w:after="0"/>
            </w:pPr>
            <w:r>
              <w:rPr>
                <w:rFonts w:ascii="Courier New" w:cs="Courier New" w:eastAsia="Courier New" w:hAnsi="Courier New"/>
                <w:color w:val="003322"/>
                <w:sz w:val="18"/>
                <w:szCs w:val="18"/>
              </w:rPr>
              <w:t xml:space="preserve">For each phase: list 3 concrete deliverables, responsible team/ministry, and success metrics.</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SECTION 3 — LOCAL CONTEXT STRATEGY:</w:t>
            </w:r>
          </w:p>
          <w:p>
            <w:pPr>
              <w:spacing w:before="40" w:after="0"/>
            </w:pPr>
            <w:r>
              <w:rPr>
                <w:rFonts w:ascii="Courier New" w:cs="Courier New" w:eastAsia="Courier New" w:hAnsi="Courier New"/>
                <w:color w:val="003322"/>
                <w:sz w:val="18"/>
                <w:szCs w:val="18"/>
              </w:rPr>
              <w:t xml:space="preserve">• How can this organisation collect and curate local datasets to avoid Western algorithmic bias?</w:t>
            </w:r>
          </w:p>
          <w:p>
            <w:pPr>
              <w:spacing w:before="40" w:after="0"/>
            </w:pPr>
            <w:r>
              <w:rPr>
                <w:rFonts w:ascii="Courier New" w:cs="Courier New" w:eastAsia="Courier New" w:hAnsi="Courier New"/>
                <w:color w:val="003322"/>
                <w:sz w:val="18"/>
                <w:szCs w:val="18"/>
              </w:rPr>
              <w:t xml:space="preserve">• What partnerships with Bangladeshi universities or BCC should be established?</w:t>
            </w:r>
          </w:p>
          <w:p>
            <w:pPr>
              <w:spacing w:before="40" w:after="0"/>
            </w:pPr>
            <w:r>
              <w:rPr>
                <w:rFonts w:ascii="Courier New" w:cs="Courier New" w:eastAsia="Courier New" w:hAnsi="Courier New"/>
                <w:color w:val="003322"/>
                <w:sz w:val="18"/>
                <w:szCs w:val="18"/>
              </w:rPr>
              <w:t xml:space="preserve">• How should outputs be validated for cultural appropriateness?</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SECTION 4 — STANDARD OPERATING PROCEDURE (SOP) FOR LLM USE:</w:t>
            </w:r>
          </w:p>
          <w:p>
            <w:pPr>
              <w:spacing w:before="40" w:after="0"/>
            </w:pPr>
            <w:r>
              <w:rPr>
                <w:rFonts w:ascii="Courier New" w:cs="Courier New" w:eastAsia="Courier New" w:hAnsi="Courier New"/>
                <w:color w:val="003322"/>
                <w:sz w:val="18"/>
                <w:szCs w:val="18"/>
              </w:rPr>
              <w:t xml:space="preserve">Create a concise, plain-language SOP for employees using AI tools like Claude or GPT for</w:t>
            </w:r>
          </w:p>
          <w:p>
            <w:pPr>
              <w:spacing w:before="40" w:after="0"/>
            </w:pPr>
            <w:r>
              <w:rPr>
                <w:rFonts w:ascii="Courier New" w:cs="Courier New" w:eastAsia="Courier New" w:hAnsi="Courier New"/>
                <w:color w:val="003322"/>
                <w:sz w:val="18"/>
                <w:szCs w:val="18"/>
              </w:rPr>
              <w:t xml:space="preserve">official work. Include:</w:t>
            </w:r>
          </w:p>
          <w:p>
            <w:pPr>
              <w:spacing w:before="40" w:after="0"/>
            </w:pPr>
            <w:r>
              <w:rPr>
                <w:rFonts w:ascii="Courier New" w:cs="Courier New" w:eastAsia="Courier New" w:hAnsi="Courier New"/>
                <w:color w:val="003322"/>
                <w:sz w:val="18"/>
                <w:szCs w:val="18"/>
              </w:rPr>
              <w:t xml:space="preserve">• What is permitted (drafting, summarising, translation, research)</w:t>
            </w:r>
          </w:p>
          <w:p>
            <w:pPr>
              <w:spacing w:before="40" w:after="0"/>
            </w:pPr>
            <w:r>
              <w:rPr>
                <w:rFonts w:ascii="Courier New" w:cs="Courier New" w:eastAsia="Courier New" w:hAnsi="Courier New"/>
                <w:color w:val="003322"/>
                <w:sz w:val="18"/>
                <w:szCs w:val="18"/>
              </w:rPr>
              <w:t xml:space="preserve">• What is prohibited (entering citizen PII, classified data, health records)</w:t>
            </w:r>
          </w:p>
          <w:p>
            <w:pPr>
              <w:spacing w:before="40" w:after="0"/>
            </w:pPr>
            <w:r>
              <w:rPr>
                <w:rFonts w:ascii="Courier New" w:cs="Courier New" w:eastAsia="Courier New" w:hAnsi="Courier New"/>
                <w:color w:val="003322"/>
                <w:sz w:val="18"/>
                <w:szCs w:val="18"/>
              </w:rPr>
              <w:t xml:space="preserve">• How to verify AI output before use in official documents</w:t>
            </w:r>
          </w:p>
          <w:p>
            <w:pPr>
              <w:spacing w:before="40" w:after="0"/>
            </w:pPr>
            <w:r>
              <w:rPr>
                <w:rFonts w:ascii="Courier New" w:cs="Courier New" w:eastAsia="Courier New" w:hAnsi="Courier New"/>
                <w:color w:val="003322"/>
                <w:sz w:val="18"/>
                <w:szCs w:val="18"/>
              </w:rPr>
              <w:t xml:space="preserve">• How to report AI errors or harmful outputs</w:t>
            </w:r>
          </w:p>
          <w:p>
            <w:pPr>
              <w:spacing w:before="40" w:after="0"/>
            </w:pPr>
            <w:r>
              <w:rPr>
                <w:rFonts w:ascii="Courier New" w:cs="Courier New" w:eastAsia="Courier New" w:hAnsi="Courier New"/>
                <w:color w:val="003322"/>
                <w:sz w:val="18"/>
                <w:szCs w:val="18"/>
              </w:rPr>
              <w:t xml:space="preserve">• Bangla-language summary of the SOP for field staff</w:t>
            </w:r>
          </w:p>
          <w:p>
            <w:pPr>
              <w:spacing w:before="40" w:after="0"/>
            </w:pPr>
            <w:r>
              <w:rPr>
                <w:rFonts w:ascii="Courier New" w:cs="Courier New" w:eastAsia="Courier New" w:hAnsi="Courier New"/>
                <w:color w:val="003322"/>
                <w:sz w:val="18"/>
                <w:szCs w:val="18"/>
              </w:rPr>
              <w:t xml:space="preserve"/>
            </w:r>
          </w:p>
          <w:p>
            <w:pPr>
              <w:spacing w:before="40" w:after="0"/>
            </w:pPr>
            <w:r>
              <w:rPr>
                <w:rFonts w:ascii="Courier New" w:cs="Courier New" w:eastAsia="Courier New" w:hAnsi="Courier New"/>
                <w:color w:val="003322"/>
                <w:sz w:val="18"/>
                <w:szCs w:val="18"/>
              </w:rPr>
              <w:t xml:space="preserve">Format the SOP as a one-page quick-reference card that can be printed and posted.</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Priority Sectors — Government Focus Areas 2026–2030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006747" w:sz="4"/>
              <w:left w:val="single" w:color="006747" w:sz="4"/>
              <w:bottom w:val="single" w:color="006747" w:sz="4"/>
              <w:right w:val="single" w:color="006747" w:sz="4"/>
            </w:tcBorders>
            <w:shd w:fill="006747" w:val="clear"/>
            <w:tcMar>
              <w:top w:type="dxa" w:w="100"/>
              <w:left w:type="dxa" w:w="160"/>
              <w:bottom w:type="dxa" w:w="100"/>
              <w:right w:type="dxa" w:w="160"/>
            </w:tcMar>
          </w:tcPr>
          <w:p>
            <w:r>
              <w:rPr>
                <w:rFonts w:ascii="Calibri" w:cs="Calibri" w:eastAsia="Calibri" w:hAnsi="Calibri"/>
                <w:b/>
                <w:bCs/>
                <w:color w:val="FFFFFF"/>
                <w:sz w:val="21"/>
                <w:szCs w:val="21"/>
              </w:rPr>
              <w:t xml:space="preserve">Sector</w:t>
            </w:r>
          </w:p>
        </w:tc>
        <w:tc>
          <w:tcPr>
            <w:tcW w:type="dxa" w:w="3513"/>
            <w:tcBorders>
              <w:top w:val="single" w:color="006747" w:sz="4"/>
              <w:left w:val="single" w:color="006747" w:sz="4"/>
              <w:bottom w:val="single" w:color="006747" w:sz="4"/>
              <w:right w:val="single" w:color="006747" w:sz="4"/>
            </w:tcBorders>
            <w:shd w:fill="006747" w:val="clear"/>
            <w:tcMar>
              <w:top w:type="dxa" w:w="100"/>
              <w:left w:type="dxa" w:w="160"/>
              <w:bottom w:type="dxa" w:w="100"/>
              <w:right w:type="dxa" w:w="160"/>
            </w:tcMar>
          </w:tcPr>
          <w:p>
            <w:r>
              <w:rPr>
                <w:rFonts w:ascii="Calibri" w:cs="Calibri" w:eastAsia="Calibri" w:hAnsi="Calibri"/>
                <w:b/>
                <w:bCs/>
                <w:color w:val="FFFFFF"/>
                <w:sz w:val="21"/>
                <w:szCs w:val="21"/>
              </w:rPr>
              <w:t xml:space="preserve">Key AI Opportunity</w:t>
            </w:r>
          </w:p>
        </w:tc>
        <w:tc>
          <w:tcPr>
            <w:tcW w:type="dxa" w:w="3513"/>
            <w:tcBorders>
              <w:top w:val="single" w:color="006747" w:sz="4"/>
              <w:left w:val="single" w:color="006747" w:sz="4"/>
              <w:bottom w:val="single" w:color="006747" w:sz="4"/>
              <w:right w:val="single" w:color="006747" w:sz="4"/>
            </w:tcBorders>
            <w:shd w:fill="006747" w:val="clear"/>
            <w:tcMar>
              <w:top w:type="dxa" w:w="100"/>
              <w:left w:type="dxa" w:w="160"/>
              <w:bottom w:type="dxa" w:w="100"/>
              <w:right w:type="dxa" w:w="160"/>
            </w:tcMar>
          </w:tcPr>
          <w:p>
            <w:r>
              <w:rPr>
                <w:rFonts w:ascii="Calibri" w:cs="Calibri" w:eastAsia="Calibri" w:hAnsi="Calibri"/>
                <w:b/>
                <w:bCs/>
                <w:color w:val="FFFFFF"/>
                <w:sz w:val="21"/>
                <w:szCs w:val="21"/>
              </w:rPr>
              <w:t xml:space="preserve">Key Compliance Risk</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  Public Service</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Bangla chatbots, fraud detection, process mining</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C0392B"/>
                <w:sz w:val="20"/>
                <w:szCs w:val="20"/>
              </w:rPr>
              <w:t xml:space="preserve">Data sovereignty, human override mandate</w:t>
            </w:r>
          </w:p>
        </w:tc>
      </w:tr>
      <w:tr>
        <w:tc>
          <w:tcPr>
            <w:tcW w:type="dxa" w:w="20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0"/>
                <w:szCs w:val="20"/>
              </w:rPr>
              <w:t xml:space="preserve">🏭  Manufacturing</w:t>
            </w:r>
          </w:p>
        </w:tc>
        <w:tc>
          <w:tcPr>
            <w:tcW w:type="dxa" w:w="35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0"/>
                <w:szCs w:val="20"/>
              </w:rPr>
              <w:t xml:space="preserve">Predictive maintenance, quality control AI</w:t>
            </w:r>
          </w:p>
        </w:tc>
        <w:tc>
          <w:tcPr>
            <w:tcW w:type="dxa" w:w="35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C0392B"/>
                <w:sz w:val="20"/>
                <w:szCs w:val="20"/>
              </w:rPr>
              <w:t xml:space="preserve">Labour displacement reporting, AIA</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  Agriculture</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Crop yield prediction, weather AI, pest detection</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C0392B"/>
                <w:sz w:val="20"/>
                <w:szCs w:val="20"/>
              </w:rPr>
              <w:t xml:space="preserve">Misinformation risk, expert validation</w:t>
            </w:r>
          </w:p>
        </w:tc>
      </w:tr>
      <w:tr>
        <w:tc>
          <w:tcPr>
            <w:tcW w:type="dxa" w:w="20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0"/>
                <w:szCs w:val="20"/>
              </w:rPr>
              <w:t xml:space="preserve">🚗  Smart Mobility</w:t>
            </w:r>
          </w:p>
        </w:tc>
        <w:tc>
          <w:tcPr>
            <w:tcW w:type="dxa" w:w="35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0"/>
                <w:szCs w:val="20"/>
              </w:rPr>
              <w:t xml:space="preserve">Traffic analytics, accident prediction, e-ticketing</w:t>
            </w:r>
          </w:p>
        </w:tc>
        <w:tc>
          <w:tcPr>
            <w:tcW w:type="dxa" w:w="35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C0392B"/>
                <w:sz w:val="20"/>
                <w:szCs w:val="20"/>
              </w:rPr>
              <w:t xml:space="preserve">Surveillance framing, evidence standards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  Education</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Personalised learning, plagiarism detection, Bangla NLP</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C0392B"/>
                <w:sz w:val="20"/>
                <w:szCs w:val="20"/>
              </w:rPr>
              <w:t xml:space="preserve">Academic integrity, student data PDPA</w:t>
            </w:r>
          </w:p>
        </w:tc>
      </w:tr>
      <w:tr>
        <w:tc>
          <w:tcPr>
            <w:tcW w:type="dxa" w:w="20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0"/>
                <w:szCs w:val="20"/>
              </w:rPr>
              <w:t xml:space="preserve">🏥  Healthcare</w:t>
            </w:r>
          </w:p>
        </w:tc>
        <w:tc>
          <w:tcPr>
            <w:tcW w:type="dxa" w:w="35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0"/>
                <w:szCs w:val="20"/>
              </w:rPr>
              <w:t xml:space="preserve">Diagnostic support, telemedicine triage, mHealth</w:t>
            </w:r>
          </w:p>
        </w:tc>
        <w:tc>
          <w:tcPr>
            <w:tcW w:type="dxa" w:w="35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C0392B"/>
                <w:sz w:val="20"/>
                <w:szCs w:val="20"/>
              </w:rPr>
              <w:t xml:space="preserve">Strict liability, clinical override required</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  Finance</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Credit scoring, fraud detection, AML</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C0392B"/>
                <w:sz w:val="20"/>
                <w:szCs w:val="20"/>
              </w:rPr>
              <w:t xml:space="preserve">High-Risk AIA mandatory, bias audits</w:t>
            </w:r>
          </w:p>
        </w:tc>
      </w:tr>
    </w:tbl>
    <w:p>
      <w:pPr>
        <w:spacing w:before="200" w:after="200"/>
        <w:jc w:val="left"/>
      </w:pPr>
      <w:r>
        <w:rPr>
          <w:rFonts w:ascii="Calibri" w:cs="Calibri" w:eastAsia="Calibri" w:hAnsi="Calibri"/>
          <w:b w:val="false"/>
          <w:bCs w:val="false"/>
          <w:i w:val="false"/>
          <w:iCs w:val="false"/>
          <w:color w:val="1A1A1A"/>
          <w:sz w:val="22"/>
          <w:szCs w:val="22"/>
        </w:rPr>
        <w:t xml:space="preserve"/>
      </w:r>
    </w:p>
    <w:p>
      <w:pPr>
        <w:shd w:fill="004D35" w:val="clear"/>
        <w:spacing w:before="320" w:after="160"/>
      </w:pPr>
      <w:r>
        <w:rPr>
          <w:rFonts w:ascii="Calibri" w:cs="Calibri" w:eastAsia="Calibri" w:hAnsi="Calibri"/>
          <w:b/>
          <w:bCs/>
          <w:color w:val="FFFFFF"/>
          <w:sz w:val="28"/>
          <w:szCs w:val="28"/>
        </w:rPr>
        <w:t xml:space="preserve">  Key Contextual Tips for Bangladesh in 2026</w:t>
      </w:r>
    </w:p>
    <w:p>
      <w:pPr>
        <w:spacing w:before="80" w:after="80"/>
        <w:jc w:val="left"/>
      </w:pPr>
      <w:r>
        <w:rPr>
          <w:rFonts w:ascii="Calibri" w:cs="Calibri" w:eastAsia="Calibri" w:hAnsi="Calibri"/>
          <w:b w:val="false"/>
          <w:bCs w:val="false"/>
          <w:i w:val="false"/>
          <w:iCs w:val="false"/>
          <w:color w:val="1A1A1A"/>
          <w:sz w:val="22"/>
          <w:szCs w:val="22"/>
        </w:rPr>
        <w:t xml:space="preserve"/>
      </w:r>
    </w:p>
    <w:p>
      <w:pPr>
        <w:spacing w:before="200" w:after="80"/>
      </w:pPr>
      <w:r>
        <w:rPr>
          <w:rFonts w:ascii="Calibri" w:cs="Calibri" w:eastAsia="Calibri" w:hAnsi="Calibri"/>
          <w:b/>
          <w:bCs/>
          <w:color w:val="006747"/>
          <w:sz w:val="24"/>
          <w:szCs w:val="24"/>
        </w:rPr>
        <w:t xml:space="preserve">AI Risk Classification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006747" w:sz="4"/>
              <w:left w:val="single" w:color="006747" w:sz="4"/>
              <w:bottom w:val="single" w:color="006747" w:sz="4"/>
              <w:right w:val="single" w:color="006747" w:sz="4"/>
            </w:tcBorders>
            <w:shd w:fill="006747"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Risk Level</w:t>
            </w:r>
          </w:p>
        </w:tc>
        <w:tc>
          <w:tcPr>
            <w:tcW w:type="dxa" w:w="3613"/>
            <w:tcBorders>
              <w:top w:val="single" w:color="006747" w:sz="4"/>
              <w:left w:val="single" w:color="006747" w:sz="4"/>
              <w:bottom w:val="single" w:color="006747" w:sz="4"/>
              <w:right w:val="single" w:color="006747" w:sz="4"/>
            </w:tcBorders>
            <w:shd w:fill="006747"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Examples</w:t>
            </w:r>
          </w:p>
        </w:tc>
        <w:tc>
          <w:tcPr>
            <w:tcW w:type="dxa" w:w="3613"/>
            <w:tcBorders>
              <w:top w:val="single" w:color="006747" w:sz="4"/>
              <w:left w:val="single" w:color="006747" w:sz="4"/>
              <w:bottom w:val="single" w:color="006747" w:sz="4"/>
              <w:right w:val="single" w:color="006747" w:sz="4"/>
            </w:tcBorders>
            <w:shd w:fill="006747"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Required Action</w:t>
            </w:r>
          </w:p>
        </w:tc>
      </w:tr>
      <w:tr>
        <w:tc>
          <w:tcPr>
            <w:tcW w:type="dxa" w:w="1800"/>
            <w:tcBorders>
              <w:top w:val="single" w:color="DDDDDD" w:sz="4"/>
              <w:left w:val="single" w:color="DDDDDD" w:sz="4"/>
              <w:bottom w:val="single" w:color="DDDDDD" w:sz="4"/>
              <w:right w:val="single" w:color="DDDDDD" w:sz="4"/>
            </w:tcBorders>
            <w:shd w:fill="FDECEA" w:val="clear"/>
            <w:tcMar>
              <w:top w:type="dxa" w:w="80"/>
              <w:left w:type="dxa" w:w="160"/>
              <w:bottom w:type="dxa" w:w="80"/>
              <w:right w:type="dxa" w:w="160"/>
            </w:tcMar>
          </w:tcPr>
          <w:p>
            <w:r>
              <w:rPr>
                <w:rFonts w:ascii="Calibri" w:cs="Calibri" w:eastAsia="Calibri" w:hAnsi="Calibri"/>
                <w:b/>
                <w:bCs/>
                <w:color w:val="C0392B"/>
                <w:sz w:val="20"/>
                <w:szCs w:val="20"/>
              </w:rPr>
              <w:t xml:space="preserve">🔴  PROHIBITED</w:t>
            </w:r>
          </w:p>
        </w:tc>
        <w:tc>
          <w:tcPr>
            <w:tcW w:type="dxa" w:w="3613"/>
            <w:tcBorders>
              <w:top w:val="single" w:color="DDDDDD" w:sz="4"/>
              <w:left w:val="single" w:color="DDDDDD" w:sz="4"/>
              <w:bottom w:val="single" w:color="DDDDDD" w:sz="4"/>
              <w:right w:val="single" w:color="DDDDDD" w:sz="4"/>
            </w:tcBorders>
            <w:tcMar>
              <w:top w:type="dxa" w:w="80"/>
              <w:left w:type="dxa" w:w="160"/>
              <w:bottom w:type="dxa" w:w="80"/>
              <w:right w:type="dxa" w:w="160"/>
            </w:tcMar>
          </w:tcPr>
          <w:p>
            <w:r>
              <w:rPr>
                <w:rFonts w:ascii="Calibri" w:cs="Calibri" w:eastAsia="Calibri" w:hAnsi="Calibri"/>
                <w:color w:val="1A1A1A"/>
                <w:sz w:val="20"/>
                <w:szCs w:val="20"/>
              </w:rPr>
              <w:t xml:space="preserve">Social scoring, mass biometric surveillance, deepfakes of citizens, predictive policing without judicial oversight</w:t>
            </w:r>
          </w:p>
        </w:tc>
        <w:tc>
          <w:tcPr>
            <w:tcW w:type="dxa" w:w="3613"/>
            <w:tcBorders>
              <w:top w:val="single" w:color="DDDDDD" w:sz="4"/>
              <w:left w:val="single" w:color="DDDDDD" w:sz="4"/>
              <w:bottom w:val="single" w:color="DDDDDD" w:sz="4"/>
              <w:right w:val="single" w:color="DDDDDD" w:sz="4"/>
            </w:tcBorders>
            <w:shd w:fill="FDECEA" w:val="clear"/>
            <w:tcMar>
              <w:top w:type="dxa" w:w="80"/>
              <w:left w:type="dxa" w:w="160"/>
              <w:bottom w:type="dxa" w:w="80"/>
              <w:right w:type="dxa" w:w="160"/>
            </w:tcMar>
          </w:tcPr>
          <w:p>
            <w:r>
              <w:rPr>
                <w:rFonts w:ascii="Calibri" w:cs="Calibri" w:eastAsia="Calibri" w:hAnsi="Calibri"/>
                <w:color w:val="C0392B"/>
                <w:sz w:val="20"/>
                <w:szCs w:val="20"/>
              </w:rPr>
              <w:t xml:space="preserve">Immediate ban. No waivers. Report any usage to NDGIA within 24 hrs.</w:t>
            </w:r>
          </w:p>
        </w:tc>
      </w:tr>
      <w:tr>
        <w:tc>
          <w:tcPr>
            <w:tcW w:type="dxa" w:w="1800"/>
            <w:tcBorders>
              <w:top w:val="single" w:color="DDDDDD" w:sz="4"/>
              <w:left w:val="single" w:color="DDDDDD" w:sz="4"/>
              <w:bottom w:val="single" w:color="DDDDDD" w:sz="4"/>
              <w:right w:val="single" w:color="DDDDDD" w:sz="4"/>
            </w:tcBorders>
            <w:shd w:fill="FEF5E7" w:val="clear"/>
            <w:tcMar>
              <w:top w:type="dxa" w:w="80"/>
              <w:left w:type="dxa" w:w="160"/>
              <w:bottom w:type="dxa" w:w="80"/>
              <w:right w:type="dxa" w:w="160"/>
            </w:tcMar>
          </w:tcPr>
          <w:p>
            <w:r>
              <w:rPr>
                <w:rFonts w:ascii="Calibri" w:cs="Calibri" w:eastAsia="Calibri" w:hAnsi="Calibri"/>
                <w:b/>
                <w:bCs/>
                <w:color w:val="E67E22"/>
                <w:sz w:val="20"/>
                <w:szCs w:val="20"/>
              </w:rPr>
              <w:t xml:space="preserve">🟠  HIGH-RISK</w:t>
            </w:r>
          </w:p>
        </w:tc>
        <w:tc>
          <w:tcPr>
            <w:tcW w:type="dxa" w:w="3613"/>
            <w:tcBorders>
              <w:top w:val="single" w:color="DDDDDD" w:sz="4"/>
              <w:left w:val="single" w:color="DDDDDD" w:sz="4"/>
              <w:bottom w:val="single" w:color="DDDDDD" w:sz="4"/>
              <w:right w:val="single" w:color="DDDDDD" w:sz="4"/>
            </w:tcBorders>
            <w:tcMar>
              <w:top w:type="dxa" w:w="80"/>
              <w:left w:type="dxa" w:w="160"/>
              <w:bottom w:type="dxa" w:w="80"/>
              <w:right w:type="dxa" w:w="160"/>
            </w:tcMar>
          </w:tcPr>
          <w:p>
            <w:r>
              <w:rPr>
                <w:rFonts w:ascii="Calibri" w:cs="Calibri" w:eastAsia="Calibri" w:hAnsi="Calibri"/>
                <w:color w:val="1A1A1A"/>
                <w:sz w:val="20"/>
                <w:szCs w:val="20"/>
              </w:rPr>
              <w:t xml:space="preserve">Credit scoring, health diagnostics, HR screening, fraud detection, loan approval</w:t>
            </w:r>
          </w:p>
        </w:tc>
        <w:tc>
          <w:tcPr>
            <w:tcW w:type="dxa" w:w="3613"/>
            <w:tcBorders>
              <w:top w:val="single" w:color="DDDDDD" w:sz="4"/>
              <w:left w:val="single" w:color="DDDDDD" w:sz="4"/>
              <w:bottom w:val="single" w:color="DDDDDD" w:sz="4"/>
              <w:right w:val="single" w:color="DDDDDD" w:sz="4"/>
            </w:tcBorders>
            <w:shd w:fill="FEF5E7" w:val="clear"/>
            <w:tcMar>
              <w:top w:type="dxa" w:w="80"/>
              <w:left w:type="dxa" w:w="160"/>
              <w:bottom w:type="dxa" w:w="80"/>
              <w:right w:type="dxa" w:w="160"/>
            </w:tcMar>
          </w:tcPr>
          <w:p>
            <w:r>
              <w:rPr>
                <w:rFonts w:ascii="Calibri" w:cs="Calibri" w:eastAsia="Calibri" w:hAnsi="Calibri"/>
                <w:color w:val="E67E22"/>
                <w:sz w:val="20"/>
                <w:szCs w:val="20"/>
              </w:rPr>
              <w:t xml:space="preserve">Mandatory AIA, human oversight, explainability logs, 5-year data retention.</w:t>
            </w:r>
          </w:p>
        </w:tc>
      </w:tr>
      <w:tr>
        <w:tc>
          <w:tcPr>
            <w:tcW w:type="dxa" w:w="1800"/>
            <w:tcBorders>
              <w:top w:val="single" w:color="DDDDDD" w:sz="4"/>
              <w:left w:val="single" w:color="DDDDDD" w:sz="4"/>
              <w:bottom w:val="single" w:color="DDDDDD" w:sz="4"/>
              <w:right w:val="single" w:color="DDDDDD" w:sz="4"/>
            </w:tcBorders>
            <w:shd w:fill="EAFAF1" w:val="clear"/>
            <w:tcMar>
              <w:top w:type="dxa" w:w="80"/>
              <w:left w:type="dxa" w:w="160"/>
              <w:bottom w:type="dxa" w:w="80"/>
              <w:right w:type="dxa" w:w="160"/>
            </w:tcMar>
          </w:tcPr>
          <w:p>
            <w:r>
              <w:rPr>
                <w:rFonts w:ascii="Calibri" w:cs="Calibri" w:eastAsia="Calibri" w:hAnsi="Calibri"/>
                <w:b/>
                <w:bCs/>
                <w:color w:val="27AE60"/>
                <w:sz w:val="20"/>
                <w:szCs w:val="20"/>
              </w:rPr>
              <w:t xml:space="preserve">🟡  LIMITED-RISK</w:t>
            </w:r>
          </w:p>
        </w:tc>
        <w:tc>
          <w:tcPr>
            <w:tcW w:type="dxa" w:w="3613"/>
            <w:tcBorders>
              <w:top w:val="single" w:color="DDDDDD" w:sz="4"/>
              <w:left w:val="single" w:color="DDDDDD" w:sz="4"/>
              <w:bottom w:val="single" w:color="DDDDDD" w:sz="4"/>
              <w:right w:val="single" w:color="DDDDDD" w:sz="4"/>
            </w:tcBorders>
            <w:tcMar>
              <w:top w:type="dxa" w:w="80"/>
              <w:left w:type="dxa" w:w="160"/>
              <w:bottom w:type="dxa" w:w="80"/>
              <w:right w:type="dxa" w:w="160"/>
            </w:tcMar>
          </w:tcPr>
          <w:p>
            <w:r>
              <w:rPr>
                <w:rFonts w:ascii="Calibri" w:cs="Calibri" w:eastAsia="Calibri" w:hAnsi="Calibri"/>
                <w:color w:val="1A1A1A"/>
                <w:sz w:val="20"/>
                <w:szCs w:val="20"/>
              </w:rPr>
              <w:t xml:space="preserve">Chatbots, content summarisation, translation tools, internal report drafting</w:t>
            </w:r>
          </w:p>
        </w:tc>
        <w:tc>
          <w:tcPr>
            <w:tcW w:type="dxa" w:w="3613"/>
            <w:tcBorders>
              <w:top w:val="single" w:color="DDDDDD" w:sz="4"/>
              <w:left w:val="single" w:color="DDDDDD" w:sz="4"/>
              <w:bottom w:val="single" w:color="DDDDDD" w:sz="4"/>
              <w:right w:val="single" w:color="DDDDDD" w:sz="4"/>
            </w:tcBorders>
            <w:shd w:fill="EAFAF1" w:val="clear"/>
            <w:tcMar>
              <w:top w:type="dxa" w:w="80"/>
              <w:left w:type="dxa" w:w="160"/>
              <w:bottom w:type="dxa" w:w="80"/>
              <w:right w:type="dxa" w:w="160"/>
            </w:tcMar>
          </w:tcPr>
          <w:p>
            <w:r>
              <w:rPr>
                <w:rFonts w:ascii="Calibri" w:cs="Calibri" w:eastAsia="Calibri" w:hAnsi="Calibri"/>
                <w:color w:val="27AE60"/>
                <w:sz w:val="20"/>
                <w:szCs w:val="20"/>
              </w:rPr>
              <w:t xml:space="preserve">Disclosure to users, basic audit log, PDPA data minimisation principles.</w:t>
            </w:r>
          </w:p>
        </w:tc>
      </w:tr>
      <w:tr>
        <w:tc>
          <w:tcPr>
            <w:tcW w:type="dxa" w:w="1800"/>
            <w:tcBorders>
              <w:top w:val="single" w:color="DDDDDD" w:sz="4"/>
              <w:left w:val="single" w:color="DDDDDD" w:sz="4"/>
              <w:bottom w:val="single" w:color="DDDDDD" w:sz="4"/>
              <w:right w:val="single" w:color="DDDDDD" w:sz="4"/>
            </w:tcBorders>
            <w:shd w:fill="EBF5FB" w:val="clear"/>
            <w:tcMar>
              <w:top w:type="dxa" w:w="80"/>
              <w:left w:type="dxa" w:w="160"/>
              <w:bottom w:type="dxa" w:w="80"/>
              <w:right w:type="dxa" w:w="160"/>
            </w:tcMar>
          </w:tcPr>
          <w:p>
            <w:r>
              <w:rPr>
                <w:rFonts w:ascii="Calibri" w:cs="Calibri" w:eastAsia="Calibri" w:hAnsi="Calibri"/>
                <w:b/>
                <w:bCs/>
                <w:color w:val="2980B9"/>
                <w:sz w:val="20"/>
                <w:szCs w:val="20"/>
              </w:rPr>
              <w:t xml:space="preserve">🟢  LOW-RISK</w:t>
            </w:r>
          </w:p>
        </w:tc>
        <w:tc>
          <w:tcPr>
            <w:tcW w:type="dxa" w:w="3613"/>
            <w:tcBorders>
              <w:top w:val="single" w:color="DDDDDD" w:sz="4"/>
              <w:left w:val="single" w:color="DDDDDD" w:sz="4"/>
              <w:bottom w:val="single" w:color="DDDDDD" w:sz="4"/>
              <w:right w:val="single" w:color="DDDDDD" w:sz="4"/>
            </w:tcBorders>
            <w:tcMar>
              <w:top w:type="dxa" w:w="80"/>
              <w:left w:type="dxa" w:w="160"/>
              <w:bottom w:type="dxa" w:w="80"/>
              <w:right w:type="dxa" w:w="160"/>
            </w:tcMar>
          </w:tcPr>
          <w:p>
            <w:r>
              <w:rPr>
                <w:rFonts w:ascii="Calibri" w:cs="Calibri" w:eastAsia="Calibri" w:hAnsi="Calibri"/>
                <w:color w:val="1A1A1A"/>
                <w:sz w:val="20"/>
                <w:szCs w:val="20"/>
              </w:rPr>
              <w:t xml:space="preserve">Spell-checkers, search autocomplete, internal scheduling tools, grammar assistance</w:t>
            </w:r>
          </w:p>
        </w:tc>
        <w:tc>
          <w:tcPr>
            <w:tcW w:type="dxa" w:w="3613"/>
            <w:tcBorders>
              <w:top w:val="single" w:color="DDDDDD" w:sz="4"/>
              <w:left w:val="single" w:color="DDDDDD" w:sz="4"/>
              <w:bottom w:val="single" w:color="DDDDDD" w:sz="4"/>
              <w:right w:val="single" w:color="DDDDDD" w:sz="4"/>
            </w:tcBorders>
            <w:shd w:fill="EBF5FB" w:val="clear"/>
            <w:tcMar>
              <w:top w:type="dxa" w:w="80"/>
              <w:left w:type="dxa" w:w="160"/>
              <w:bottom w:type="dxa" w:w="80"/>
              <w:right w:type="dxa" w:w="160"/>
            </w:tcMar>
          </w:tcPr>
          <w:p>
            <w:r>
              <w:rPr>
                <w:rFonts w:ascii="Calibri" w:cs="Calibri" w:eastAsia="Calibri" w:hAnsi="Calibri"/>
                <w:color w:val="2980B9"/>
                <w:sz w:val="20"/>
                <w:szCs w:val="20"/>
              </w:rPr>
              <w:t xml:space="preserve">Minimal compliance. Standard IT security policy applies.</w:t>
            </w:r>
          </w:p>
        </w:tc>
      </w:tr>
    </w:tbl>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vAlign w:val="center"/>
          </w:tcPr>
          <w:p>
            <w:pPr>
              <w:jc w:val="center"/>
            </w:pPr>
            <w:r>
              <w:rPr>
                <w:sz w:val="28"/>
                <w:szCs w:val="28"/>
              </w:rPr>
              <w:t xml:space="preserve">💡</w:t>
            </w:r>
          </w:p>
        </w:tc>
        <w:tc>
          <w:tcPr>
            <w:tcW w:type="dxa" w:w="8666"/>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before="0" w:after="40"/>
            </w:pPr>
            <w:r>
              <w:rPr>
                <w:rFonts w:ascii="Calibri" w:cs="Calibri" w:eastAsia="Calibri" w:hAnsi="Calibri"/>
                <w:b/>
                <w:bCs/>
                <w:color w:val="7A5200"/>
                <w:sz w:val="22"/>
                <w:szCs w:val="22"/>
              </w:rPr>
              <w:t xml:space="preserve">The July Revolution Context</w:t>
            </w:r>
          </w:p>
          <w:p>
            <w:pPr>
              <w:spacing w:before="0" w:after="0"/>
            </w:pPr>
            <w:r>
              <w:rPr>
                <w:rFonts w:ascii="Calibri" w:cs="Calibri" w:eastAsia="Calibri" w:hAnsi="Calibri"/>
                <w:color w:val="5A3C00"/>
                <w:sz w:val="20"/>
                <w:szCs w:val="20"/>
              </w:rPr>
              <w:t xml:space="preserve">Since 2024, there is a heavy emphasis on transparency and inclusive governance. Avoid prompts that suggest 'surveillance' or 'social scoring' — these are strictly flagged in the latest policy drafts. Always frame your system's purpose in terms of citizen benefit and service delivery. Use language like 'service personalisation' and 'decision support' rather than 'monitoring' or 'scoring'.</w:t>
            </w:r>
          </w:p>
        </w:tc>
      </w:tr>
    </w:tbl>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vAlign w:val="center"/>
          </w:tcPr>
          <w:p>
            <w:pPr>
              <w:jc w:val="center"/>
            </w:pPr>
            <w:r>
              <w:rPr>
                <w:sz w:val="28"/>
                <w:szCs w:val="28"/>
              </w:rPr>
              <w:t xml:space="preserve">💡</w:t>
            </w:r>
          </w:p>
        </w:tc>
        <w:tc>
          <w:tcPr>
            <w:tcW w:type="dxa" w:w="8666"/>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before="0" w:after="40"/>
            </w:pPr>
            <w:r>
              <w:rPr>
                <w:rFonts w:ascii="Calibri" w:cs="Calibri" w:eastAsia="Calibri" w:hAnsi="Calibri"/>
                <w:b/>
                <w:bCs/>
                <w:color w:val="7A5200"/>
                <w:sz w:val="22"/>
                <w:szCs w:val="22"/>
              </w:rPr>
              <w:t xml:space="preserve">Data Protection — PDPA First</w:t>
            </w:r>
          </w:p>
          <w:p>
            <w:pPr>
              <w:spacing w:before="0" w:after="0"/>
            </w:pPr>
            <w:r>
              <w:rPr>
                <w:rFonts w:ascii="Calibri" w:cs="Calibri" w:eastAsia="Calibri" w:hAnsi="Calibri"/>
                <w:color w:val="5A3C00"/>
                <w:sz w:val="20"/>
                <w:szCs w:val="20"/>
              </w:rPr>
              <w:t xml:space="preserve">Always mention the PDPA (Personal Data Protection Act 2025) in your commands when citizen data is involved. Bangladesh is becoming stricter about how citizen data is handled by foreign AI models. Key rules: sensitive data must stay on local servers; foreign AI APIs cannot receive NID, health, or financial records without contractual safeguards; children's data (under 16) requires parental consent.</w:t>
            </w:r>
          </w:p>
        </w:tc>
      </w:tr>
    </w:tbl>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vAlign w:val="center"/>
          </w:tcPr>
          <w:p>
            <w:pPr>
              <w:jc w:val="center"/>
            </w:pPr>
            <w:r>
              <w:rPr>
                <w:sz w:val="28"/>
                <w:szCs w:val="28"/>
              </w:rPr>
              <w:t xml:space="preserve">💡</w:t>
            </w:r>
          </w:p>
        </w:tc>
        <w:tc>
          <w:tcPr>
            <w:tcW w:type="dxa" w:w="8666"/>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before="0" w:after="40"/>
            </w:pPr>
            <w:r>
              <w:rPr>
                <w:rFonts w:ascii="Calibri" w:cs="Calibri" w:eastAsia="Calibri" w:hAnsi="Calibri"/>
                <w:b/>
                <w:bCs/>
                <w:color w:val="7A5200"/>
                <w:sz w:val="22"/>
                <w:szCs w:val="22"/>
              </w:rPr>
              <w:t xml:space="preserve">Bangla Language — Digital Sovereignty</w:t>
            </w:r>
          </w:p>
          <w:p>
            <w:pPr>
              <w:spacing w:before="0" w:after="0"/>
            </w:pPr>
            <w:r>
              <w:rPr>
                <w:rFonts w:ascii="Calibri" w:cs="Calibri" w:eastAsia="Calibri" w:hAnsi="Calibri"/>
                <w:color w:val="5A3C00"/>
                <w:sz w:val="20"/>
                <w:szCs w:val="20"/>
              </w:rPr>
              <w:t xml:space="preserve">Always prompt Claude to consider Bangla-first approaches. The government is pushing for Digital Sovereignty, meaning public-facing AI services should not rely solely on English-centric models. The national Bangla LLM (being developed by BCC) will become the reference model for government services. For now, validate that any foreign AI tool can accurately process Bangla text before deploying it for citizen-facing functions.</w:t>
            </w:r>
          </w:p>
        </w:tc>
      </w:tr>
    </w:tbl>
    <w:p>
      <w:pPr>
        <w:spacing w:before="80" w:after="80"/>
        <w:jc w:val="left"/>
      </w:pPr>
      <w:r>
        <w:rPr>
          <w:rFonts w:ascii="Calibri" w:cs="Calibri" w:eastAsia="Calibri" w:hAnsi="Calibri"/>
          <w:b w:val="false"/>
          <w:bCs w:val="false"/>
          <w:i w:val="false"/>
          <w:iCs w:val="false"/>
          <w:color w:val="1A1A1A"/>
          <w:sz w:val="22"/>
          <w:szCs w:val="22"/>
        </w:rPr>
        <w:t xml:space="preserve"/>
      </w:r>
    </w:p>
    <w:p>
      <w:pPr>
        <w:shd w:fill="004D35" w:val="clear"/>
        <w:spacing w:before="320" w:after="160"/>
      </w:pPr>
      <w:r>
        <w:rPr>
          <w:rFonts w:ascii="Calibri" w:cs="Calibri" w:eastAsia="Calibri" w:hAnsi="Calibri"/>
          <w:b/>
          <w:bCs/>
          <w:color w:val="FFFFFF"/>
          <w:sz w:val="28"/>
          <w:szCs w:val="28"/>
        </w:rPr>
        <w:t xml:space="preserve">  Quick Reference — Choosing the Right Command</w:t>
      </w:r>
    </w:p>
    <w:p>
      <w:pPr>
        <w:spacing w:before="80" w:after="8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006747" w:sz="4"/>
              <w:left w:val="single" w:color="006747" w:sz="4"/>
              <w:bottom w:val="single" w:color="006747" w:sz="4"/>
              <w:right w:val="single" w:color="006747" w:sz="4"/>
            </w:tcBorders>
            <w:shd w:fill="006747" w:val="clear"/>
            <w:tcMar>
              <w:top w:type="dxa" w:w="120"/>
              <w:left w:type="dxa" w:w="200"/>
              <w:bottom w:type="dxa" w:w="120"/>
              <w:right w:type="dxa" w:w="200"/>
            </w:tcMar>
          </w:tcPr>
          <w:p>
            <w:pPr>
              <w:jc w:val="center"/>
            </w:pPr>
            <w:r>
              <w:rPr>
                <w:rFonts w:ascii="Calibri" w:cs="Calibri" w:eastAsia="Calibri" w:hAnsi="Calibri"/>
                <w:b/>
                <w:bCs/>
                <w:color w:val="FFFFFF"/>
                <w:sz w:val="22"/>
                <w:szCs w:val="22"/>
              </w:rPr>
              <w:t xml:space="preserve">Your Situation</w:t>
            </w:r>
          </w:p>
        </w:tc>
        <w:tc>
          <w:tcPr>
            <w:tcW w:type="dxa" w:w="2913"/>
            <w:tcBorders>
              <w:top w:val="single" w:color="006747" w:sz="4"/>
              <w:left w:val="single" w:color="006747" w:sz="4"/>
              <w:bottom w:val="single" w:color="006747" w:sz="4"/>
              <w:right w:val="single" w:color="006747" w:sz="4"/>
            </w:tcBorders>
            <w:shd w:fill="006747" w:val="clear"/>
            <w:tcMar>
              <w:top w:type="dxa" w:w="120"/>
              <w:left w:type="dxa" w:w="200"/>
              <w:bottom w:type="dxa" w:w="120"/>
              <w:right w:type="dxa" w:w="200"/>
            </w:tcMar>
          </w:tcPr>
          <w:p>
            <w:pPr>
              <w:jc w:val="center"/>
            </w:pPr>
            <w:r>
              <w:rPr>
                <w:rFonts w:ascii="Calibri" w:cs="Calibri" w:eastAsia="Calibri" w:hAnsi="Calibri"/>
                <w:b/>
                <w:bCs/>
                <w:color w:val="FFFFFF"/>
                <w:sz w:val="22"/>
                <w:szCs w:val="22"/>
              </w:rPr>
              <w:t xml:space="preserve">Use Command</w:t>
            </w:r>
          </w:p>
        </w:tc>
        <w:tc>
          <w:tcPr>
            <w:tcW w:type="dxa" w:w="2913"/>
            <w:tcBorders>
              <w:top w:val="single" w:color="006747" w:sz="4"/>
              <w:left w:val="single" w:color="006747" w:sz="4"/>
              <w:bottom w:val="single" w:color="006747" w:sz="4"/>
              <w:right w:val="single" w:color="006747" w:sz="4"/>
            </w:tcBorders>
            <w:shd w:fill="006747" w:val="clear"/>
            <w:tcMar>
              <w:top w:type="dxa" w:w="120"/>
              <w:left w:type="dxa" w:w="200"/>
              <w:bottom w:type="dxa" w:w="120"/>
              <w:right w:type="dxa" w:w="200"/>
            </w:tcMar>
          </w:tcPr>
          <w:p>
            <w:pPr>
              <w:jc w:val="center"/>
            </w:pPr>
            <w:r>
              <w:rPr>
                <w:rFonts w:ascii="Calibri" w:cs="Calibri" w:eastAsia="Calibri" w:hAnsi="Calibri"/>
                <w:b/>
                <w:bCs/>
                <w:color w:val="FFFFFF"/>
                <w:sz w:val="22"/>
                <w:szCs w:val="22"/>
              </w:rPr>
              <w:t xml:space="preserve">Expected Output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Starting AI use in my company / dept for the first time</w:t>
            </w:r>
          </w:p>
        </w:tc>
        <w:tc>
          <w:tcPr>
            <w:tcW w:type="dxa" w:w="29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Command 1 — Policy Drafter</w:t>
            </w:r>
          </w:p>
        </w:tc>
        <w:tc>
          <w:tcPr>
            <w:tcW w:type="dxa" w:w="29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4A4A4A"/>
                <w:sz w:val="20"/>
                <w:szCs w:val="20"/>
              </w:rPr>
              <w:t xml:space="preserve">Formal internal AI usage policy ready for approval</w:t>
            </w:r>
          </w:p>
        </w:tc>
      </w:tr>
      <w:tr>
        <w:tc>
          <w:tcPr>
            <w:tcW w:type="dxa" w:w="32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0"/>
                <w:szCs w:val="20"/>
              </w:rPr>
              <w:t xml:space="preserve">Have an AI project and need to check compliance before launch</w:t>
            </w:r>
          </w:p>
        </w:tc>
        <w:tc>
          <w:tcPr>
            <w:tcW w:type="dxa" w:w="29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0"/>
                <w:szCs w:val="20"/>
              </w:rPr>
              <w:t xml:space="preserve">Command 2 — Compliance Auditor</w:t>
            </w:r>
          </w:p>
        </w:tc>
        <w:tc>
          <w:tcPr>
            <w:tcW w:type="dxa" w:w="29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4A4A4A"/>
                <w:sz w:val="20"/>
                <w:szCs w:val="20"/>
              </w:rPr>
              <w:t xml:space="preserve">Legal gap analysis + prioritised action checklist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Want a sector roadmap and staff SOPs for AI rollout</w:t>
            </w:r>
          </w:p>
        </w:tc>
        <w:tc>
          <w:tcPr>
            <w:tcW w:type="dxa" w:w="29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Command 3 — Strategy Roadmap</w:t>
            </w:r>
          </w:p>
        </w:tc>
        <w:tc>
          <w:tcPr>
            <w:tcW w:type="dxa" w:w="29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4A4A4A"/>
                <w:sz w:val="20"/>
                <w:szCs w:val="20"/>
              </w:rPr>
              <w:t xml:space="preserve">Phased plan + printable SOP card for employees</w:t>
            </w:r>
          </w:p>
        </w:tc>
      </w:tr>
      <w:tr>
        <w:tc>
          <w:tcPr>
            <w:tcW w:type="dxa" w:w="3200"/>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1A1A1A"/>
                <w:sz w:val="20"/>
                <w:szCs w:val="20"/>
              </w:rPr>
              <w:t xml:space="preserve">Need to assess a vendor's AI product before procurement</w:t>
            </w:r>
          </w:p>
        </w:tc>
        <w:tc>
          <w:tcPr>
            <w:tcW w:type="dxa" w:w="29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b/>
                <w:bCs/>
                <w:color w:val="004D35"/>
                <w:sz w:val="20"/>
                <w:szCs w:val="20"/>
              </w:rPr>
              <w:t xml:space="preserve">Command 2 (adapted for vendor)</w:t>
            </w:r>
          </w:p>
        </w:tc>
        <w:tc>
          <w:tcPr>
            <w:tcW w:type="dxa" w:w="2913"/>
            <w:tcBorders>
              <w:top w:val="single" w:color="DDDDDD" w:sz="4"/>
              <w:left w:val="single" w:color="DDDDDD" w:sz="4"/>
              <w:bottom w:val="single" w:color="DDDDDD" w:sz="4"/>
              <w:right w:val="single" w:color="DDDDDD" w:sz="4"/>
            </w:tcBorders>
            <w:shd w:fill="F2F4F0" w:val="clear"/>
            <w:tcMar>
              <w:top w:type="dxa" w:w="80"/>
              <w:left w:type="dxa" w:w="160"/>
              <w:bottom w:type="dxa" w:w="80"/>
              <w:right w:type="dxa" w:w="160"/>
            </w:tcMar>
          </w:tcPr>
          <w:p>
            <w:r>
              <w:rPr>
                <w:rFonts w:ascii="Calibri" w:cs="Calibri" w:eastAsia="Calibri" w:hAnsi="Calibri"/>
                <w:color w:val="4A4A4A"/>
                <w:sz w:val="20"/>
                <w:szCs w:val="20"/>
              </w:rPr>
              <w:t xml:space="preserve">Vendor compliance checklist against BD law</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Board / leadership needs an AI briefing</w:t>
            </w:r>
          </w:p>
        </w:tc>
        <w:tc>
          <w:tcPr>
            <w:tcW w:type="dxa" w:w="29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b/>
                <w:bCs/>
                <w:color w:val="004D35"/>
                <w:sz w:val="20"/>
                <w:szCs w:val="20"/>
              </w:rPr>
              <w:t xml:space="preserve">Command 3 (executive summary mode)</w:t>
            </w:r>
          </w:p>
        </w:tc>
        <w:tc>
          <w:tcPr>
            <w:tcW w:type="dxa" w:w="29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4A4A4A"/>
                <w:sz w:val="20"/>
                <w:szCs w:val="20"/>
              </w:rPr>
              <w:t xml:space="preserve">Non-technical roadmap with risk &amp; opportunity overview</w:t>
            </w:r>
          </w:p>
        </w:tc>
      </w:tr>
    </w:tbl>
    <w:p>
      <w:pPr>
        <w:spacing w:before="200" w:after="200"/>
        <w:jc w:val="left"/>
      </w:pPr>
      <w:r>
        <w:rPr>
          <w:rFonts w:ascii="Calibri" w:cs="Calibri" w:eastAsia="Calibri" w:hAnsi="Calibri"/>
          <w:b w:val="false"/>
          <w:bCs w:val="false"/>
          <w:i w:val="false"/>
          <w:iCs w:val="false"/>
          <w:color w:val="1A1A1A"/>
          <w:sz w:val="22"/>
          <w:szCs w:val="22"/>
        </w:rP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W w:type="dxa" w:w="9766"/>
            <w:tcBorders>
              <w:top w:val="none" w:color="FFFFFF" w:sz="0"/>
              <w:left w:val="none" w:color="FFFFFF" w:sz="0"/>
              <w:bottom w:val="none" w:color="FFFFFF" w:sz="0"/>
              <w:right w:val="none" w:color="FFFFFF" w:sz="0"/>
            </w:tcBorders>
            <w:shd w:fill="004D35" w:val="clear"/>
            <w:tcMar>
              <w:top w:type="dxa" w:w="200"/>
              <w:left w:type="dxa" w:w="360"/>
              <w:bottom w:type="dxa" w:w="200"/>
              <w:right w:type="dxa" w:w="360"/>
            </w:tcMar>
          </w:tcPr>
          <w:p>
            <w:pPr>
              <w:spacing w:before="0" w:after="60"/>
              <w:jc w:val="center"/>
            </w:pPr>
            <w:r>
              <w:rPr>
                <w:rFonts w:ascii="Calibri" w:cs="Calibri" w:eastAsia="Calibri" w:hAnsi="Calibri"/>
                <w:b/>
                <w:bCs/>
                <w:color w:val="D9DDD5"/>
                <w:sz w:val="20"/>
                <w:szCs w:val="20"/>
              </w:rPr>
              <w:t xml:space="preserve">Policy Reference</w:t>
            </w:r>
          </w:p>
          <w:p>
            <w:pPr>
              <w:spacing w:before="0" w:after="0"/>
              <w:jc w:val="center"/>
            </w:pPr>
            <w:r>
              <w:rPr>
                <w:rFonts w:ascii="Calibri" w:cs="Calibri" w:eastAsia="Calibri" w:hAnsi="Calibri"/>
                <w:color w:val="D9DDD5"/>
                <w:sz w:val="19"/>
                <w:szCs w:val="19"/>
              </w:rPr>
              <w:t xml:space="preserve">National AI Policy 2026–2030 (v1.1)  |  Personal Data Protection Act 2025  |  National Data Governance Ordinance 2025  |  Cyber Safety Ordinance 2025</w:t>
            </w:r>
          </w:p>
        </w:tc>
      </w:tr>
    </w:tbl>
    <w:sectPr>
      <w:head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7766"/>
      <w:gridCol w:w="2000"/>
    </w:tblGrid>
    <w:tr>
      <w:tc>
        <w:tcPr>
          <w:tcW w:type="dxa" w:w="7766"/>
          <w:tcBorders>
            <w:top w:val="none" w:color="FFFFFF" w:sz="0"/>
            <w:left w:val="none" w:color="FFFFFF" w:sz="0"/>
            <w:bottom w:val="none" w:color="FFFFFF" w:sz="0"/>
            <w:right w:val="none" w:color="FFFFFF" w:sz="0"/>
          </w:tcBorders>
          <w:shd w:fill="006747" w:val="clear"/>
          <w:tcMar>
            <w:top w:type="dxa" w:w="80"/>
            <w:left w:type="dxa" w:w="200"/>
            <w:bottom w:type="dxa" w:w="80"/>
            <w:right w:type="dxa" w:w="200"/>
          </w:tcMar>
        </w:tcPr>
        <w:p>
          <w:r>
            <w:rPr>
              <w:rFonts w:ascii="Calibri" w:cs="Calibri" w:eastAsia="Calibri" w:hAnsi="Calibri"/>
              <w:color w:val="FFFFFF"/>
              <w:sz w:val="18"/>
              <w:szCs w:val="18"/>
            </w:rPr>
            <w:t xml:space="preserve">  Bangladesh AI Policy — Practical Claude Command Toolkit  |  2026</w:t>
          </w:r>
        </w:p>
      </w:tc>
      <w:tc>
        <w:tcPr>
          <w:tcW w:type="dxa" w:w="2000"/>
          <w:tcBorders>
            <w:top w:val="none" w:color="FFFFFF" w:sz="0"/>
            <w:left w:val="none" w:color="FFFFFF" w:sz="0"/>
            <w:bottom w:val="none" w:color="FFFFFF" w:sz="0"/>
            <w:right w:val="none" w:color="FFFFFF" w:sz="0"/>
          </w:tcBorders>
          <w:shd w:fill="004D35" w:val="clear"/>
          <w:tcMar>
            <w:top w:type="dxa" w:w="80"/>
            <w:left w:type="dxa" w:w="160"/>
            <w:bottom w:type="dxa" w:w="80"/>
            <w:right w:type="dxa" w:w="160"/>
          </w:tcMar>
        </w:tcPr>
        <w:p>
          <w:pPr>
            <w:jc w:val="right"/>
          </w:pPr>
          <w:r>
            <w:rPr>
              <w:rFonts w:ascii="Calibri" w:cs="Calibri" w:eastAsia="Calibri" w:hAnsi="Calibri"/>
              <w:color w:val="D9DDD5"/>
              <w:sz w:val="16"/>
              <w:szCs w:val="16"/>
            </w:rPr>
            <w:t xml:space="preserve">Aligned: NAP v1.1 | PDPA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6747"/>
      </w:rPr>
    </w:lvl>
    <w:lvl w:ilvl="1" w15:tentative="1">
      <w:start w:val="1"/>
      <w:numFmt w:val="bullet"/>
      <w:lvlText w:val="◦"/>
      <w:lvlJc w:val="left"/>
      <w:pPr>
        <w:ind w:left="1080" w:hanging="360"/>
      </w:pPr>
      <w:rPr>
        <w:color w:val="4A4A4A"/>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004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2026-02-24T05:55:30.541Z</dcterms:created>
  <dcterms:modified xsi:type="dcterms:W3CDTF">2026-02-24T05:55:30.542Z</dcterms:modified>
</cp:coreProperties>
</file>

<file path=docProps/custom.xml><?xml version="1.0" encoding="utf-8"?>
<Properties xmlns="http://schemas.openxmlformats.org/officeDocument/2006/custom-properties" xmlns:vt="http://schemas.openxmlformats.org/officeDocument/2006/docPropsVTypes"/>
</file>