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80"/>
      </w:pPr>
      <w:r>
        <w:t xml:space="preserve"/>
      </w:r>
    </w:p>
    <w:p>
      <w:pPr>
        <w:spacing w:before="0" w:after="120"/>
        <w:jc w:val="center"/>
      </w:pPr>
      <w:r>
        <w:rPr>
          <w:rFonts w:ascii="Arial" w:cs="Arial" w:eastAsia="Arial" w:hAnsi="Arial"/>
          <w:b/>
          <w:bCs/>
          <w:color w:val="1A3C6E"/>
          <w:sz w:val="32"/>
          <w:szCs w:val="32"/>
        </w:rPr>
        <w:t xml:space="preserve">PEOPLE'S REPUBLIC OF BANGLADESH</w:t>
      </w:r>
    </w:p>
    <w:p>
      <w:pPr>
        <w:spacing w:before="0" w:after="60"/>
        <w:jc w:val="center"/>
      </w:pPr>
      <w:r>
        <w:rPr>
          <w:rFonts w:ascii="Arial" w:cs="Arial" w:eastAsia="Arial" w:hAnsi="Arial"/>
          <w:color w:val="006A4E"/>
          <w:sz w:val="24"/>
          <w:szCs w:val="24"/>
        </w:rPr>
        <w:t xml:space="preserve">Information and Communication Technology Division</w:t>
      </w:r>
    </w:p>
    <w:p>
      <w:pPr>
        <w:pBdr>
          <w:bottom w:val="single" w:color="006A4E" w:sz="10"/>
        </w:pBdr>
        <w:spacing w:before="60" w:after="60"/>
        <w:jc w:val="center"/>
      </w:pPr>
      <w:r>
        <w:t xml:space="preserve"/>
      </w:r>
    </w:p>
    <w:p>
      <w:pPr>
        <w:spacing w:before="60" w:after="60"/>
      </w:pPr>
      <w:r>
        <w:t xml:space="preserve"/>
      </w:r>
    </w:p>
    <w:p>
      <w:pPr>
        <w:spacing w:before="120" w:after="80"/>
        <w:jc w:val="center"/>
      </w:pPr>
      <w:r>
        <w:rPr>
          <w:rFonts w:ascii="Arial" w:cs="Arial" w:eastAsia="Arial" w:hAnsi="Arial"/>
          <w:b/>
          <w:bCs/>
          <w:color w:val="1A3C6E"/>
          <w:sz w:val="56"/>
          <w:szCs w:val="56"/>
        </w:rPr>
        <w:t xml:space="preserve">Bangladesh National</w:t>
      </w:r>
    </w:p>
    <w:p>
      <w:pPr>
        <w:spacing w:before="0" w:after="80"/>
        <w:jc w:val="center"/>
      </w:pPr>
      <w:r>
        <w:rPr>
          <w:rFonts w:ascii="Arial" w:cs="Arial" w:eastAsia="Arial" w:hAnsi="Arial"/>
          <w:b/>
          <w:bCs/>
          <w:color w:val="006A4E"/>
          <w:sz w:val="56"/>
          <w:szCs w:val="56"/>
        </w:rPr>
        <w:t xml:space="preserve">Artificial Intelligence Policy</w:t>
      </w:r>
    </w:p>
    <w:p>
      <w:pPr>
        <w:spacing w:before="0" w:after="120"/>
        <w:jc w:val="center"/>
      </w:pPr>
      <w:r>
        <w:rPr>
          <w:rFonts w:ascii="Arial" w:cs="Arial" w:eastAsia="Arial" w:hAnsi="Arial"/>
          <w:b/>
          <w:bCs/>
          <w:color w:val="C8102E"/>
          <w:sz w:val="28"/>
          <w:szCs w:val="28"/>
        </w:rPr>
        <w:t xml:space="preserve">Version 2.0  |  2025 – 2030</w:t>
      </w:r>
    </w:p>
    <w:p>
      <w:pPr>
        <w:spacing w:before="60" w:after="60"/>
      </w:pPr>
      <w:r>
        <w:t xml:space="preserve"/>
      </w:r>
    </w:p>
    <w:p>
      <w:pPr>
        <w:spacing w:before="60" w:after="60"/>
        <w:jc w:val="center"/>
      </w:pPr>
      <w:r>
        <w:rPr>
          <w:rFonts w:ascii="Arial" w:cs="Arial" w:eastAsia="Arial" w:hAnsi="Arial"/>
          <w:b/>
          <w:bCs/>
          <w:color w:val="1A3C6E"/>
          <w:sz w:val="24"/>
          <w:szCs w:val="24"/>
        </w:rPr>
        <w:t xml:space="preserve">Authored by: Ahmad Rafi</w:t>
      </w:r>
    </w:p>
    <w:p>
      <w:pPr>
        <w:spacing w:before="0" w:after="60"/>
        <w:jc w:val="center"/>
      </w:pPr>
      <w:r>
        <w:rPr>
          <w:rFonts w:ascii="Arial" w:cs="Arial" w:eastAsia="Arial" w:hAnsi="Arial"/>
          <w:i/>
          <w:iCs/>
          <w:color w:val="006A4E"/>
          <w:sz w:val="22"/>
          <w:szCs w:val="22"/>
        </w:rPr>
        <w:t xml:space="preserve">Civic Technologist &amp; Political Consultant | Political Insights BD (PIBBD)</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19"/>
                <w:szCs w:val="19"/>
              </w:rPr>
              <w:t xml:space="preserve">Classification</w:t>
            </w:r>
          </w:p>
          <w:p>
            <w:r>
              <w:rPr>
                <w:rFonts w:ascii="Arial" w:cs="Arial" w:eastAsia="Arial" w:hAnsi="Arial"/>
                <w:color w:val="1A1A1A"/>
                <w:sz w:val="19"/>
                <w:szCs w:val="19"/>
              </w:rPr>
              <w:t xml:space="preserve">Public Document</w:t>
            </w:r>
          </w:p>
        </w:tc>
        <w:tc>
          <w:tcPr>
            <w:tcW w:type="dxa" w:w="3009"/>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006A4E"/>
                <w:sz w:val="19"/>
                <w:szCs w:val="19"/>
              </w:rPr>
              <w:t xml:space="preserve">Published</w:t>
            </w:r>
          </w:p>
          <w:p>
            <w:r>
              <w:rPr>
                <w:rFonts w:ascii="Arial" w:cs="Arial" w:eastAsia="Arial" w:hAnsi="Arial"/>
                <w:color w:val="1A1A1A"/>
                <w:sz w:val="19"/>
                <w:szCs w:val="19"/>
              </w:rPr>
              <w:t xml:space="preserve">January 2025</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8102E"/>
                <w:sz w:val="19"/>
                <w:szCs w:val="19"/>
              </w:rPr>
              <w:t xml:space="preserve">Review Date</w:t>
            </w:r>
          </w:p>
          <w:p>
            <w:r>
              <w:rPr>
                <w:rFonts w:ascii="Arial" w:cs="Arial" w:eastAsia="Arial" w:hAnsi="Arial"/>
                <w:color w:val="1A1A1A"/>
                <w:sz w:val="19"/>
                <w:szCs w:val="19"/>
              </w:rPr>
              <w:t xml:space="preserve">December 2028</w:t>
            </w:r>
          </w:p>
        </w:tc>
      </w:tr>
    </w:tbl>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Executive Summary</w:t>
      </w:r>
    </w:p>
    <w:p>
      <w:pPr>
        <w:spacing w:before="60" w:after="80" w:line="320" w:lineRule="auto"/>
        <w:jc w:val="both"/>
      </w:pPr>
      <w:r>
        <w:rPr>
          <w:rFonts w:ascii="Arial" w:cs="Arial" w:eastAsia="Arial" w:hAnsi="Arial"/>
          <w:color w:val="1A1A1A"/>
          <w:sz w:val="22"/>
          <w:szCs w:val="22"/>
        </w:rPr>
        <w:t xml:space="preserve">Bangladesh stands at a defining crossroads in its development journey. The July–August 2024 student-led uprising has opened a historic window for democratic renewal, institutional reform, and technological transformation. Artificial intelligence represents one of the most consequential forces shaping this transformation — one that can either accelerate inclusive growth or deepen existing inequalities, depending on how it is governed.</w:t>
      </w:r>
    </w:p>
    <w:p>
      <w:pPr>
        <w:spacing w:before="60" w:after="80" w:line="320" w:lineRule="auto"/>
        <w:jc w:val="both"/>
      </w:pPr>
      <w:r>
        <w:rPr>
          <w:rFonts w:ascii="Arial" w:cs="Arial" w:eastAsia="Arial" w:hAnsi="Arial"/>
          <w:color w:val="1A1A1A"/>
          <w:sz w:val="22"/>
          <w:szCs w:val="22"/>
        </w:rPr>
        <w:t xml:space="preserve">This National AI Policy (Version 2.0) establishes Bangladesh's strategic framework for the responsible development, deployment, and governance of AI from 2025 to 2030. It is authored by Ahmad Rafi of Political Insights BD (PIBBD) and is designed to serve as a living policy document — grounded in Bangladesh's socio-economic realities, aligned with international best practices, and adaptive to rapid technological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C6E" w:sz="4"/>
              <w:left w:val="single" w:color="1A3C6E" w:sz="4"/>
              <w:bottom w:val="single" w:color="1A3C6E" w:sz="4"/>
              <w:right w:val="single" w:color="1A3C6E" w:sz="4"/>
            </w:tcBorders>
            <w:shd w:fill="D6E4F0" w:val="clear"/>
            <w:tcMar>
              <w:top w:type="dxa" w:w="100"/>
              <w:left w:type="dxa" w:w="200"/>
              <w:bottom w:type="dxa" w:w="80"/>
              <w:right w:type="dxa" w:w="200"/>
            </w:tcMar>
          </w:tcPr>
          <w:p>
            <w:pPr>
              <w:spacing w:before="40" w:after="60"/>
            </w:pPr>
            <w:r>
              <w:rPr>
                <w:rFonts w:ascii="Arial" w:cs="Arial" w:eastAsia="Arial" w:hAnsi="Arial"/>
                <w:b/>
                <w:bCs/>
                <w:color w:val="1A3C6E"/>
                <w:sz w:val="22"/>
                <w:szCs w:val="22"/>
              </w:rPr>
              <w:t xml:space="preserve">Key Policy Pillars at a Glance</w:t>
            </w:r>
          </w:p>
          <w:p>
            <w:pPr>
              <w:spacing w:before="30" w:after="30"/>
              <w:jc w:val="both"/>
            </w:pPr>
            <w:r>
              <w:rPr>
                <w:rFonts w:ascii="Arial" w:cs="Arial" w:eastAsia="Arial" w:hAnsi="Arial"/>
                <w:color w:val="1A1A1A"/>
                <w:sz w:val="21"/>
                <w:szCs w:val="21"/>
              </w:rPr>
              <w:t xml:space="preserve">➤  National Bangla LLM: Develop an open-source, Bangladesh-centric Large Language Model to democratize AI for all 170 million citizens.</w:t>
            </w:r>
          </w:p>
          <w:p>
            <w:pPr>
              <w:spacing w:before="30" w:after="30"/>
              <w:jc w:val="both"/>
            </w:pPr>
            <w:r>
              <w:rPr>
                <w:rFonts w:ascii="Arial" w:cs="Arial" w:eastAsia="Arial" w:hAnsi="Arial"/>
                <w:color w:val="1A1A1A"/>
                <w:sz w:val="21"/>
                <w:szCs w:val="21"/>
              </w:rPr>
              <w:t xml:space="preserve">➤  UGC AI Computing Cluster: Establish shared GPU infrastructure across all public universities (512 A100/H100 units by 2026).</w:t>
            </w:r>
          </w:p>
          <w:p>
            <w:pPr>
              <w:spacing w:before="30" w:after="30"/>
              <w:jc w:val="both"/>
            </w:pPr>
            <w:r>
              <w:rPr>
                <w:rFonts w:ascii="Arial" w:cs="Arial" w:eastAsia="Arial" w:hAnsi="Arial"/>
                <w:color w:val="1A1A1A"/>
                <w:sz w:val="21"/>
                <w:szCs w:val="21"/>
              </w:rPr>
              <w:t xml:space="preserve">➤  National Ethics Review Board (NERB): Independent oversight body with legal authority to audit, suspend, and sanction AI systems.</w:t>
            </w:r>
          </w:p>
          <w:p>
            <w:pPr>
              <w:spacing w:before="30" w:after="30"/>
              <w:jc w:val="both"/>
            </w:pPr>
            <w:r>
              <w:rPr>
                <w:rFonts w:ascii="Arial" w:cs="Arial" w:eastAsia="Arial" w:hAnsi="Arial"/>
                <w:color w:val="1A1A1A"/>
                <w:sz w:val="21"/>
                <w:szCs w:val="21"/>
              </w:rPr>
              <w:t xml:space="preserve">➤  AI Re-skilling Fund: BDT 50 crore dedicated fund to retrain 100,000+ workers displaced by automation (60% women).</w:t>
            </w:r>
          </w:p>
          <w:p>
            <w:pPr>
              <w:spacing w:before="30" w:after="30"/>
              <w:jc w:val="both"/>
            </w:pPr>
            <w:r>
              <w:rPr>
                <w:rFonts w:ascii="Arial" w:cs="Arial" w:eastAsia="Arial" w:hAnsi="Arial"/>
                <w:color w:val="1A1A1A"/>
                <w:sz w:val="21"/>
                <w:szCs w:val="21"/>
              </w:rPr>
              <w:t xml:space="preserve">➤  AI Startup Incentive Package: 5-year tax holidays, duty-free hardware imports, and BDT 50 lakh seed grants.</w:t>
            </w:r>
          </w:p>
          <w:p>
            <w:pPr>
              <w:spacing w:before="30" w:after="30"/>
              <w:jc w:val="both"/>
            </w:pPr>
            <w:r>
              <w:rPr>
                <w:rFonts w:ascii="Arial" w:cs="Arial" w:eastAsia="Arial" w:hAnsi="Arial"/>
                <w:color w:val="1A1A1A"/>
                <w:sz w:val="21"/>
                <w:szCs w:val="21"/>
              </w:rPr>
              <w:t xml:space="preserve">➤  Risk-Based Regulatory Framework: Four-tier classification (Prohibited / High-Risk / Limited-Risk / Low-Risk) modeled on the EU AI Act.</w:t>
            </w:r>
          </w:p>
        </w:tc>
      </w:tr>
    </w:tbl>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026"/>
        <w:gridCol w:w="2200"/>
      </w:tblGrid>
      <w:tr>
        <w:trPr>
          <w:tblHeader/>
        </w:trPr>
        <w:tc>
          <w:tcPr>
            <w:tcW w:type="dxa" w:w="8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6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22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Introduction &amp; National 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2</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Policy Vision &amp; Objectives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National AI Principles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7</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Foundational Pillars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Regulatory Framework &amp; Risk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4.2</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Data Sovereignty &amp; Privacy-Preserving AI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Infrastructure — UGC AI Computing Cluster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4.4</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Strategic Project: National Bangla LLM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Misinformation, Deepfakes &amp; Digital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4.6</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Human Rights &amp; Human-in-the-Loop (HITL)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Literacy &amp; Public Awareness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4.8</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Civil Service Capacity Building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4.9</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Risk Management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4.10</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International Alignment &amp; Cooperation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4.11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Liability, Redress &amp; AI Ombudsman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5</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Sector-Specific Priorities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Implementation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7</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Monitoring, Evaluation &amp; Review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App.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Abbreviations &amp; Glossary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24</w:t>
            </w:r>
          </w:p>
        </w:tc>
      </w:tr>
    </w:tbl>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1. Introduction &amp; National Context</w:t>
      </w:r>
    </w:p>
    <w:p>
      <w:pPr>
        <w:pStyle w:val="Heading2"/>
        <w:spacing w:before="280" w:after="120"/>
      </w:pPr>
      <w:r>
        <w:rPr>
          <w:rFonts w:ascii="Arial" w:cs="Arial" w:eastAsia="Arial" w:hAnsi="Arial"/>
          <w:b/>
          <w:bCs/>
          <w:color w:val="006A4E"/>
          <w:sz w:val="26"/>
          <w:szCs w:val="26"/>
        </w:rPr>
        <w:t xml:space="preserve">1.1 The Bangladesh Moment</w:t>
      </w:r>
    </w:p>
    <w:p>
      <w:pPr>
        <w:spacing w:before="60" w:after="80" w:line="320" w:lineRule="auto"/>
        <w:jc w:val="both"/>
      </w:pPr>
      <w:r>
        <w:rPr>
          <w:rFonts w:ascii="Arial" w:cs="Arial" w:eastAsia="Arial" w:hAnsi="Arial"/>
          <w:color w:val="1A1A1A"/>
          <w:sz w:val="22"/>
          <w:szCs w:val="22"/>
        </w:rPr>
        <w:t xml:space="preserve">Bangladesh is entering a new chapter in its history. The July–August 2024 mass uprising — led primarily by students and youth — dismantled decades of political incumbency and created conditions for systemic reform across governance, economy, and technology. The interim government under Professor Muhammad Yunus has embraced this mandate, prioritizing transparency, institutional modernization, and digital transformation as the foundations of a renewed Bangladesh.</w:t>
      </w:r>
    </w:p>
    <w:p>
      <w:pPr>
        <w:spacing w:before="60" w:after="80" w:line="320" w:lineRule="auto"/>
        <w:jc w:val="both"/>
      </w:pPr>
      <w:r>
        <w:rPr>
          <w:rFonts w:ascii="Arial" w:cs="Arial" w:eastAsia="Arial" w:hAnsi="Arial"/>
          <w:color w:val="1A1A1A"/>
          <w:sz w:val="22"/>
          <w:szCs w:val="22"/>
        </w:rPr>
        <w:t xml:space="preserve">Against this backdrop, artificial intelligence is not merely a technological choice — it is a governance imperative. AI is already reshaping how economies grow, how governments serve citizens, how information spreads, and how power is exercised. Bangladesh must develop a coherent national response to ensure that AI works for its people — not against them.</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1.2 Socio-Economic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Indicator</w:t>
            </w:r>
          </w:p>
        </w:tc>
        <w:tc>
          <w:tcPr>
            <w:tcW w:type="dxa" w:w="5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(2025)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Total Population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~170 million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Youth (15–35 years)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63% of workforce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Internet Penetration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54.8% of households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Smartphone Users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72.8% (up from 63% in 2023)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Urban Internet Access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68%+</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Rural Internet Access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Below 38%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RMG Workforce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4 million+ (80% women)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RMG Automation Risk (ILO)</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60.8% of jobs at high risk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Doctors per 10,000 people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6 (WHO recommends 23)</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Annual Road Fatalities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~32,000 (2021)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Annual Post-Harvest Food Loss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21 million tons</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1.3 Why Bangladesh Needs a National AI Policy — Now</w:t>
      </w:r>
    </w:p>
    <w:p>
      <w:pPr>
        <w:spacing w:before="60" w:after="80" w:line="320" w:lineRule="auto"/>
        <w:jc w:val="both"/>
      </w:pPr>
      <w:r>
        <w:rPr>
          <w:rFonts w:ascii="Arial" w:cs="Arial" w:eastAsia="Arial" w:hAnsi="Arial"/>
          <w:color w:val="1A1A1A"/>
          <w:sz w:val="22"/>
          <w:szCs w:val="22"/>
        </w:rPr>
        <w:t xml:space="preserve">The majority of Bangladesh's population is already using AI products — primarily ChatGPT, Gemini, and other generative AI tools accessed via smartphones — without any national governance framework in place. This absence of policy creates compounding risks: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Uncontrolled misinformation and deepfakes threatening electoral integrity and communal harmony.</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Algorithmic bias from foreign AI systems trained on data that does not reflect Bangladeshi realities.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Displacement of garment and IT workers without social safety nets or re-skilling pathways.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Bangladesh's sensitive national data flowing to foreign AI infrastructure without regulatory oversight.</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Missed opportunity to build a domestic AI industry that could contribute 2%+ to GDP by 2030.</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1.4 Strategic Alignment</w:t>
      </w:r>
    </w:p>
    <w:p>
      <w:pPr>
        <w:spacing w:before="60" w:after="80" w:line="320" w:lineRule="auto"/>
        <w:jc w:val="both"/>
      </w:pPr>
      <w:r>
        <w:rPr>
          <w:rFonts w:ascii="Arial" w:cs="Arial" w:eastAsia="Arial" w:hAnsi="Arial"/>
          <w:color w:val="1A1A1A"/>
          <w:sz w:val="22"/>
          <w:szCs w:val="22"/>
        </w:rPr>
        <w:t xml:space="preserve">This policy is anchored in Bangladesh's Vision 2041 Grand Plan, the UN Sustainable Development Goals (SDGs) 2030, and internationally recognized AI governance frameworks including the OECD AI Principles and UNESCO's Recommendation on the Ethics of AI. It recognizes AI as a general-purpose transformative technology that must be harnessed to accelerate inclusive growth, modernize governance, and establish Bangladesh as South Asia's leading civic technology hub.</w:t>
      </w:r>
    </w:p>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2. Policy Vision &amp; Objectives</w:t>
      </w:r>
    </w:p>
    <w:p>
      <w:pPr>
        <w:pStyle w:val="Heading2"/>
        <w:spacing w:before="280" w:after="120"/>
      </w:pPr>
      <w:r>
        <w:rPr>
          <w:rFonts w:ascii="Arial" w:cs="Arial" w:eastAsia="Arial" w:hAnsi="Arial"/>
          <w:b/>
          <w:bCs/>
          <w:color w:val="006A4E"/>
          <w:sz w:val="26"/>
          <w:szCs w:val="26"/>
        </w:rPr>
        <w:t xml:space="preserve">2.1 National AI Vision</w:t>
      </w:r>
    </w:p>
    <w:p>
      <w:pPr>
        <w:pBdr>
          <w:top w:val="single" w:color="006A4E" w:sz="8"/>
          <w:bottom w:val="single" w:color="006A4E" w:sz="8"/>
          <w:left w:val="single" w:color="006A4E" w:sz="8"/>
          <w:right w:val="single" w:color="006A4E" w:sz="8"/>
        </w:pBdr>
        <w:spacing w:before="120" w:after="120"/>
        <w:jc w:val="center"/>
      </w:pPr>
      <w:r>
        <w:rPr>
          <w:rFonts w:ascii="Arial" w:cs="Arial" w:eastAsia="Arial" w:hAnsi="Arial"/>
          <w:b/>
          <w:bCs/>
          <w:i/>
          <w:iCs/>
          <w:color w:val="1A3C6E"/>
          <w:sz w:val="24"/>
          <w:szCs w:val="24"/>
        </w:rPr>
        <w:t xml:space="preserve">"To build an inclusive, ethical, and innovation-driven AI ecosystem — where every Bangladeshi citizen benefits equally from artificial intelligence and is protected from its harms."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2.2 Strategic Objectives — Phased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Timeframe</w:t>
            </w:r>
          </w:p>
        </w:tc>
        <w:tc>
          <w:tcPr>
            <w:tcW w:type="dxa" w:w="6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Objectives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Short-Term
(2025–2027)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Establish national AI governance institutions (NERB, AI Ombudsman). Launch National Bangla LLM Phase 1. Deploy AI pilot projects in 3 government sectors. Initiate AI literacy campaign for civil servants.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Medium-Term
(2027–2029)</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Deploy BDT 200+ crore from AI Innovation Fund. Scale AI to 10+ government sectors. Launch AI Re-skilling Fund with 50,000 beneficiaries. Activate UGC AI Computing Cluster for research.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Long-Term
(2029–2030)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Position Bangladesh as South Asia's top AI hub. Draft and table the Comprehensive AI Act. Achieve 2%+ GDP contribution from AI. Reach 100,000+ re-skilled workers.</w:t>
            </w:r>
          </w:p>
        </w:tc>
      </w:tr>
    </w:tbl>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3. National AI Principles</w:t>
      </w:r>
    </w:p>
    <w:p>
      <w:pPr>
        <w:spacing w:before="60" w:after="80" w:line="320" w:lineRule="auto"/>
        <w:jc w:val="both"/>
      </w:pPr>
      <w:r>
        <w:rPr>
          <w:rFonts w:ascii="Arial" w:cs="Arial" w:eastAsia="Arial" w:hAnsi="Arial"/>
          <w:color w:val="1A1A1A"/>
          <w:sz w:val="22"/>
          <w:szCs w:val="22"/>
        </w:rPr>
        <w:t xml:space="preserve">Bangladesh's AI principles are grounded in the country's democratic values, cultural context, and international obligations. These seven principles guide all policy priorities, regulatory decisions, and implementation choices.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Principle</w:t>
            </w:r>
          </w:p>
        </w:tc>
        <w:tc>
          <w:tcPr>
            <w:tcW w:type="dxa" w:w="6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 in Practice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1. Ethical &amp; Safe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systems must not violate human rights, discriminate against any group, or undermine human dignity. Mandatory ethics reviews for high-risk deployments.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2. Human-Centric</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assists people; it does not replace human judgment in high-stakes decisions. Human-in-the-Loop (HITL) is mandatory for decisions affecting life, liberty, or livelihood.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3. Transparent &amp; Explainable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Citizens have the right to know when an AI system is making decisions about them, and to receive a plain-language explanation of how and why.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4. Inclusive &amp; Equitable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Active countermeasures against algorithmic bias. Equal access to AI benefits for women, persons with disabilities, rural populations, and marginalized communities.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5. Accountable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Clear liability for AI-caused harm — regardless of intent. Deploying institutions face strict liability for high-risk AI failures.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6. Innovation-Enabling</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Regulatory Sandbox, tax incentives, and startup grants to nurture a domestic AI industry without compromising safety.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7. Digitally Sovereign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Sensitive national data stored within Bangladesh's borders. Reduce over-dependence on foreign AI platforms through the National Bangla LLM.</w:t>
            </w:r>
          </w:p>
        </w:tc>
      </w:tr>
    </w:tbl>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4. Foundational Pillars</w:t>
      </w:r>
    </w:p>
    <w:p>
      <w:pPr>
        <w:pStyle w:val="Heading2"/>
        <w:spacing w:before="280" w:after="120"/>
      </w:pPr>
      <w:r>
        <w:rPr>
          <w:rFonts w:ascii="Arial" w:cs="Arial" w:eastAsia="Arial" w:hAnsi="Arial"/>
          <w:b/>
          <w:bCs/>
          <w:color w:val="006A4E"/>
          <w:sz w:val="26"/>
          <w:szCs w:val="26"/>
        </w:rPr>
        <w:t xml:space="preserve">4.1 Regulatory Framework — Risk-Based Classification</w:t>
      </w:r>
    </w:p>
    <w:p>
      <w:pPr>
        <w:spacing w:before="60" w:after="80" w:line="320" w:lineRule="auto"/>
        <w:jc w:val="both"/>
      </w:pPr>
      <w:r>
        <w:rPr>
          <w:rFonts w:ascii="Arial" w:cs="Arial" w:eastAsia="Arial" w:hAnsi="Arial"/>
          <w:color w:val="1A1A1A"/>
          <w:sz w:val="22"/>
          <w:szCs w:val="22"/>
        </w:rPr>
        <w:t xml:space="preserve">The government will adopt a risk-based AI regulatory framework modeled on the EU AI Act, complementing existing legislation — the Personal Data Protection Ordinance (PDPO) 2025, the National Data Governance Ordinance (NDGO) 2025, and the Cyber Safety Ordinance 2025.</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6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 &amp; Regulatory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PROHIBITED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Social scoring systems; indiscriminate biometric mass surveillance in public spaces; manipulative AI exploiting psychological vulnerabilities; AI-generated CSAM targeting children. Immediate ban — no exemptions.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HIGH-RISK</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Healthcare AI; judicial &amp; law enforcement AI; credit &amp; insurance scoring; recruitment AI; critical infrastructure AI. Mandatory: pre-deployment ethics clearance from NERB, algorithmic impact assessment, mandatory HITL, post-deployment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LIMITED-RISK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Chatbots, recommendation engines, content personalization. Mandatory: transparency disclosure — the user must be informed they are interacting with 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LOW-RISK</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Spam filters, game AI, basic automation. General compliance with data protection laws. No sector-specific AI regulations required.</w:t>
            </w:r>
          </w:p>
        </w:tc>
      </w:tr>
    </w:tbl>
    <w:p>
      <w:pPr>
        <w:spacing w:before="60" w:after="60"/>
      </w:pPr>
      <w:r>
        <w:t xml:space="preserve"/>
      </w:r>
    </w:p>
    <w:p>
      <w:pPr>
        <w:spacing w:before="200" w:after="80"/>
      </w:pPr>
      <w:r>
        <w:rPr>
          <w:rFonts w:ascii="Arial" w:cs="Arial" w:eastAsia="Arial" w:hAnsi="Arial"/>
          <w:b/>
          <w:bCs/>
          <w:i/>
          <w:iCs/>
          <w:color w:val="C8102E"/>
          <w:sz w:val="22"/>
          <w:szCs w:val="22"/>
        </w:rPr>
        <w:t xml:space="preserve">New Addition: National Ethics Review Board (NERB)</w:t>
      </w:r>
    </w:p>
    <w:p>
      <w:pPr>
        <w:spacing w:before="60" w:after="80" w:line="320" w:lineRule="auto"/>
        <w:jc w:val="both"/>
      </w:pPr>
      <w:r>
        <w:rPr>
          <w:rFonts w:ascii="Arial" w:cs="Arial" w:eastAsia="Arial" w:hAnsi="Arial"/>
          <w:color w:val="1A1A1A"/>
          <w:sz w:val="22"/>
          <w:szCs w:val="22"/>
        </w:rPr>
        <w:t xml:space="preserve">The government will establish an independent National Ethics Review Board (NERB) operating entirely separately from the ICT Division and industry stakeholders.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Composition: 1 Chairperson (retired judge or senior academic), 3 AI/ML experts, 2 human rights lawyers, 2 civil society representatives, 1 women's rights specialist, 1 representative of persons with disabilities.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Mandate: Issue ethics clearance for all High-Risk AI systems; investigate AI-related complaints; publish annual Ethics Audit Reports.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Powers: Legal authority to suspend, modify, or shut down AI systems found to be unsafe or unethical.</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Independence: NERB members appointed by parliamentary committee; cannot be dismissed by executive order.</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4.2 Data Sovereignty &amp; Privacy-Preserving AI</w:t>
      </w:r>
    </w:p>
    <w:p>
      <w:pPr>
        <w:spacing w:before="60" w:after="80" w:line="320" w:lineRule="auto"/>
        <w:jc w:val="both"/>
      </w:pPr>
      <w:r>
        <w:rPr>
          <w:rFonts w:ascii="Arial" w:cs="Arial" w:eastAsia="Arial" w:hAnsi="Arial"/>
          <w:color w:val="1A1A1A"/>
          <w:sz w:val="22"/>
          <w:szCs w:val="22"/>
        </w:rPr>
        <w:t xml:space="preserve">Data is the fuel of AI. The national AI strategy places data sovereignty at its core — ensuring that Bangladesh's most sensitive data remains under national control while enabling responsible AI innovation.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Data Localization: Health, biometric, financial, children's, and national security data must be stored and processed within Bangladesh's borders or in jurisdictions designated as trusted under applicable law.</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Federated Learning: Train AI models on local devices without centralizing sensitive personal data — particularly applicable to healthcare and financial AI deployments across Bangladesh's distributed geography.</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Differential Privacy: Mathematical noise injection into public datasets to prevent re-identification of individuals while enabling AI research on anonymized national data.</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Immutable Audit Trails: All government AI systems must maintain tamper-proof logs of what data was used, when, and for what purpose — accessible to NERB for auditing.</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Cross-Border Data Transfer: Transfers of sensitive national data to foreign AI companies require explicit approval from the National Data Governance Authority (NDGIA) and must be covered by data-sharing agreements with enforceable privacy provisions.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4.3 AI Infrastructure — UGC AI Computing Cluster</w:t>
      </w:r>
    </w:p>
    <w:p>
      <w:pPr>
        <w:spacing w:before="60" w:after="80" w:line="320" w:lineRule="auto"/>
        <w:jc w:val="both"/>
      </w:pPr>
      <w:r>
        <w:rPr>
          <w:rFonts w:ascii="Arial" w:cs="Arial" w:eastAsia="Arial" w:hAnsi="Arial"/>
          <w:color w:val="1A1A1A"/>
          <w:sz w:val="22"/>
          <w:szCs w:val="22"/>
        </w:rPr>
        <w:t xml:space="preserve">Bangladesh University Grants Commission (UGC) will establish a national Shared AI Computing Cluster accessible to all public universities, research institutions, and registered AI startups.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Hardware Target: 512 A100/H100 GPUs operational by end of 2026. Expandable to 2,048 units by 2029.</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Financing: Duty-free import of AI hardware components. Targeted funding from World Bank, Asian Development Bank, and bilateral partners.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Access Policy: Subsidized access for domestic AI researchers and startups. Priority allocation for National Bangla LLM training.</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Green AI: Minimum 40% of Cluster electricity from renewable energy sources (solar and gas co-generation).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Security: Air-gapped partitions for classified government AI workloads; separate open-access partitions for academic research.</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4.4 Strategic Project: National Bangla Large Language Model (LLM)</w:t>
      </w:r>
    </w:p>
    <w:p>
      <w:pPr>
        <w:spacing w:before="60" w:after="80" w:line="320" w:lineRule="auto"/>
        <w:jc w:val="both"/>
      </w:pPr>
      <w:r>
        <w:rPr>
          <w:rFonts w:ascii="Arial" w:cs="Arial" w:eastAsia="Arial" w:hAnsi="Arial"/>
          <w:color w:val="1A1A1A"/>
          <w:sz w:val="22"/>
          <w:szCs w:val="22"/>
        </w:rPr>
        <w:t xml:space="preserve">The National Bangla LLM is the most ambitious and consequential initiative in this policy. It will be an open-source, Bangladesh-centric foundation model trained on Bangla language data reflecting all dialects, cultural contexts, and local knowledge systems — from formal journalism to rural dialects spoken in Sylhet, Chittagong, and the Char 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C6E" w:sz="4"/>
              <w:left w:val="single" w:color="1A3C6E" w:sz="4"/>
              <w:bottom w:val="single" w:color="1A3C6E" w:sz="4"/>
              <w:right w:val="single" w:color="1A3C6E" w:sz="4"/>
            </w:tcBorders>
            <w:shd w:fill="D6E4F0" w:val="clear"/>
            <w:tcMar>
              <w:top w:type="dxa" w:w="100"/>
              <w:left w:type="dxa" w:w="200"/>
              <w:bottom w:type="dxa" w:w="80"/>
              <w:right w:type="dxa" w:w="200"/>
            </w:tcMar>
          </w:tcPr>
          <w:p>
            <w:pPr>
              <w:spacing w:before="40" w:after="60"/>
            </w:pPr>
            <w:r>
              <w:rPr>
                <w:rFonts w:ascii="Arial" w:cs="Arial" w:eastAsia="Arial" w:hAnsi="Arial"/>
                <w:b/>
                <w:bCs/>
                <w:color w:val="1A3C6E"/>
                <w:sz w:val="22"/>
                <w:szCs w:val="22"/>
              </w:rPr>
              <w:t xml:space="preserve">National Bangla LLM — Four-Phase Roadmap</w:t>
            </w:r>
          </w:p>
          <w:p>
            <w:pPr>
              <w:spacing w:before="30" w:after="30"/>
              <w:jc w:val="both"/>
            </w:pPr>
            <w:r>
              <w:rPr>
                <w:rFonts w:ascii="Arial" w:cs="Arial" w:eastAsia="Arial" w:hAnsi="Arial"/>
                <w:color w:val="1A1A1A"/>
                <w:sz w:val="21"/>
                <w:szCs w:val="21"/>
              </w:rPr>
              <w:t xml:space="preserve">➤  Phase 1 (2025–2026): Build Bangladesh's largest Bangla corpus — newspapers, literature, legal documents, government records, social media (ethically sourced). Target: 500 billion tokens. Consortium: BUET, DU, BRACU, SUST, and 6 other public universities.</w:t>
            </w:r>
          </w:p>
          <w:p>
            <w:pPr>
              <w:spacing w:before="30" w:after="30"/>
              <w:jc w:val="both"/>
            </w:pPr>
            <w:r>
              <w:rPr>
                <w:rFonts w:ascii="Arial" w:cs="Arial" w:eastAsia="Arial" w:hAnsi="Arial"/>
                <w:color w:val="1A1A1A"/>
                <w:sz w:val="21"/>
                <w:szCs w:val="21"/>
              </w:rPr>
              <w:t xml:space="preserve">➤  Phase 2 (2026–2027): Model training on UGC AI Cluster. Baseline model: 7B parameters (comparable to Llama 2); Fine-tuned variants for healthcare, legal, and agricultural use cases.</w:t>
            </w:r>
          </w:p>
          <w:p>
            <w:pPr>
              <w:spacing w:before="30" w:after="30"/>
              <w:jc w:val="both"/>
            </w:pPr>
            <w:r>
              <w:rPr>
                <w:rFonts w:ascii="Arial" w:cs="Arial" w:eastAsia="Arial" w:hAnsi="Arial"/>
                <w:color w:val="1A1A1A"/>
                <w:sz w:val="21"/>
                <w:szCs w:val="21"/>
              </w:rPr>
              <w:t xml:space="preserve">➤  Phase 3 (2027–2028): Government deployment — Bangla e-Sheba chatbot for land records, birth registration, pension, and licensing. Offline-capable mobile version for rural access.</w:t>
            </w:r>
          </w:p>
          <w:p>
            <w:pPr>
              <w:spacing w:before="30" w:after="30"/>
              <w:jc w:val="both"/>
            </w:pPr>
            <w:r>
              <w:rPr>
                <w:rFonts w:ascii="Arial" w:cs="Arial" w:eastAsia="Arial" w:hAnsi="Arial"/>
                <w:color w:val="1A1A1A"/>
                <w:sz w:val="21"/>
                <w:szCs w:val="21"/>
              </w:rPr>
              <w:t xml:space="preserve">➤  Phase 4 (2028+): Open API release for domestic startups. Collaboration with Bangla-speaking diaspora communities (India, UK, USA, UAE). Target: 10 million daily active users.</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4.5 Misinformation, Deepfakes &amp; Digital Safety</w:t>
      </w:r>
    </w:p>
    <w:p>
      <w:pPr>
        <w:spacing w:before="60" w:after="80" w:line="320" w:lineRule="auto"/>
        <w:jc w:val="both"/>
      </w:pPr>
      <w:r>
        <w:rPr>
          <w:rFonts w:ascii="Arial" w:cs="Arial" w:eastAsia="Arial" w:hAnsi="Arial"/>
          <w:color w:val="1A1A1A"/>
          <w:sz w:val="22"/>
          <w:szCs w:val="22"/>
        </w:rPr>
        <w:t xml:space="preserve">AI-generated deepfakes and synthetic misinformation pose a direct and documented threat to Bangladesh's electoral processes, communal harmony, and national security. The government will implement the following countermeasures: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Mandatory AI Content Labeling: All AI-generated content published on digital platforms operating in Bangladesh must carry a digital watermark or visible label. Platforms non-compliant within 12 months face suspension.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National Deepfake Detection Lab: Established under the ICT Division, providing forensic services to the Election Commission, law enforcement, and media organizations.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Strictly Prohibited (criminal offense): Creating or distributing non-consensual AI-generated sexual content; creating AI deepfakes of children in any exploitative context; producing synthetic political misinformation with intent to manipulate elections or incite communal violence.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Penalties: Offenses prosecuted under Cyber Safety Ordinance 2025 with minimum 3-year imprisonment and BDT 50 lakh fines for commercial-scale production.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Platform Liability: Social media platforms operating in Bangladesh bear secondary liability for knowingly hosting prohibited AI-generated content after 48-hour notice.</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4.6 Human Rights &amp; Human-in-the-Loop (HITL)</w:t>
      </w:r>
    </w:p>
    <w:p>
      <w:pPr>
        <w:spacing w:before="60" w:after="80" w:line="320" w:lineRule="auto"/>
        <w:jc w:val="both"/>
      </w:pPr>
      <w:r>
        <w:rPr>
          <w:rFonts w:ascii="Arial" w:cs="Arial" w:eastAsia="Arial" w:hAnsi="Arial"/>
          <w:color w:val="1A1A1A"/>
          <w:sz w:val="22"/>
          <w:szCs w:val="22"/>
        </w:rPr>
        <w:t xml:space="preserve">When AI systems make or influence decisions that directly affect a person's life — employment, credit, medical treatment, judicial outcomes — the right to human review is non-negotiable.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No High-Risk AI decision affecting a citizen's rights or livelihood may be finalized without human review and approval.</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Citizens subject to high-risk AI decisions have the right to: (a) be informed that AI was used; (b) receive a plain-language explanation of the decision rationale; (c) appeal to a human reviewer within 30 days.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All government AI chatbots and virtual assistants must identify themselves as AI — impersonating a human civil servant is a criminal offense.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Vulnerable populations — children, elderly, persons with disabilities, and those with limited digital literacy — receive enhanced protections, including mandatory human case worker assignment for AI-assisted social welfare decisions.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4.7 AI Literacy &amp; Public Awareness</w:t>
      </w:r>
    </w:p>
    <w:p>
      <w:pPr>
        <w:spacing w:before="60" w:after="80" w:line="320" w:lineRule="auto"/>
        <w:jc w:val="both"/>
      </w:pPr>
      <w:r>
        <w:rPr>
          <w:rFonts w:ascii="Arial" w:cs="Arial" w:eastAsia="Arial" w:hAnsi="Arial"/>
          <w:color w:val="1A1A1A"/>
          <w:sz w:val="22"/>
          <w:szCs w:val="22"/>
        </w:rPr>
        <w:t xml:space="preserve">The government will conduct a National AI Literacy Campaign from 2025 to 2027, targeting 10 million citizens across all 64 districts. This campaign recognizes that AI benefits only reach people who understand how to use AI tools safely and critically.</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Curriculum Integration: AI basics and computational thinking integrated into secondary (SSC) and higher secondary (HSC) national curriculum from 2026.</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Rural Outreach: AI awareness workshops delivered through Union Parishads and community radio in all 495 upazilas.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Media Literacy: Training citizens to identify AI-generated content, detect deepfakes, and report synthetic misinformation.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Women-Focused Programs: Dedicated AI literacy tracks for women in RMG factories and rural areas, in partnership with BRAC and NGO partners.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4.8 Civil Service Capacity Building</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All Class-I government officers: Mandatory 40-hour AI Literacy Course to be completed by end of 2026.</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Sector specialists (health, judiciary, education): Specialized 120-hour AI Governance and Ethics program.</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BCS Examination: AI policy, digital governance, and data ethics added to the BCS General Knowledge syllabus from 2027.</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Responsible GenAI Use Guide: Distributed to all ministries and departments, covering acceptable use, data handling, and output verification requirements.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4.9 Risk Management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Category</w:t>
            </w:r>
          </w:p>
        </w:tc>
        <w:tc>
          <w:tcPr>
            <w:tcW w:type="dxa" w:w="6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Ethical Risk
(Human rights violations)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Mandatory NERB clearance; pre-deployment Algorithmic Impact Assessment (AIA); annual bias audits by accredited third parties.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Operational Risk
(AI failures, hallucinations)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Mandatory HITL for consequential decisions; documented fallback protocols; national AI Incident Reporting System (IRS) — all major AI failures reported to ICT Division within 72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Deprivation Risk
(Digital exclusion)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National Bangla LLM; offline-capable AI tools for low-connectivity areas; rural AI kiosks in union offices.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Security Risk
(Adversarial attacks, model poisoning)</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Annual Red Team exercises on critical government AI systems; BGD e-GOV CIRT integration; mandatory penetration testing before High-Risk AI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Political Risk
(AI-enabled authoritarianism)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Prohibition on AI-enabled mass surveillance and social scoring; independent NERB oversight; whistleblower protections for AI system employees.</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4.10 International Alignment &amp; Cooperation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UN SDG 2030 and Universal Declaration of Human Rights (UDHR): Full alignment across all policy provisions.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OECD AI Principles: Adopted as non-binding guidance (Bangladesh is a non-member adhering state).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UNESCO AI Ethics Recommendation: Integrated into NERB's ethics review criteria.</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Council of Europe AI Framework Convention: Accession as a target by 2027.</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SAARC, BIMSTEC, ASEAN: Bilateral AI cooperation agreements, particularly on cross-border data standards and misinformation response.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Global Partnership on AI (GPAI): Formal engagement as an associate member by 2026.</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4.11 Liability, Redress &amp; AI Ombudsman</w:t>
      </w:r>
    </w:p>
    <w:p>
      <w:pPr>
        <w:spacing w:before="60" w:after="80" w:line="320" w:lineRule="auto"/>
        <w:jc w:val="both"/>
      </w:pPr>
      <w:r>
        <w:rPr>
          <w:rFonts w:ascii="Arial" w:cs="Arial" w:eastAsia="Arial" w:hAnsi="Arial"/>
          <w:color w:val="1A1A1A"/>
          <w:sz w:val="22"/>
          <w:szCs w:val="22"/>
        </w:rPr>
        <w:t xml:space="preserve">Organizations deploying High-Risk AI systems — government or private — face strict liability for harms caused by those systems, regardless of intent, negligence, or fault attribution.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Ombudsman Office: An independent office receiving citizen AI complaints, targeting 90% resolution within 30 days.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Specialized Digital Tribunal: Fast-track adjudication of AI-related compensation claims and class action suits.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Mandatory Insurance: Operators of High-Risk AI systems in healthcare, finance, and law enforcement must carry mandatory liability insurance covering AI-caused harm.</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Whistleblower Protection: Employees reporting AI safety violations are protected from retaliation under expanded whistleblower legislation.</w:t>
      </w:r>
    </w:p>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5. Sector-Specific Priorities &amp; Implementation Strategies</w:t>
      </w:r>
    </w:p>
    <w:p>
      <w:pPr>
        <w:pStyle w:val="Heading2"/>
        <w:spacing w:before="280" w:after="120"/>
      </w:pPr>
      <w:r>
        <w:rPr>
          <w:rFonts w:ascii="Arial" w:cs="Arial" w:eastAsia="Arial" w:hAnsi="Arial"/>
          <w:b/>
          <w:bCs/>
          <w:color w:val="006A4E"/>
          <w:sz w:val="26"/>
          <w:szCs w:val="26"/>
        </w:rPr>
        <w:t xml:space="preserve">5.1 Government Service Delivery</w:t>
      </w:r>
    </w:p>
    <w:p>
      <w:pPr>
        <w:spacing w:before="60" w:after="80" w:line="320" w:lineRule="auto"/>
        <w:jc w:val="both"/>
      </w:pPr>
      <w:r>
        <w:rPr>
          <w:rFonts w:ascii="Arial" w:cs="Arial" w:eastAsia="Arial" w:hAnsi="Arial"/>
          <w:color w:val="1A1A1A"/>
          <w:sz w:val="22"/>
          <w:szCs w:val="22"/>
        </w:rPr>
        <w:t xml:space="preserve">AI can dramatically improve the efficiency, speed, and equity of Bangladesh's public administration — where international evidence suggests up to 41% of government sector tasks can be enhanced by generative AI systems.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National Bangla LLM-powered e-Sheba Chatbot (target: live by 2027): Covering land records, birth/death registration, pension processing, driving license renewal, and tax queries — in Bangla.</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Mandatory Algorithmic Impact Assessment (AIA) for all government AI systems before deployment.</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Online Appeal Portal: Citizens can challenge AI-assisted government decisions, with mandated human review within 15 working days.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Procurement Standards: Updated Public Procurement Rules 2008 to include mandatory ethics compliance, security audits, and post-deployment monitoring for all government AI purchases.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5.2 Education, Research &amp; Development</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and Computational Thinking integrated into SSC and HSC national curriculum (from 2026).</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UGC AI Cluster: Free GPU access for academic researchers; priority allocation for Bangla NLP research.</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Academic Integrity Framework: Updated policies to address GenAI misuse in examinations and academic submissions — with AI detection tools deployed across public universities.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Student Data Protection: All AI tools used in educational settings must comply with strict data minimization and purpose limitation principles.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PhD Scholarships: 50 fully funded government scholarships for AI/ML doctoral research annually from 2026.</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5.3 Labour, Employment &amp; the AI Re-skilling Fund</w:t>
      </w:r>
    </w:p>
    <w:p>
      <w:pPr>
        <w:spacing w:before="60" w:after="80" w:line="320" w:lineRule="auto"/>
        <w:jc w:val="both"/>
      </w:pPr>
      <w:r>
        <w:rPr>
          <w:rFonts w:ascii="Arial" w:cs="Arial" w:eastAsia="Arial" w:hAnsi="Arial"/>
          <w:color w:val="1A1A1A"/>
          <w:sz w:val="22"/>
          <w:szCs w:val="22"/>
        </w:rPr>
        <w:t xml:space="preserve">AI poses a direct and near-term threat to Bangladesh's garment workers — the backbone of a sector generating 84% of national export earnings. The government will not allow technological transformation to become a humanitarian crisis.</w:t>
      </w:r>
    </w:p>
    <w:p>
      <w:pPr>
        <w:spacing w:before="200" w:after="80"/>
      </w:pPr>
      <w:r>
        <w:rPr>
          <w:rFonts w:ascii="Arial" w:cs="Arial" w:eastAsia="Arial" w:hAnsi="Arial"/>
          <w:b/>
          <w:bCs/>
          <w:i/>
          <w:iCs/>
          <w:color w:val="C8102E"/>
          <w:sz w:val="22"/>
          <w:szCs w:val="22"/>
        </w:rPr>
        <w:t xml:space="preserve">NEW: AI Re-skilling Fund — Full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5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Fund Size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BDT 50 crore (2026–2030 period)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Funding Sources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Government budget allocation (60%), corporate CSR contributions (30%), international development grants (10%)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Primary Beneficiaries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RMG workers, IT sector employees facing automation; subsequently extended to all at-risk sectors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Training Duration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3–6 month intensive programs with industry-recognized certification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Course Types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Data Annotation, AI-assisted Quality Assurance, Digital Marketing, Cybersecurity Basics, AI Prompt Engineering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Gender Target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Minimum 60% women beneficiaries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Geographic Coverage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All 64 districts; mobile training units for EPZ workers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Job Placement Target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70% of graduates placed within 6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Total Beneficiaries (2030)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100,000+</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5.4 Investment &amp; AI Startup Ecosystem</w:t>
      </w:r>
    </w:p>
    <w:p>
      <w:pPr>
        <w:spacing w:before="200" w:after="80"/>
      </w:pPr>
      <w:r>
        <w:rPr>
          <w:rFonts w:ascii="Arial" w:cs="Arial" w:eastAsia="Arial" w:hAnsi="Arial"/>
          <w:b/>
          <w:bCs/>
          <w:i/>
          <w:iCs/>
          <w:color w:val="C8102E"/>
          <w:sz w:val="22"/>
          <w:szCs w:val="22"/>
        </w:rPr>
        <w:t xml:space="preserve">NEW: AI Startup Incentive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Incentive</w:t>
            </w:r>
          </w:p>
        </w:tc>
        <w:tc>
          <w:tcPr>
            <w:tcW w:type="dxa" w:w="55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Tax Holiday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100% income tax exemption for registered AI startups for the first 5 years of operation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Duty-Free Hardware Import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Zero customs duty on AI hardware: GPUs, servers, IoT sensors, edge computing devices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Startup Seed Grants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Up to BDT 50 lakh per startup; 50 grants awarded annually via competitive pitch process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Fast-Track Registration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startup company registration guaranteed within 7 working days via BIDA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Regulatory Sandbox</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Up to 24 months of regulatory exemption for controlled AI product testing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Foreign Investment Window</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BIDA single-window service for foreign AI investors — targeting USD 200 million by 2028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R&amp;D Tax Deduction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R&amp;D expenditures eligible for 200% tax deduction</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5.5 National Security &amp; Cybersecurity</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All classified government AI systems subject to Top Secret-level data security controls with mandatory hardware security modules (HSM).</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BGD e-GOV CIRT AI Threat Intelligence Unit: Dedicated team monitoring AI-specific cyber threats including prompt injection, model inversion, and adversarial attacks.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Counter-Disinformation Unit: Joint operation between the ICT Division, Election Commission, and law enforcement to detect and respond to AI-generated electoral interference.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Annual Red Team Exercises: All critical government AI systems subject to adversarial red-teaming by independent cybersecurity firms.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Strict Prohibition: AI systems may not be used for mass surveillance, political profiling, suppression of free expression, or disproportionate government control over citizens.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5.6 Agriculture &amp; Food Security</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Weather &amp; Crop Advisory: Localized SMS-based forecasts and crop-specific recommendations delivered to farmers in all 495 upazilas in Bangla — powered by the National Bangla LLM.</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Crop Disease Detection App: Farmers photograph crop symptoms; AI provides instant disease identification and treatment guidance — government-validated by agricultural extension officers.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Post-Harvest Loss Reduction: AI-optimized cold chain routing and inventory management to reduce Bangladesh's annual 21 million ton post-harvest food loss.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All AI-generated agricultural advice must be validated by government-designated agricultural specialists before dissemination.</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5.7 Healthcare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AI-enabled health systems are strictly prohibited from independently making life-altering clinical decisions. All high-risk, invasive, or life-critical treatment decisions require approval by a licensed physician.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National Health Database (anonymized): Federated Learning-based AI research on Bangladesh's national disease burden, enabled without centralizing patient records.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Telemedicine AI Chatbot (Bangla): Provides primary health information and triage guidance — always with clear escalation paths to human doctors. Deployed to 10,000 community health centers by 2028.</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All healthcare AI applications subject to mandatory clinical safety validation, third-party audit, and post-deployment adverse event reporting.</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5.8 Transportation &amp; Urban Mobility</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AI-Adaptive Traffic Signal System in Dhaka: Target 30% reduction in peak-hour congestion. Deployed in stages from 2026.</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Accident Prediction System on National Highways: CCTV and IoT sensor data analyzed for speeding, wrong-way driving, and intoxicated driving indicators — real-time alerts to Traffic Police Command Center.</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All AI-identified traffic incidents subject to mandatory human verification before punitive action.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AI-powered public transport optimization: Route planning and scheduling for BRTC and Dhaka Metro based on real-time demand data.</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5.9 Disaster Risk Reduction &amp; Climate Adaptation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ML-Powered Flood Forecasting: Target 72-hour advance warning capability for flood events, integrating hydrological, rainfall, and river-level data across 57 trans-boundary rivers.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AI Landslide Risk Mapping: Geospatial analysis of soil composition, slope stability, rainfall intensity, and historical incidents — initial coverage: Chittagong Hill Tracts and Sylhet division.</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Localized Early Warning: AI-generated alerts delivered via SMS, community radio, and government broadcast systems — in local dialects where applicable.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Climate Finance AI: AI-assisted identification of Bangladesh's most climate-vulnerable communities for priority allocation of international climate adaptation funds.</w:t>
      </w:r>
    </w:p>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6. Implementation Framework</w:t>
      </w:r>
    </w:p>
    <w:p>
      <w:pPr>
        <w:pStyle w:val="Heading2"/>
        <w:spacing w:before="280" w:after="120"/>
      </w:pPr>
      <w:r>
        <w:rPr>
          <w:rFonts w:ascii="Arial" w:cs="Arial" w:eastAsia="Arial" w:hAnsi="Arial"/>
          <w:b/>
          <w:bCs/>
          <w:color w:val="006A4E"/>
          <w:sz w:val="26"/>
          <w:szCs w:val="26"/>
        </w:rPr>
        <w:t xml:space="preserve">6.1 Institutional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Institution</w:t>
            </w:r>
          </w:p>
        </w:tc>
        <w:tc>
          <w:tcPr>
            <w:tcW w:type="dxa" w:w="6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&amp; Mandate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National AI Committee
(Cabinet Level)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Policy direction; inter-ministerial coordination; annual AI budget approval; international AI agreements.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 Project Implementation Cell
(ICT Division)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Pilot project management; Regulatory Sandbox administration; National Bangla LLM project oversight; government AI procurement standards.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National Ethics Review Board
(NERB — Independent)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High-Risk AI ethics clearance; AI complaint investigation; annual Ethics Audit publication; suspension powers.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 Ombudsman Office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Citizen AI complaint intake and resolution (target: 90% within 30 days); class action coordination.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UGC AI Cluster Committee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GPU infrastructure management; researcher access allocation; green energy compliance.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BGD e-GOV CIRT AI Unit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AI cybersecurity threat monitoring; red team exercises; incident response.</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6.2 AI Innovation Fund — Detailed Allocation (2026–2030)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Budget Line</w:t>
            </w:r>
          </w:p>
        </w:tc>
        <w:tc>
          <w:tcPr>
            <w:tcW w:type="dxa" w:w="3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Allocation (BDT Crore)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National Bangla LLM Development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80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UGC AI Computing Cluster (Hardware)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60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 Startup Seed Grants (Annual)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 Re-skilling Fund</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50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Academic R&amp;D Grants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30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 Literacy &amp; Public Awareness Campaign</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TOTAL TARGET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250</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6.3 Regulatory Sandbox — Operational Rules</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Eligibility: Registered Bangladesh-based companies and research institutions with a defined AI product in development.</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Duration: Maximum 24 months; renewable once for an additional 12 months upon NERB review.</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Conditions: Data protection rules apply at all times; participants must report adverse events to ICT Division within 24 hours; sandbox-tested products cannot be commercially deployed without full NERB clearance.</w:t>
      </w:r>
    </w:p>
    <w:p>
      <w:pPr>
        <w:pStyle w:val="ListParagraph"/>
        <w:numPr>
          <w:ilvl w:val="0"/>
          <w:numId w:val="2"/>
        </w:numPr>
        <w:spacing w:before="40" w:after="40" w:line="300" w:lineRule="auto"/>
        <w:jc w:val="both"/>
      </w:pPr>
      <w:r>
        <w:rPr>
          <w:rFonts w:ascii="Arial" w:cs="Arial" w:eastAsia="Arial" w:hAnsi="Arial"/>
          <w:color w:val="1A1A1A"/>
          <w:sz w:val="22"/>
          <w:szCs w:val="22"/>
        </w:rPr>
        <w:t xml:space="preserve">Benefits: Regulatory waiver letters for specific provisions; priority access to UGC AI Cluster; fast-track feedback from NERB.</w:t>
      </w:r>
    </w:p>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7. Monitoring, Evaluation &amp; Review</w:t>
      </w:r>
    </w:p>
    <w:p>
      <w:pPr>
        <w:pStyle w:val="Heading2"/>
        <w:spacing w:before="280" w:after="120"/>
      </w:pPr>
      <w:r>
        <w:rPr>
          <w:rFonts w:ascii="Arial" w:cs="Arial" w:eastAsia="Arial" w:hAnsi="Arial"/>
          <w:b/>
          <w:bCs/>
          <w:color w:val="006A4E"/>
          <w:sz w:val="26"/>
          <w:szCs w:val="26"/>
        </w:rPr>
        <w:t xml:space="preserve">7.1 Key Performance Indicators (KPIs) — 2030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Indicator</w:t>
            </w:r>
          </w:p>
        </w:tc>
        <w:tc>
          <w:tcPr>
            <w:tcW w:type="dxa" w:w="40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2030 Target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Government sectors with active AI deployment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 sectors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AI-trained civil servants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50,000+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Registered AI startups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500+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Workers re-skilled via AI Re-skilling Fund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National Bangla LLM version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v3.0 or higher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Daily active users of National Bangla LLM products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 million+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GDP contribution increase from AI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+2%</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Women AI entrepreneurs (% of total)</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30%+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Citizen AI complaint resolution rate (30-day)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90%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High-Risk AI systems with NERB clearance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100%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Bangladesh AI Global Index ranking (South Asia)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Top 3</w:t>
            </w:r>
          </w:p>
        </w:tc>
      </w:tr>
    </w:tbl>
    <w:p>
      <w:pPr>
        <w:spacing w:before="60" w:after="60"/>
      </w:pPr>
      <w:r>
        <w:t xml:space="preserve"/>
      </w:r>
    </w:p>
    <w:p>
      <w:pPr>
        <w:pStyle w:val="Heading2"/>
        <w:spacing w:before="280" w:after="120"/>
      </w:pPr>
      <w:r>
        <w:rPr>
          <w:rFonts w:ascii="Arial" w:cs="Arial" w:eastAsia="Arial" w:hAnsi="Arial"/>
          <w:b/>
          <w:bCs/>
          <w:color w:val="006A4E"/>
          <w:sz w:val="26"/>
          <w:szCs w:val="26"/>
        </w:rPr>
        <w:t xml:space="preserve">7.2 Annual Monitoring &amp; Reporting</w:t>
      </w:r>
    </w:p>
    <w:p>
      <w:pPr>
        <w:spacing w:before="60" w:after="80" w:line="320" w:lineRule="auto"/>
        <w:jc w:val="both"/>
      </w:pPr>
      <w:r>
        <w:rPr>
          <w:rFonts w:ascii="Arial" w:cs="Arial" w:eastAsia="Arial" w:hAnsi="Arial"/>
          <w:color w:val="1A1A1A"/>
          <w:sz w:val="22"/>
          <w:szCs w:val="22"/>
        </w:rPr>
        <w:t xml:space="preserve">NERB will publish a Bangladesh AI State of the Nation Report annually by 31 March each year. This report will include: progress on AI deployment across government sectors; a register of AI-related harm incidents; citizen complaint statistics; bias audit findings; international comparative benchmarking; and recommendations for policy adjustment.</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7.3 Mid-Term Comprehensive Review (2028)</w:t>
      </w:r>
    </w:p>
    <w:p>
      <w:pPr>
        <w:spacing w:before="60" w:after="80" w:line="320" w:lineRule="auto"/>
        <w:jc w:val="both"/>
      </w:pPr>
      <w:r>
        <w:rPr>
          <w:rFonts w:ascii="Arial" w:cs="Arial" w:eastAsia="Arial" w:hAnsi="Arial"/>
          <w:color w:val="1A1A1A"/>
          <w:sz w:val="22"/>
          <w:szCs w:val="22"/>
        </w:rPr>
        <w:t xml:space="preserve">A comprehensive mid-term review will be conducted in 2028, assessing the policy's impact across innovation, government service delivery, economic development, fundamental rights protection, risk mitigation, and international interoperability. The review will be conducted by an independent panel including international AI governance experts.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7.4 Ad Hoc &amp; Triggered Reviews</w:t>
      </w:r>
    </w:p>
    <w:p>
      <w:pPr>
        <w:spacing w:before="60" w:after="80" w:line="320" w:lineRule="auto"/>
        <w:jc w:val="both"/>
      </w:pPr>
      <w:r>
        <w:rPr>
          <w:rFonts w:ascii="Arial" w:cs="Arial" w:eastAsia="Arial" w:hAnsi="Arial"/>
          <w:color w:val="1A1A1A"/>
          <w:sz w:val="22"/>
          <w:szCs w:val="22"/>
        </w:rPr>
        <w:t xml:space="preserve">The government will initiate accelerated ad hoc reviews when triggered by: a major AI-related incident affecting 1,000 or more citizens; the emergence of a frontier AI capability requiring immediate regulatory response; or significant changes to international AI governance frameworks adopted by Bangladesh's partner countries.</w:t>
      </w:r>
    </w:p>
    <w:p>
      <w:pPr>
        <w:spacing w:before="60" w:after="60"/>
      </w:pPr>
      <w:r>
        <w:t xml:space="preserve"/>
      </w:r>
    </w:p>
    <w:p>
      <w:pPr>
        <w:pStyle w:val="Heading2"/>
        <w:spacing w:before="280" w:after="120"/>
      </w:pPr>
      <w:r>
        <w:rPr>
          <w:rFonts w:ascii="Arial" w:cs="Arial" w:eastAsia="Arial" w:hAnsi="Arial"/>
          <w:b/>
          <w:bCs/>
          <w:color w:val="006A4E"/>
          <w:sz w:val="26"/>
          <w:szCs w:val="26"/>
        </w:rPr>
        <w:t xml:space="preserve">7.5 Sunset Provision &amp; Legislative Pathway</w:t>
      </w:r>
    </w:p>
    <w:p>
      <w:pPr>
        <w:spacing w:before="60" w:after="80" w:line="320" w:lineRule="auto"/>
        <w:jc w:val="both"/>
      </w:pPr>
      <w:r>
        <w:rPr>
          <w:rFonts w:ascii="Arial" w:cs="Arial" w:eastAsia="Arial" w:hAnsi="Arial"/>
          <w:color w:val="1A1A1A"/>
          <w:sz w:val="22"/>
          <w:szCs w:val="22"/>
        </w:rPr>
        <w:t xml:space="preserve">This National AI Policy remains in force until 31 December 2030, unless renewed, amended, or superseded by a Comprehensive Artificial Intelligence Act enacted by Parliament. The Ministry of Law, Justice and Parliamentary Affairs will commence drafting the Bangladesh AI Act by 2028, transitioning this policy framework into binding statutory law.</w:t>
      </w:r>
    </w:p>
    <w:p>
      <w:r>
        <w:br w:type="page"/>
      </w:r>
    </w:p>
    <w:p>
      <w:pPr>
        <w:pStyle w:val="Heading1"/>
        <w:pBdr>
          <w:bottom w:val="single" w:color="1A3C6E" w:sz="6" w:space="4"/>
        </w:pBdr>
        <w:spacing w:before="360" w:after="160"/>
      </w:pPr>
      <w:r>
        <w:rPr>
          <w:rFonts w:ascii="Arial" w:cs="Arial" w:eastAsia="Arial" w:hAnsi="Arial"/>
          <w:b/>
          <w:bCs/>
          <w:color w:val="1A3C6E"/>
          <w:sz w:val="32"/>
          <w:szCs w:val="32"/>
        </w:rPr>
        <w:t xml:space="preserve">Appendix — Abbreviations &amp;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Abbreviation</w:t>
            </w:r>
          </w:p>
        </w:tc>
        <w:tc>
          <w:tcPr>
            <w:tcW w:type="dxa" w:w="6526"/>
            <w:tcBorders>
              <w:top w:val="single" w:color="1A3C6E" w:sz="4"/>
              <w:left w:val="single" w:color="1A3C6E" w:sz="4"/>
              <w:bottom w:val="single" w:color="1A3C6E" w:sz="4"/>
              <w:right w:val="single" w:color="1A3C6E" w:sz="4"/>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Form &amp;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Artificial Intelligence — the simulation of human intelligence processes by computer systems.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GenAI</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Generative AI — AI systems that generate new content (text, images, audio, video) from prompts.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LLM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Large Language Model — a type of AI trained on massive text datasets to understand and generate language.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HITL</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Human-in-the-Loop — a design principle requiring human oversight and approval in AI decision-making.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NERB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National Ethics Review Board — Bangladesh's independent AI ethics oversight authority.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GPU</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Graphics Processing Unit — the primary hardware for training large AI models.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PDPO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Personal Data Protection Ordinance 2025 — Bangladesh's primary personal data law.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NDGO</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National Data Governance Ordinance 2025 — governs data access, sharing, and sovereignty.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AIA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Algorithmic Impact Assessment — evaluation of an AI system's potential social harms before deployment.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GPAI</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Global Partnership on AI — multilateral initiative for responsible AI 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SDG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Sustainable Development Goals — UN's 17 goals for global development by 2030.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RMG</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Ready-Made Garments — Bangladesh's dominant export industry, employing 4 million+ workers.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BIDA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Bangladesh Investment Development Authority — government investment promotion agency.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UGC</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University Grants Commission — regulates and funds Bangladesh's higher education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CIRT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Computer Incident Response Team — cybersecurity emergency response unit.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SAARC</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South Asian Association for Regional Cooperation — 8-nation regional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BIMSTEC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Bay of Bengal Initiative for Multi-Sectoral Technical and Economic Cooperation.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OECD</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Organisation for Economic Co-operation and Development — 38-nation economic policy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UNESCO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United Nations Educational, Scientific and Cultural Organization.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CSR</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Corporate Social Responsibility — voluntary corporate contributions to social good.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KPI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Key Performance Indicator — measurable value demonstrating policy effectiveness.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bCs/>
                <w:color w:val="1A3C6E"/>
                <w:sz w:val="20"/>
                <w:szCs w:val="20"/>
              </w:rPr>
              <w:t xml:space="preserve">PIBBD</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both"/>
            </w:pPr>
            <w:r>
              <w:rPr>
                <w:rFonts w:ascii="Arial" w:cs="Arial" w:eastAsia="Arial" w:hAnsi="Arial"/>
                <w:b w:val="false"/>
                <w:bCs w:val="false"/>
                <w:color w:val="1A1A1A"/>
                <w:sz w:val="20"/>
                <w:szCs w:val="20"/>
              </w:rPr>
              <w:t xml:space="preserve">Political Insights BD — the policy consultancy authoring this document.</w:t>
            </w:r>
          </w:p>
        </w:tc>
      </w:tr>
    </w:tbl>
    <w:p>
      <w:pPr>
        <w:spacing w:before="120" w:after="120"/>
      </w:pPr>
      <w:r>
        <w:t xml:space="preserve"/>
      </w:r>
    </w:p>
    <w:p>
      <w:pPr>
        <w:pBdr>
          <w:top w:val="single" w:color="006A4E" w:sz="6"/>
        </w:pBdr>
        <w:spacing w:before="120" w:after="60"/>
        <w:jc w:val="center"/>
      </w:pPr>
      <w:r>
        <w:rPr>
          <w:rFonts w:ascii="Arial" w:cs="Arial" w:eastAsia="Arial" w:hAnsi="Arial"/>
          <w:b/>
          <w:bCs/>
          <w:color w:val="006A4E"/>
          <w:sz w:val="22"/>
          <w:szCs w:val="22"/>
        </w:rPr>
        <w:t xml:space="preserve">— End of Document —</w:t>
      </w:r>
    </w:p>
    <w:p>
      <w:pPr>
        <w:spacing w:before="40" w:after="40"/>
        <w:jc w:val="center"/>
      </w:pPr>
      <w:r>
        <w:rPr>
          <w:rFonts w:ascii="Arial" w:cs="Arial" w:eastAsia="Arial" w:hAnsi="Arial"/>
          <w:i/>
          <w:iCs/>
          <w:color w:val="888888"/>
          <w:sz w:val="18"/>
          <w:szCs w:val="18"/>
        </w:rPr>
        <w:t xml:space="preserve">Bangladesh National AI Policy v2.0  |  Authored by Ahmad Rafi  |  Political Insights BD (PIBBD)  |  January 2025</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pBdr>
      <w:spacing w:before="80"/>
      <w:jc w:val="center"/>
    </w:pPr>
    <w:r>
      <w:rPr>
        <w:rFonts w:ascii="Arial" w:cs="Arial" w:eastAsia="Arial" w:hAnsi="Arial"/>
        <w:color w:val="888888"/>
        <w:sz w:val="18"/>
        <w:szCs w:val="18"/>
      </w:rPr>
      <w:t xml:space="preserve">All rights reserved © 2025 Government of the People's Republic of Bangladesh  |  Author: Ahmad Rafi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pBdr>
      <w:spacing w:after="80"/>
      <w:jc w:val="right"/>
    </w:pPr>
    <w:r>
      <w:rPr>
        <w:rFonts w:ascii="Arial" w:cs="Arial" w:eastAsia="Arial" w:hAnsi="Arial"/>
        <w:color w:val="006A4E"/>
        <w:sz w:val="18"/>
        <w:szCs w:val="18"/>
      </w:rPr>
      <w:t xml:space="preserve">Bangladesh National AI Policy v2.0  |  Authored by Ahmad Rafi  |  ICT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6A4E"/>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C810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Bangladesh National Artificial Intelligence Policy v2.0</dc:title>
  <dc:creator>Ahmad Rafi</dc:creator>
  <dc:description>National AI Policy of Bangladesh 2025-2030, authored by Ahmad Rafi, Political Insights BD</dc:description>
  <cp:lastModifiedBy>Un-named</cp:lastModifiedBy>
  <cp:revision>1</cp:revision>
  <dcterms:created xsi:type="dcterms:W3CDTF">2026-03-27T19:36:11.947Z</dcterms:created>
  <dcterms:modified xsi:type="dcterms:W3CDTF">2026-03-27T19:36:11.948Z</dcterms:modified>
</cp:coreProperties>
</file>

<file path=docProps/custom.xml><?xml version="1.0" encoding="utf-8"?>
<Properties xmlns="http://schemas.openxmlformats.org/officeDocument/2006/custom-properties" xmlns:vt="http://schemas.openxmlformats.org/officeDocument/2006/docPropsVTypes"/>
</file>