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41823">
      <w:pPr>
        <w:rPr>
          <w:rFonts w:ascii="Tw Cen MT" w:eastAsia="Times New Roman" w:hAnsi="Tw Cen MT"/>
          <w:vanish/>
        </w:rPr>
      </w:pPr>
    </w:p>
    <w:tbl>
      <w:tblPr>
        <w:tblpPr w:leftFromText="180" w:rightFromText="180" w:vertAnchor="text" w:horzAnchor="margin" w:tblpY="310"/>
        <w:tblOverlap w:val="never"/>
        <w:tblW w:w="480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1"/>
        <w:gridCol w:w="2430"/>
      </w:tblGrid>
      <w:tr w:rsidR="00000000">
        <w:trPr>
          <w:trHeight w:val="309"/>
          <w:tblCellSpacing w:w="0" w:type="dxa"/>
        </w:trPr>
        <w:tc>
          <w:tcPr>
            <w:tcW w:w="365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  <w:color w:val="333399"/>
                <w:sz w:val="40"/>
                <w:szCs w:val="40"/>
              </w:rPr>
            </w:pPr>
            <w:r>
              <w:rPr>
                <w:rFonts w:ascii="Tw Cen MT" w:eastAsia="Times New Roman" w:hAnsi="Tw Cen MT"/>
                <w:b/>
                <w:bCs/>
                <w:color w:val="333399"/>
                <w:sz w:val="40"/>
                <w:szCs w:val="40"/>
              </w:rPr>
              <w:t xml:space="preserve">TALHA TASNIM </w:t>
            </w:r>
          </w:p>
        </w:tc>
        <w:tc>
          <w:tcPr>
            <w:tcW w:w="1350" w:type="pct"/>
            <w:vMerge w:val="restart"/>
            <w:vAlign w:val="bottom"/>
            <w:hideMark/>
          </w:tcPr>
          <w:tbl>
            <w:tblPr>
              <w:tblW w:w="1680" w:type="dxa"/>
              <w:jc w:val="center"/>
              <w:tblCellSpacing w:w="42" w:type="dxa"/>
              <w:shd w:val="clear" w:color="auto" w:fill="DADCE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</w:tblGrid>
            <w:tr w:rsidR="007D77E7" w:rsidTr="007D77E7">
              <w:trPr>
                <w:trHeight w:val="1620"/>
                <w:tblCellSpacing w:w="42" w:type="dxa"/>
                <w:jc w:val="center"/>
              </w:trPr>
              <w:tc>
                <w:tcPr>
                  <w:tcW w:w="1512" w:type="dxa"/>
                  <w:shd w:val="clear" w:color="auto" w:fill="E2E4E5"/>
                  <w:vAlign w:val="center"/>
                </w:tcPr>
                <w:p w:rsidR="00000000" w:rsidRDefault="007D77E7">
                  <w:pPr>
                    <w:framePr w:hSpace="180" w:wrap="around" w:vAnchor="text" w:hAnchor="margin" w:y="310"/>
                    <w:suppressOverlap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  <w:noProof/>
                    </w:rPr>
                    <w:drawing>
                      <wp:inline distT="0" distB="0" distL="0" distR="0">
                        <wp:extent cx="1310640" cy="1310640"/>
                        <wp:effectExtent l="0" t="0" r="3810" b="381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y-photo-online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0640" cy="1310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 xml:space="preserve">Address: 213, </w:t>
            </w:r>
            <w:proofErr w:type="spellStart"/>
            <w:r>
              <w:rPr>
                <w:rFonts w:ascii="Tw Cen MT" w:eastAsia="Times New Roman" w:hAnsi="Tw Cen MT"/>
              </w:rPr>
              <w:t>Sirajuddin</w:t>
            </w:r>
            <w:proofErr w:type="spellEnd"/>
            <w:r>
              <w:rPr>
                <w:rFonts w:ascii="Tw Cen MT" w:eastAsia="Times New Roman" w:hAnsi="Tw Cen MT"/>
              </w:rPr>
              <w:t xml:space="preserve"> </w:t>
            </w:r>
            <w:proofErr w:type="spellStart"/>
            <w:r>
              <w:rPr>
                <w:rFonts w:ascii="Tw Cen MT" w:eastAsia="Times New Roman" w:hAnsi="Tw Cen MT"/>
              </w:rPr>
              <w:t>Sarker</w:t>
            </w:r>
            <w:proofErr w:type="spellEnd"/>
            <w:r>
              <w:rPr>
                <w:rFonts w:ascii="Tw Cen MT" w:eastAsia="Times New Roman" w:hAnsi="Tw Cen MT"/>
              </w:rPr>
              <w:t xml:space="preserve"> Road, </w:t>
            </w:r>
          </w:p>
          <w:p w:rsidR="00000000" w:rsidRDefault="00F41823">
            <w:pPr>
              <w:spacing w:line="276" w:lineRule="auto"/>
              <w:rPr>
                <w:rFonts w:ascii="Tw Cen MT" w:eastAsia="Times New Roman" w:hAnsi="Tw Cen MT"/>
              </w:rPr>
            </w:pPr>
            <w:proofErr w:type="spellStart"/>
            <w:r>
              <w:rPr>
                <w:rFonts w:ascii="Tw Cen MT" w:eastAsia="Times New Roman" w:hAnsi="Tw Cen MT"/>
              </w:rPr>
              <w:t>Dattapara</w:t>
            </w:r>
            <w:proofErr w:type="spellEnd"/>
            <w:r>
              <w:rPr>
                <w:rFonts w:ascii="Tw Cen MT" w:eastAsia="Times New Roman" w:hAnsi="Tw Cen MT"/>
              </w:rPr>
              <w:t xml:space="preserve">, </w:t>
            </w:r>
            <w:proofErr w:type="spellStart"/>
            <w:r>
              <w:rPr>
                <w:rFonts w:ascii="Tw Cen MT" w:eastAsia="Times New Roman" w:hAnsi="Tw Cen MT"/>
              </w:rPr>
              <w:t>Tongi</w:t>
            </w:r>
            <w:proofErr w:type="spellEnd"/>
            <w:r>
              <w:rPr>
                <w:rFonts w:ascii="Tw Cen MT" w:eastAsia="Times New Roman" w:hAnsi="Tw Cen MT"/>
              </w:rPr>
              <w:t xml:space="preserve">, </w:t>
            </w:r>
            <w:proofErr w:type="spellStart"/>
            <w:r>
              <w:rPr>
                <w:rFonts w:ascii="Tw Cen MT" w:eastAsia="Times New Roman" w:hAnsi="Tw Cen MT"/>
              </w:rPr>
              <w:t>Gazipur</w:t>
            </w:r>
            <w:proofErr w:type="spellEnd"/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t>– 1710</w:t>
            </w:r>
          </w:p>
          <w:p w:rsidR="00000000" w:rsidRDefault="00F41823">
            <w:pPr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 xml:space="preserve">Mobile No : 01612120437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e-mail : talha.tasnim@gmail.com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4182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4808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1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rPr>
                <w:rFonts w:eastAsia="Times New Roman"/>
              </w:rPr>
            </w:pPr>
          </w:p>
        </w:tc>
        <w:bookmarkStart w:id="0" w:name="_GoBack"/>
        <w:bookmarkEnd w:id="0"/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Career Objective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wordWrap w:val="0"/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 xml:space="preserve">Seeking </w:t>
            </w:r>
            <w:r>
              <w:rPr>
                <w:rFonts w:ascii="Tw Cen MT" w:eastAsia="Times New Roman" w:hAnsi="Tw Cen MT"/>
              </w:rPr>
              <w:t>a career path where learning, technical intervention and innovation will be a priority</w:t>
            </w: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Career Summary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wordWrap w:val="0"/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  <w:b/>
              </w:rPr>
              <w:t>Preferred Departments</w:t>
            </w:r>
            <w:r>
              <w:rPr>
                <w:rFonts w:ascii="Tw Cen MT" w:eastAsia="Times New Roman" w:hAnsi="Tw Cen MT"/>
              </w:rPr>
              <w:t xml:space="preserve"> - Monitoring and Evaluation, Research and Development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  <w:b/>
              </w:rPr>
              <w:t>Professional Profile</w:t>
            </w:r>
            <w:r>
              <w:rPr>
                <w:rFonts w:ascii="Tw Cen MT" w:eastAsia="Times New Roman" w:hAnsi="Tw Cen MT"/>
              </w:rPr>
              <w:br/>
              <w:t>Have experience of working in Seven organizations wit</w:t>
            </w:r>
            <w:r>
              <w:rPr>
                <w:rFonts w:ascii="Tw Cen MT" w:eastAsia="Times New Roman" w:hAnsi="Tw Cen MT"/>
              </w:rPr>
              <w:t xml:space="preserve">h training and workshops joined along with project/program activities.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  <w:b/>
              </w:rPr>
              <w:t>Areas of Expertise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>1. Research and Case Story Publication</w:t>
            </w:r>
            <w:r>
              <w:rPr>
                <w:rFonts w:ascii="Tw Cen MT" w:eastAsia="Times New Roman" w:hAnsi="Tw Cen MT"/>
              </w:rPr>
              <w:br/>
              <w:t>2. Reporting and Evaluation</w:t>
            </w:r>
            <w:r>
              <w:rPr>
                <w:rFonts w:ascii="Tw Cen MT" w:eastAsia="Times New Roman" w:hAnsi="Tw Cen MT"/>
              </w:rPr>
              <w:br/>
              <w:t>3. Online-Offline Map Preparation</w:t>
            </w:r>
            <w:r>
              <w:rPr>
                <w:rFonts w:ascii="Tw Cen MT" w:eastAsia="Times New Roman" w:hAnsi="Tw Cen MT"/>
              </w:rPr>
              <w:br/>
              <w:t xml:space="preserve">4. Data Management, Analysis and Presentation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  <w:b/>
              </w:rPr>
              <w:t>Software skills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MS Office, SPSS, GIS, Google P. KOBO, ODK, </w:t>
            </w:r>
            <w:proofErr w:type="spellStart"/>
            <w:r>
              <w:rPr>
                <w:rFonts w:ascii="Tw Cen MT" w:eastAsia="Times New Roman" w:hAnsi="Tw Cen MT"/>
              </w:rPr>
              <w:t>Taroworks</w:t>
            </w:r>
            <w:proofErr w:type="spellEnd"/>
            <w:r>
              <w:rPr>
                <w:rFonts w:ascii="Tw Cen MT" w:eastAsia="Times New Roman" w:hAnsi="Tw Cen MT"/>
              </w:rPr>
              <w:t xml:space="preserve">, Salesforce, OSM, QGIS,               </w:t>
            </w:r>
            <w:proofErr w:type="spellStart"/>
            <w:r>
              <w:rPr>
                <w:rFonts w:ascii="Tw Cen MT" w:eastAsia="Times New Roman" w:hAnsi="Tw Cen MT"/>
              </w:rPr>
              <w:t>TrasnsCAD</w:t>
            </w:r>
            <w:proofErr w:type="spellEnd"/>
            <w:r>
              <w:rPr>
                <w:rFonts w:ascii="Tw Cen MT" w:eastAsia="Times New Roman" w:hAnsi="Tw Cen MT"/>
              </w:rPr>
              <w:t xml:space="preserve">, </w:t>
            </w:r>
            <w:proofErr w:type="spellStart"/>
            <w:r>
              <w:rPr>
                <w:rFonts w:ascii="Tw Cen MT" w:eastAsia="Times New Roman" w:hAnsi="Tw Cen MT"/>
              </w:rPr>
              <w:t>Erdas</w:t>
            </w:r>
            <w:proofErr w:type="spellEnd"/>
            <w:r>
              <w:rPr>
                <w:rFonts w:ascii="Tw Cen MT" w:eastAsia="Times New Roman" w:hAnsi="Tw Cen MT"/>
              </w:rPr>
              <w:t xml:space="preserve"> </w:t>
            </w:r>
            <w:proofErr w:type="spellStart"/>
            <w:r>
              <w:rPr>
                <w:rFonts w:ascii="Tw Cen MT" w:eastAsia="Times New Roman" w:hAnsi="Tw Cen MT"/>
              </w:rPr>
              <w:t>Imag</w:t>
            </w:r>
            <w:proofErr w:type="spellEnd"/>
            <w:r>
              <w:rPr>
                <w:rFonts w:ascii="Tw Cen MT" w:eastAsia="Times New Roman" w:hAnsi="Tw Cen MT"/>
              </w:rPr>
              <w:t xml:space="preserve">. </w:t>
            </w: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Special Qualification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wordWrap w:val="0"/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 xml:space="preserve">Work well under pressure as part of a team </w:t>
            </w:r>
            <w:r>
              <w:rPr>
                <w:rFonts w:ascii="Tw Cen MT" w:eastAsia="Times New Roman" w:hAnsi="Tw Cen MT"/>
              </w:rPr>
              <w:br/>
              <w:t>Well-groomed appearance</w:t>
            </w:r>
            <w:r>
              <w:rPr>
                <w:rFonts w:ascii="Tw Cen MT" w:eastAsia="Times New Roman" w:hAnsi="Tw Cen MT"/>
              </w:rPr>
              <w:br/>
              <w:t>Polite, respectful, and courteous manners</w:t>
            </w:r>
            <w:r>
              <w:rPr>
                <w:rFonts w:ascii="Tw Cen MT" w:eastAsia="Times New Roman" w:hAnsi="Tw Cen MT"/>
              </w:rPr>
              <w:br/>
              <w:t>Respon</w:t>
            </w:r>
            <w:r>
              <w:rPr>
                <w:rFonts w:ascii="Tw Cen MT" w:eastAsia="Times New Roman" w:hAnsi="Tw Cen MT"/>
              </w:rPr>
              <w:t>sible, efficient, and flexible</w:t>
            </w:r>
            <w:r>
              <w:rPr>
                <w:rFonts w:ascii="Tw Cen MT" w:eastAsia="Times New Roman" w:hAnsi="Tw Cen MT"/>
              </w:rPr>
              <w:br/>
              <w:t>Ability to work in a fast-paced, intense environment smoothly</w:t>
            </w:r>
            <w:r>
              <w:rPr>
                <w:rFonts w:ascii="Tw Cen MT" w:eastAsia="Times New Roman" w:hAnsi="Tw Cen MT"/>
              </w:rPr>
              <w:br/>
              <w:t xml:space="preserve">Ability to elicit confidence </w:t>
            </w: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8693"/>
      </w:tblGrid>
      <w:tr w:rsidR="00000000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 w:rsidP="00CD1300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 xml:space="preserve">Employment History: </w:t>
            </w:r>
            <w:r>
              <w:rPr>
                <w:rStyle w:val="Strong"/>
                <w:rFonts w:ascii="Tw Cen MT" w:eastAsia="Times New Roman" w:hAnsi="Tw Cen MT"/>
                <w:color w:val="FFFFFF" w:themeColor="background1"/>
              </w:rPr>
              <w:t>Total Year of Experience :</w:t>
            </w: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 xml:space="preserve"> </w:t>
            </w:r>
            <w:r w:rsidR="00CD1300"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5+</w:t>
            </w: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 xml:space="preserve"> Year(s)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1.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Officer, Monitoring &amp; Evaluation ( October 6, 2019 - Continuing)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Style w:val="Strong"/>
                <w:rFonts w:ascii="Tw Cen MT" w:eastAsia="Times New Roman" w:hAnsi="Tw Cen MT"/>
              </w:rPr>
              <w:t>BRAC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</w:t>
            </w:r>
            <w:proofErr w:type="spellStart"/>
            <w:r>
              <w:rPr>
                <w:rFonts w:ascii="Tw Cen MT" w:eastAsia="Times New Roman" w:hAnsi="Tw Cen MT"/>
              </w:rPr>
              <w:t>Mymensingh</w:t>
            </w:r>
            <w:proofErr w:type="spellEnd"/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Department: Urban Development Program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>1. Maintaining Salesforce Data with regular check, update, validate, analysis and reporting</w:t>
            </w:r>
            <w:r>
              <w:rPr>
                <w:rFonts w:ascii="Tw Cen MT" w:eastAsia="Times New Roman" w:hAnsi="Tw Cen MT"/>
              </w:rPr>
              <w:br/>
              <w:t xml:space="preserve">2. Selection of </w:t>
            </w:r>
            <w:proofErr w:type="spellStart"/>
            <w:r>
              <w:rPr>
                <w:rFonts w:ascii="Tw Cen MT" w:eastAsia="Times New Roman" w:hAnsi="Tw Cen MT"/>
              </w:rPr>
              <w:t>benefishiaries</w:t>
            </w:r>
            <w:proofErr w:type="spellEnd"/>
            <w:r>
              <w:rPr>
                <w:rFonts w:ascii="Tw Cen MT" w:eastAsia="Times New Roman" w:hAnsi="Tw Cen MT"/>
              </w:rPr>
              <w:t xml:space="preserve">, infrastructure location, </w:t>
            </w:r>
            <w:r>
              <w:rPr>
                <w:rFonts w:ascii="Tw Cen MT" w:eastAsia="Times New Roman" w:hAnsi="Tw Cen MT"/>
              </w:rPr>
              <w:t xml:space="preserve">budget approval and project </w:t>
            </w:r>
            <w:r>
              <w:rPr>
                <w:rFonts w:ascii="Tw Cen MT" w:eastAsia="Times New Roman" w:hAnsi="Tw Cen MT"/>
              </w:rPr>
              <w:lastRenderedPageBreak/>
              <w:t>implementation</w:t>
            </w:r>
            <w:r>
              <w:rPr>
                <w:rFonts w:ascii="Tw Cen MT" w:eastAsia="Times New Roman" w:hAnsi="Tw Cen MT"/>
              </w:rPr>
              <w:br/>
              <w:t xml:space="preserve">3. Dealing with Government especially City Corporation Officials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lastRenderedPageBreak/>
              <w:t>2.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Communications Manager ( January 1, 2019 - September 30, 2019)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proofErr w:type="spellStart"/>
            <w:r>
              <w:rPr>
                <w:rStyle w:val="Strong"/>
                <w:rFonts w:ascii="Tw Cen MT" w:eastAsia="Times New Roman" w:hAnsi="Tw Cen MT"/>
              </w:rPr>
              <w:t>Shorobor</w:t>
            </w:r>
            <w:proofErr w:type="spellEnd"/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3/6 </w:t>
            </w:r>
            <w:proofErr w:type="spellStart"/>
            <w:r>
              <w:rPr>
                <w:rFonts w:ascii="Tw Cen MT" w:eastAsia="Times New Roman" w:hAnsi="Tw Cen MT"/>
              </w:rPr>
              <w:t>Humayun</w:t>
            </w:r>
            <w:proofErr w:type="spellEnd"/>
            <w:r>
              <w:rPr>
                <w:rFonts w:ascii="Tw Cen MT" w:eastAsia="Times New Roman" w:hAnsi="Tw Cen MT"/>
              </w:rPr>
              <w:t xml:space="preserve"> Road, </w:t>
            </w:r>
            <w:proofErr w:type="spellStart"/>
            <w:r>
              <w:rPr>
                <w:rFonts w:ascii="Tw Cen MT" w:eastAsia="Times New Roman" w:hAnsi="Tw Cen MT"/>
              </w:rPr>
              <w:t>Mohammadpur</w:t>
            </w:r>
            <w:proofErr w:type="spellEnd"/>
            <w:r>
              <w:rPr>
                <w:rFonts w:ascii="Tw Cen MT" w:eastAsia="Times New Roman" w:hAnsi="Tw Cen MT"/>
              </w:rPr>
              <w:t xml:space="preserve">, Dhaka -1207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>Depa</w:t>
            </w:r>
            <w:r>
              <w:rPr>
                <w:rFonts w:ascii="Tw Cen MT" w:eastAsia="Times New Roman" w:hAnsi="Tw Cen MT"/>
              </w:rPr>
              <w:t xml:space="preserve">rtment: UN Chapter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 xml:space="preserve">- Communication with UN WFP, UNICEF &amp; USAID team to manage project activities. </w:t>
            </w:r>
            <w:r>
              <w:rPr>
                <w:rFonts w:ascii="Tw Cen MT" w:eastAsia="Times New Roman" w:hAnsi="Tw Cen MT"/>
              </w:rPr>
              <w:br/>
              <w:t xml:space="preserve">- Managing short time projects in 5 out of 64 districts inside Bangladesh </w:t>
            </w:r>
            <w:r>
              <w:rPr>
                <w:rFonts w:ascii="Tw Cen MT" w:eastAsia="Times New Roman" w:hAnsi="Tw Cen MT"/>
              </w:rPr>
              <w:br/>
              <w:t xml:space="preserve">- Preparing project proposals and training modules for </w:t>
            </w:r>
            <w:r>
              <w:rPr>
                <w:rFonts w:ascii="Tw Cen MT" w:eastAsia="Times New Roman" w:hAnsi="Tw Cen MT"/>
              </w:rPr>
              <w:t xml:space="preserve">training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3.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Monitoring and Evaluation Officer ( July 1, 2018 - November 30, 2018)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Style w:val="Strong"/>
                <w:rFonts w:ascii="Tw Cen MT" w:eastAsia="Times New Roman" w:hAnsi="Tw Cen MT"/>
              </w:rPr>
              <w:t>SEMAC Bangladesh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</w:t>
            </w:r>
            <w:proofErr w:type="spellStart"/>
            <w:r>
              <w:rPr>
                <w:rFonts w:ascii="Tw Cen MT" w:eastAsia="Times New Roman" w:hAnsi="Tw Cen MT"/>
              </w:rPr>
              <w:t>Badda</w:t>
            </w:r>
            <w:proofErr w:type="spellEnd"/>
            <w:r>
              <w:rPr>
                <w:rFonts w:ascii="Tw Cen MT" w:eastAsia="Times New Roman" w:hAnsi="Tw Cen MT"/>
              </w:rPr>
              <w:t xml:space="preserve"> Link Road, Dhaka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Department: STPUWC Saint Martin Island Project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>Project Name: Sewerage Treatment P</w:t>
            </w:r>
            <w:r>
              <w:rPr>
                <w:rFonts w:ascii="Tw Cen MT" w:eastAsia="Times New Roman" w:hAnsi="Tw Cen MT"/>
              </w:rPr>
              <w:t xml:space="preserve">lant and Under Water Cleaning in Saint Martin Island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Designing of project activities and task.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Develop data collection process and manage it accordingly.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Data documentation and make appropriate measurement.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Data analysis &amp; report writing.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Devel</w:t>
            </w:r>
            <w:r>
              <w:rPr>
                <w:rFonts w:ascii="Tw Cen MT" w:eastAsia="Times New Roman" w:hAnsi="Tw Cen MT"/>
              </w:rPr>
              <w:t>op analytical tool for data analysis and data collection.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Presentation preparation and conduct WASH &amp; Gender training sessions with lead </w:t>
            </w:r>
            <w:r>
              <w:rPr>
                <w:rFonts w:ascii="Tw Cen MT" w:eastAsia="Times New Roman" w:hAnsi="Tw Cen MT"/>
              </w:rPr>
              <w:br/>
              <w:t>trainer.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Mapping out project areas as per project needs.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Prepare weekly/monthly/quarterly reports of the projec</w:t>
            </w:r>
            <w:r>
              <w:rPr>
                <w:rFonts w:ascii="Tw Cen MT" w:eastAsia="Times New Roman" w:hAnsi="Tw Cen MT"/>
              </w:rPr>
              <w:t>t activities.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Develop data collection methods and tools.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4.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Project Assistant ( March 1, 2018 - June 30, 2018)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Style w:val="Strong"/>
                <w:rFonts w:ascii="Tw Cen MT" w:eastAsia="Times New Roman" w:hAnsi="Tw Cen MT"/>
              </w:rPr>
              <w:t>International Federation of Red Cross and Red Crescent Societies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684-686 Red Crescent </w:t>
            </w:r>
            <w:proofErr w:type="spellStart"/>
            <w:r>
              <w:rPr>
                <w:rFonts w:ascii="Tw Cen MT" w:eastAsia="Times New Roman" w:hAnsi="Tw Cen MT"/>
              </w:rPr>
              <w:t>Sarak</w:t>
            </w:r>
            <w:proofErr w:type="spellEnd"/>
            <w:r>
              <w:rPr>
                <w:rFonts w:ascii="Tw Cen MT" w:eastAsia="Times New Roman" w:hAnsi="Tw Cen MT"/>
              </w:rPr>
              <w:t xml:space="preserve">, Bara </w:t>
            </w:r>
            <w:proofErr w:type="spellStart"/>
            <w:r>
              <w:rPr>
                <w:rFonts w:ascii="Tw Cen MT" w:eastAsia="Times New Roman" w:hAnsi="Tw Cen MT"/>
              </w:rPr>
              <w:t>Magbazar</w:t>
            </w:r>
            <w:proofErr w:type="spellEnd"/>
            <w:r>
              <w:rPr>
                <w:rFonts w:ascii="Tw Cen MT" w:eastAsia="Times New Roman" w:hAnsi="Tw Cen MT"/>
              </w:rPr>
              <w:t xml:space="preserve">, Dhaka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Department: CDI II WASH Program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Supporting project Baseline and end-line design and survey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Doing FGD and KII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Designing, surveying, analyzing and presenting research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Change story preparation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Coordinating with program st</w:t>
            </w:r>
            <w:r>
              <w:rPr>
                <w:rFonts w:ascii="Tw Cen MT" w:eastAsia="Times New Roman" w:hAnsi="Tw Cen MT"/>
              </w:rPr>
              <w:t>akeholders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Preparing event reports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GIS Maps preparation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Maintaining database of finished works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Taking training sessions as supervisor of surveyors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Doing photography and graphics design to serve project purpose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Translating documents and serving</w:t>
            </w:r>
            <w:r>
              <w:rPr>
                <w:rFonts w:ascii="Tw Cen MT" w:eastAsia="Times New Roman" w:hAnsi="Tw Cen MT"/>
              </w:rPr>
              <w:t xml:space="preserve"> as translator with foreigners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Keeping regular contact with project implementation committees, local volunteers, </w:t>
            </w:r>
            <w:r>
              <w:rPr>
                <w:rFonts w:ascii="Tw Cen MT" w:eastAsia="Times New Roman" w:hAnsi="Tw Cen MT"/>
              </w:rPr>
              <w:lastRenderedPageBreak/>
              <w:t>district unit office and national society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Facilitating training and workshop preparation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Joining regular learning workshops </w:t>
            </w:r>
            <w:r>
              <w:rPr>
                <w:rFonts w:ascii="Tw Cen MT" w:eastAsia="Times New Roman" w:hAnsi="Tw Cen MT"/>
              </w:rPr>
              <w:t>within and outside organization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Paying regular field visits to project areas â</w:t>
            </w:r>
            <w:r>
              <w:rPr>
                <w:rFonts w:ascii="Tw Cen MT" w:eastAsia="Times New Roman" w:hAnsi="Tw Cen MT" w:cs="Tw Cen MT"/>
              </w:rPr>
              <w:t>€“</w:t>
            </w:r>
            <w:proofErr w:type="spellStart"/>
            <w:r>
              <w:rPr>
                <w:rFonts w:ascii="Tw Cen MT" w:eastAsia="Times New Roman" w:hAnsi="Tw Cen MT"/>
              </w:rPr>
              <w:t>Gopalganj</w:t>
            </w:r>
            <w:proofErr w:type="spellEnd"/>
            <w:r>
              <w:rPr>
                <w:rFonts w:ascii="Tw Cen MT" w:eastAsia="Times New Roman" w:hAnsi="Tw Cen MT"/>
              </w:rPr>
              <w:t xml:space="preserve"> and Rangpur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lastRenderedPageBreak/>
              <w:t>5.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GIS Assistant ( July 1, 2017 - February 28, 2018)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Style w:val="Strong"/>
                <w:rFonts w:ascii="Tw Cen MT" w:eastAsia="Times New Roman" w:hAnsi="Tw Cen MT"/>
              </w:rPr>
              <w:t>NRECA International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Rd No 99, Dhaka 1212, Bangladesh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Department: GIS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</w:t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>Project Name: Uganda REA Master Plan Project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br/>
              <w:t xml:space="preserve">Responsibilities: </w:t>
            </w:r>
            <w:r>
              <w:rPr>
                <w:rFonts w:ascii="Tw Cen MT" w:eastAsia="Times New Roman" w:hAnsi="Tw Cen MT"/>
              </w:rPr>
              <w:br/>
              <w:t>1. Reviewed satellite imageries, set up an environment and digitize structure, road and other physical features using google image and other images as supplied</w:t>
            </w:r>
            <w:r>
              <w:rPr>
                <w:rFonts w:ascii="Tw Cen MT" w:eastAsia="Times New Roman" w:hAnsi="Tw Cen MT"/>
              </w:rPr>
              <w:br/>
              <w:t>2. Edite</w:t>
            </w:r>
            <w:r>
              <w:rPr>
                <w:rFonts w:ascii="Tw Cen MT" w:eastAsia="Times New Roman" w:hAnsi="Tw Cen MT"/>
              </w:rPr>
              <w:t xml:space="preserve">d, corrected digitized data and uploaded to data server as assigned by supervisor </w:t>
            </w:r>
            <w:r>
              <w:rPr>
                <w:rFonts w:ascii="Tw Cen MT" w:eastAsia="Times New Roman" w:hAnsi="Tw Cen MT"/>
              </w:rPr>
              <w:br/>
              <w:t xml:space="preserve">3. Provided assistance to supervisor on data review and rectification </w:t>
            </w:r>
            <w:r>
              <w:rPr>
                <w:rFonts w:ascii="Tw Cen MT" w:eastAsia="Times New Roman" w:hAnsi="Tw Cen MT"/>
              </w:rPr>
              <w:br/>
              <w:t>4. Provided assistance to NRECA GIS team on Geodatabase finalization</w:t>
            </w:r>
            <w:r>
              <w:rPr>
                <w:rFonts w:ascii="Tw Cen MT" w:eastAsia="Times New Roman" w:hAnsi="Tw Cen MT"/>
              </w:rPr>
              <w:br/>
              <w:t>5. Weekly reporting of tasks acco</w:t>
            </w:r>
            <w:r>
              <w:rPr>
                <w:rFonts w:ascii="Tw Cen MT" w:eastAsia="Times New Roman" w:hAnsi="Tw Cen MT"/>
              </w:rPr>
              <w:t xml:space="preserve">mplished, challenges faced and means to resolve issues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6.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WASH Intern ( November 1, 2016 - June 30, 2017)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Style w:val="Strong"/>
                <w:rFonts w:ascii="Tw Cen MT" w:eastAsia="Times New Roman" w:hAnsi="Tw Cen MT"/>
              </w:rPr>
              <w:t>International Federation of Red Cross and Red Crescent Societies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Building No. 2, North Side, 684-686, Red Crescent </w:t>
            </w:r>
            <w:proofErr w:type="spellStart"/>
            <w:r>
              <w:rPr>
                <w:rFonts w:ascii="Tw Cen MT" w:eastAsia="Times New Roman" w:hAnsi="Tw Cen MT"/>
              </w:rPr>
              <w:t>Sarak</w:t>
            </w:r>
            <w:proofErr w:type="spellEnd"/>
            <w:r>
              <w:rPr>
                <w:rFonts w:ascii="Tw Cen MT" w:eastAsia="Times New Roman" w:hAnsi="Tw Cen MT"/>
              </w:rPr>
              <w:t>, Bar</w:t>
            </w:r>
            <w:r>
              <w:rPr>
                <w:rFonts w:ascii="Tw Cen MT" w:eastAsia="Times New Roman" w:hAnsi="Tw Cen MT"/>
              </w:rPr>
              <w:t xml:space="preserve">a </w:t>
            </w:r>
            <w:proofErr w:type="spellStart"/>
            <w:r>
              <w:rPr>
                <w:rFonts w:ascii="Tw Cen MT" w:eastAsia="Times New Roman" w:hAnsi="Tw Cen MT"/>
              </w:rPr>
              <w:t>Maghbazar</w:t>
            </w:r>
            <w:proofErr w:type="spellEnd"/>
            <w:r>
              <w:rPr>
                <w:rFonts w:ascii="Tw Cen MT" w:eastAsia="Times New Roman" w:hAnsi="Tw Cen MT"/>
              </w:rPr>
              <w:t xml:space="preserve">, Dhaka 1217, Bangladesh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Department: Community Development Initiative (CDI) II WASH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Supporting project Baseline and end-line design and survey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Doing FGD and KII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Designing, surveying, analyzing and presenting res</w:t>
            </w:r>
            <w:r>
              <w:rPr>
                <w:rFonts w:ascii="Tw Cen MT" w:eastAsia="Times New Roman" w:hAnsi="Tw Cen MT"/>
              </w:rPr>
              <w:t>earch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Change story preparation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Coordinating with program stakeholders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Preparing event reports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GIS Maps preparation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Maintaining database of finished works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Taking training sessions as supervisor of surveyors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Doing photography and graphics des</w:t>
            </w:r>
            <w:r>
              <w:rPr>
                <w:rFonts w:ascii="Tw Cen MT" w:eastAsia="Times New Roman" w:hAnsi="Tw Cen MT"/>
              </w:rPr>
              <w:t>ign to serve project purpose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Translating documents and serving as translator with foreigners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Keeping regular contact with project implementation committees, local volunteers, district unit office and national society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Facilitating training and worksh</w:t>
            </w:r>
            <w:r>
              <w:rPr>
                <w:rFonts w:ascii="Tw Cen MT" w:eastAsia="Times New Roman" w:hAnsi="Tw Cen MT"/>
              </w:rPr>
              <w:t>op preparation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Joining regular learning workshops within and outside organization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ahoma" w:eastAsia="Times New Roman" w:hAnsi="Tahoma" w:cs="Tahoma"/>
              </w:rPr>
              <w:t>⸭</w:t>
            </w:r>
            <w:r>
              <w:rPr>
                <w:rFonts w:ascii="Tw Cen MT" w:eastAsia="Times New Roman" w:hAnsi="Tw Cen MT"/>
              </w:rPr>
              <w:t xml:space="preserve"> Paying regular field visits to project areas â</w:t>
            </w:r>
            <w:r>
              <w:rPr>
                <w:rFonts w:ascii="Tw Cen MT" w:eastAsia="Times New Roman" w:hAnsi="Tw Cen MT" w:cs="Tw Cen MT"/>
              </w:rPr>
              <w:t>€“</w:t>
            </w:r>
            <w:proofErr w:type="spellStart"/>
            <w:r>
              <w:rPr>
                <w:rFonts w:ascii="Tw Cen MT" w:eastAsia="Times New Roman" w:hAnsi="Tw Cen MT"/>
              </w:rPr>
              <w:t>Gopalganj</w:t>
            </w:r>
            <w:proofErr w:type="spellEnd"/>
            <w:r>
              <w:rPr>
                <w:rFonts w:ascii="Tw Cen MT" w:eastAsia="Times New Roman" w:hAnsi="Tw Cen MT"/>
              </w:rPr>
              <w:t xml:space="preserve"> and Rangpur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7.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Intern ( September 28, 2016 - October 22, 2016)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proofErr w:type="spellStart"/>
            <w:r>
              <w:rPr>
                <w:rStyle w:val="Strong"/>
                <w:rFonts w:ascii="Tw Cen MT" w:eastAsia="Times New Roman" w:hAnsi="Tw Cen MT"/>
              </w:rPr>
              <w:t>Rajdhani</w:t>
            </w:r>
            <w:proofErr w:type="spellEnd"/>
            <w:r>
              <w:rPr>
                <w:rStyle w:val="Strong"/>
                <w:rFonts w:ascii="Tw Cen MT" w:eastAsia="Times New Roman" w:hAnsi="Tw Cen MT"/>
              </w:rPr>
              <w:t xml:space="preserve"> </w:t>
            </w:r>
            <w:proofErr w:type="spellStart"/>
            <w:r>
              <w:rPr>
                <w:rStyle w:val="Strong"/>
                <w:rFonts w:ascii="Tw Cen MT" w:eastAsia="Times New Roman" w:hAnsi="Tw Cen MT"/>
              </w:rPr>
              <w:t>Unnayan</w:t>
            </w:r>
            <w:proofErr w:type="spellEnd"/>
            <w:r>
              <w:rPr>
                <w:rStyle w:val="Strong"/>
                <w:rFonts w:ascii="Tw Cen MT" w:eastAsia="Times New Roman" w:hAnsi="Tw Cen MT"/>
              </w:rPr>
              <w:t xml:space="preserve"> </w:t>
            </w:r>
            <w:proofErr w:type="spellStart"/>
            <w:r>
              <w:rPr>
                <w:rStyle w:val="Strong"/>
                <w:rFonts w:ascii="Tw Cen MT" w:eastAsia="Times New Roman" w:hAnsi="Tw Cen MT"/>
              </w:rPr>
              <w:t>Kartripakkha</w:t>
            </w:r>
            <w:proofErr w:type="spellEnd"/>
            <w:r>
              <w:rPr>
                <w:rStyle w:val="Strong"/>
                <w:rFonts w:ascii="Tw Cen MT" w:eastAsia="Times New Roman" w:hAnsi="Tw Cen MT"/>
              </w:rPr>
              <w:t xml:space="preserve"> (RAJUK)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>Depar</w:t>
            </w:r>
            <w:r>
              <w:rPr>
                <w:rFonts w:ascii="Tw Cen MT" w:eastAsia="Times New Roman" w:hAnsi="Tw Cen MT"/>
              </w:rPr>
              <w:t xml:space="preserve">tment: Planning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lastRenderedPageBreak/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>1. Extraction of knowledge on RAJUK's Planning section's activities,</w:t>
            </w:r>
          </w:p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2. In-depth discussion and analysis on recent structure planning and detail area planning process of Dhaka</w:t>
            </w:r>
          </w:p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3. Preparation of presentation on RAJ</w:t>
            </w:r>
            <w:r>
              <w:rPr>
                <w:rFonts w:ascii="Tw Cen MT" w:eastAsia="Times New Roman" w:hAnsi="Tw Cen MT"/>
              </w:rPr>
              <w:t>UK (included)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313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lastRenderedPageBreak/>
              <w:t>8.</w:t>
            </w:r>
          </w:p>
        </w:tc>
        <w:tc>
          <w:tcPr>
            <w:tcW w:w="868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  <w:b/>
                <w:bCs/>
              </w:rPr>
            </w:pPr>
            <w:r>
              <w:rPr>
                <w:rFonts w:ascii="Tw Cen MT" w:eastAsia="Times New Roman" w:hAnsi="Tw Cen MT"/>
                <w:b/>
                <w:bCs/>
                <w:u w:val="single"/>
              </w:rPr>
              <w:t>Research Assistant ( June 1, 2015 - October 19, 2016)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F41823">
            <w:pPr>
              <w:jc w:val="center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rPr>
                <w:rFonts w:ascii="Tw Cen MT" w:eastAsia="Times New Roman" w:hAnsi="Tw Cen MT"/>
              </w:rPr>
            </w:pPr>
            <w:r>
              <w:rPr>
                <w:rStyle w:val="Strong"/>
                <w:rFonts w:ascii="Tw Cen MT" w:eastAsia="Times New Roman" w:hAnsi="Tw Cen MT"/>
              </w:rPr>
              <w:t>Khulna University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Company Location : Khulna - 9208, Bangladesh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 xml:space="preserve">Department: URP Discipline 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Style w:val="Strong"/>
                <w:rFonts w:ascii="Tw Cen MT" w:eastAsia="Times New Roman" w:hAnsi="Tw Cen MT"/>
                <w:i/>
                <w:iCs/>
                <w:u w:val="single"/>
              </w:rPr>
              <w:t>Duties/Responsibilities:</w:t>
            </w:r>
            <w:r>
              <w:rPr>
                <w:rFonts w:ascii="Tw Cen MT" w:eastAsia="Times New Roman" w:hAnsi="Tw Cen MT"/>
              </w:rPr>
              <w:t xml:space="preserve"> </w:t>
            </w:r>
            <w:r>
              <w:rPr>
                <w:rFonts w:ascii="Tw Cen MT" w:eastAsia="Times New Roman" w:hAnsi="Tw Cen MT"/>
              </w:rPr>
              <w:br/>
              <w:t>1. Planning Policy Advocacy with School Children and Teachers</w:t>
            </w:r>
            <w:r>
              <w:rPr>
                <w:rFonts w:ascii="Tw Cen MT" w:eastAsia="Times New Roman" w:hAnsi="Tw Cen MT"/>
              </w:rPr>
              <w:br/>
            </w:r>
            <w:r>
              <w:rPr>
                <w:rFonts w:ascii="Tw Cen MT" w:eastAsia="Times New Roman" w:hAnsi="Tw Cen MT"/>
              </w:rPr>
              <w:t>2. Management of Data Enumerators</w:t>
            </w:r>
            <w:r>
              <w:rPr>
                <w:rFonts w:ascii="Tw Cen MT" w:eastAsia="Times New Roman" w:hAnsi="Tw Cen MT"/>
              </w:rPr>
              <w:br/>
              <w:t>3. Data Mining</w:t>
            </w:r>
            <w:r>
              <w:rPr>
                <w:rFonts w:ascii="Tw Cen MT" w:eastAsia="Times New Roman" w:hAnsi="Tw Cen MT"/>
              </w:rPr>
              <w:br/>
              <w:t xml:space="preserve">4. Research Report Preparation &amp; Presentation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Academic Qualification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634"/>
              <w:gridCol w:w="1249"/>
              <w:gridCol w:w="1081"/>
              <w:gridCol w:w="1352"/>
            </w:tblGrid>
            <w:tr w:rsidR="00000000" w:rsidTr="009C0B7E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Exam Title</w:t>
                  </w:r>
                </w:p>
              </w:tc>
              <w:tc>
                <w:tcPr>
                  <w:tcW w:w="101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Concentration/Major</w:t>
                  </w:r>
                </w:p>
              </w:tc>
              <w:tc>
                <w:tcPr>
                  <w:tcW w:w="91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Institute</w:t>
                  </w:r>
                </w:p>
              </w:tc>
              <w:tc>
                <w:tcPr>
                  <w:tcW w:w="7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Result</w:t>
                  </w:r>
                </w:p>
              </w:tc>
              <w:tc>
                <w:tcPr>
                  <w:tcW w:w="60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Style w:val="Strong"/>
                      <w:rFonts w:ascii="Tw Cen MT" w:eastAsia="Times New Roman" w:hAnsi="Tw Cen MT"/>
                    </w:rPr>
                    <w:t>Pas.Year</w:t>
                  </w:r>
                  <w:proofErr w:type="spellEnd"/>
                </w:p>
              </w:tc>
              <w:tc>
                <w:tcPr>
                  <w:tcW w:w="75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Duration</w:t>
                  </w:r>
                </w:p>
              </w:tc>
            </w:tr>
            <w:tr w:rsidR="00000000" w:rsidTr="009C0B7E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Master of Social Science (MSS)   </w:t>
                  </w:r>
                </w:p>
              </w:tc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International Relations   </w:t>
                  </w:r>
                </w:p>
              </w:tc>
              <w:tc>
                <w:tcPr>
                  <w:tcW w:w="91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University of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Dhaka   </w:t>
                  </w:r>
                </w:p>
              </w:tc>
              <w:tc>
                <w:tcPr>
                  <w:tcW w:w="7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 </w:t>
                  </w:r>
                  <w:r w:rsidR="009C0B7E">
                    <w:rPr>
                      <w:rFonts w:ascii="Tw Cen MT" w:eastAsia="Times New Roman" w:hAnsi="Tw Cen MT"/>
                    </w:rPr>
                    <w:t>Appeared</w:t>
                  </w:r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</w:tc>
              <w:tc>
                <w:tcPr>
                  <w:tcW w:w="6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2020   </w:t>
                  </w:r>
                </w:p>
              </w:tc>
              <w:tc>
                <w:tcPr>
                  <w:tcW w:w="75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years   </w:t>
                  </w:r>
                </w:p>
              </w:tc>
            </w:tr>
            <w:tr w:rsidR="00000000" w:rsidTr="009C0B7E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Bachelor of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Urban and Rural Planning   </w:t>
                  </w:r>
                </w:p>
              </w:tc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Geographic Information System,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Transportation Planning, Urban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Planning, Environmental Planning   </w:t>
                  </w:r>
                </w:p>
              </w:tc>
              <w:tc>
                <w:tcPr>
                  <w:tcW w:w="91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Khulna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University   </w:t>
                  </w:r>
                </w:p>
              </w:tc>
              <w:tc>
                <w:tcPr>
                  <w:tcW w:w="7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First Class, Marks :3.28%   </w:t>
                  </w:r>
                </w:p>
              </w:tc>
              <w:tc>
                <w:tcPr>
                  <w:tcW w:w="6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2016   </w:t>
                  </w:r>
                </w:p>
              </w:tc>
              <w:tc>
                <w:tcPr>
                  <w:tcW w:w="75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Four Year</w:t>
                  </w:r>
                  <w:r>
                    <w:rPr>
                      <w:rFonts w:ascii="Tw Cen MT" w:eastAsia="Times New Roman" w:hAnsi="Tw Cen MT"/>
                    </w:rPr>
                    <w:t xml:space="preserve">s   </w:t>
                  </w:r>
                </w:p>
              </w:tc>
            </w:tr>
            <w:tr w:rsidR="00000000" w:rsidTr="009C0B7E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Higher Secondary School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Certificate   </w:t>
                  </w:r>
                </w:p>
              </w:tc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Science   </w:t>
                  </w:r>
                </w:p>
              </w:tc>
              <w:tc>
                <w:tcPr>
                  <w:tcW w:w="91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Milestone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College   </w:t>
                  </w:r>
                </w:p>
              </w:tc>
              <w:tc>
                <w:tcPr>
                  <w:tcW w:w="7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First Division, Marks :4.6%   </w:t>
                  </w:r>
                </w:p>
              </w:tc>
              <w:tc>
                <w:tcPr>
                  <w:tcW w:w="6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2011   </w:t>
                  </w:r>
                </w:p>
              </w:tc>
              <w:tc>
                <w:tcPr>
                  <w:tcW w:w="75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Years   </w:t>
                  </w:r>
                </w:p>
              </w:tc>
            </w:tr>
            <w:tr w:rsidR="00000000" w:rsidTr="009C0B7E"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Secondary School Certificate   </w:t>
                  </w:r>
                </w:p>
              </w:tc>
              <w:tc>
                <w:tcPr>
                  <w:tcW w:w="10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Science   </w:t>
                  </w:r>
                </w:p>
              </w:tc>
              <w:tc>
                <w:tcPr>
                  <w:tcW w:w="91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C0B7E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Safiuddin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  <w:p w:rsidR="009C0B7E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Sarker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Academy   </w:t>
                  </w:r>
                </w:p>
              </w:tc>
              <w:tc>
                <w:tcPr>
                  <w:tcW w:w="7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First Division, Marks :5%   </w:t>
                  </w:r>
                </w:p>
              </w:tc>
              <w:tc>
                <w:tcPr>
                  <w:tcW w:w="60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2009   </w:t>
                  </w:r>
                </w:p>
              </w:tc>
              <w:tc>
                <w:tcPr>
                  <w:tcW w:w="75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Years   </w:t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4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 xml:space="preserve">Organizational Affiliation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8966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0"/>
              <w:gridCol w:w="1461"/>
              <w:gridCol w:w="1779"/>
              <w:gridCol w:w="2206"/>
            </w:tblGrid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1963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Name</w:t>
                  </w:r>
                </w:p>
              </w:tc>
              <w:tc>
                <w:tcPr>
                  <w:tcW w:w="8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Position </w:t>
                  </w:r>
                </w:p>
              </w:tc>
              <w:tc>
                <w:tcPr>
                  <w:tcW w:w="99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ID</w:t>
                  </w:r>
                </w:p>
              </w:tc>
              <w:tc>
                <w:tcPr>
                  <w:tcW w:w="123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Period</w:t>
                  </w:r>
                </w:p>
              </w:tc>
            </w:tr>
            <w:tr w:rsidR="00000000">
              <w:trPr>
                <w:trHeight w:val="633"/>
                <w:tblCellSpacing w:w="0" w:type="dxa"/>
                <w:jc w:val="center"/>
              </w:trPr>
              <w:tc>
                <w:tcPr>
                  <w:tcW w:w="1963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Bangladesh Institute Of Planners</w:t>
                  </w:r>
                </w:p>
              </w:tc>
              <w:tc>
                <w:tcPr>
                  <w:tcW w:w="8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Member </w:t>
                  </w:r>
                </w:p>
              </w:tc>
              <w:tc>
                <w:tcPr>
                  <w:tcW w:w="9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M-1208</w:t>
                  </w:r>
                </w:p>
              </w:tc>
              <w:tc>
                <w:tcPr>
                  <w:tcW w:w="123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2016 – Ongoing </w:t>
                  </w:r>
                </w:p>
              </w:tc>
            </w:tr>
            <w:tr w:rsidR="00000000">
              <w:trPr>
                <w:trHeight w:val="633"/>
                <w:tblCellSpacing w:w="0" w:type="dxa"/>
                <w:jc w:val="center"/>
              </w:trPr>
              <w:tc>
                <w:tcPr>
                  <w:tcW w:w="1963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Khulna University Planners’ Alumni</w:t>
                  </w:r>
                </w:p>
              </w:tc>
              <w:tc>
                <w:tcPr>
                  <w:tcW w:w="8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EC Member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(Treasure)</w:t>
                  </w:r>
                </w:p>
              </w:tc>
              <w:tc>
                <w:tcPr>
                  <w:tcW w:w="9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120437</w:t>
                  </w:r>
                </w:p>
              </w:tc>
              <w:tc>
                <w:tcPr>
                  <w:tcW w:w="123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2017 - Ongoing</w:t>
                  </w:r>
                </w:p>
              </w:tc>
            </w:tr>
            <w:tr w:rsidR="00000000">
              <w:trPr>
                <w:trHeight w:val="633"/>
                <w:tblCellSpacing w:w="0" w:type="dxa"/>
                <w:jc w:val="center"/>
              </w:trPr>
              <w:tc>
                <w:tcPr>
                  <w:tcW w:w="1963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Building Plan Approval Committee </w:t>
                  </w:r>
                </w:p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of BIP</w:t>
                  </w:r>
                </w:p>
              </w:tc>
              <w:tc>
                <w:tcPr>
                  <w:tcW w:w="8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Member </w:t>
                  </w:r>
                </w:p>
              </w:tc>
              <w:tc>
                <w:tcPr>
                  <w:tcW w:w="9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M-1208</w:t>
                  </w:r>
                </w:p>
              </w:tc>
              <w:tc>
                <w:tcPr>
                  <w:tcW w:w="123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2018-Ongoing </w:t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p w:rsidR="00000000" w:rsidRDefault="00F41823">
      <w:pPr>
        <w:spacing w:line="276" w:lineRule="auto"/>
        <w:rPr>
          <w:rFonts w:ascii="Tw Cen MT" w:eastAsia="Times New Roman" w:hAnsi="Tw Cen MT"/>
          <w:b/>
          <w:bCs/>
          <w:color w:val="FFFFFF" w:themeColor="background1"/>
        </w:rPr>
        <w:sectPr w:rsidR="00000000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5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lastRenderedPageBreak/>
              <w:t>Training Summary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2490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2860"/>
              <w:gridCol w:w="2520"/>
              <w:gridCol w:w="2091"/>
              <w:gridCol w:w="1394"/>
              <w:gridCol w:w="977"/>
            </w:tblGrid>
            <w:tr w:rsidR="00F355B6" w:rsidTr="00F355B6">
              <w:trPr>
                <w:trHeight w:val="136"/>
                <w:tblHeader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Training Title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Topic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Institute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Location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Year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Duration</w:t>
                  </w:r>
                </w:p>
              </w:tc>
            </w:tr>
            <w:tr w:rsidR="00F355B6" w:rsidTr="00F355B6">
              <w:trPr>
                <w:trHeight w:val="136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Foundations of Project Management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Google Project Management: Professional Certificate</w:t>
                  </w:r>
                </w:p>
              </w:tc>
              <w:tc>
                <w:tcPr>
                  <w:tcW w:w="1009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rPr>
                      <w:rFonts w:ascii="Trebuchet MS" w:eastAsia="Times New Roman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Google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Coursera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391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jc w:val="center"/>
                    <w:rPr>
                      <w:rFonts w:ascii="Trebuchet MS" w:eastAsia="Times New Roman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4 Weeks </w:t>
                  </w:r>
                </w:p>
              </w:tc>
            </w:tr>
            <w:tr w:rsidR="00F355B6" w:rsidTr="00F355B6">
              <w:trPr>
                <w:trHeight w:val="136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Technical Support Fundamentals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Google IT Support Professional Certificate</w:t>
                  </w:r>
                </w:p>
              </w:tc>
              <w:tc>
                <w:tcPr>
                  <w:tcW w:w="1009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Google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Coursera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391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jc w:val="center"/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6 Weeks </w:t>
                  </w:r>
                </w:p>
              </w:tc>
            </w:tr>
            <w:tr w:rsidR="00F355B6" w:rsidTr="00F355B6">
              <w:trPr>
                <w:trHeight w:val="136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Feminism and Social Justice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1009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>University of California, Santa Crouse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Coursera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391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jc w:val="center"/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4 Weeks </w:t>
                  </w:r>
                </w:p>
              </w:tc>
            </w:tr>
            <w:tr w:rsidR="00F355B6" w:rsidTr="00F355B6">
              <w:trPr>
                <w:trHeight w:val="136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Introduction to Data Science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IBM's Data Science Foundations Professional Certificate</w:t>
                  </w:r>
                </w:p>
              </w:tc>
              <w:tc>
                <w:tcPr>
                  <w:tcW w:w="1009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>IBM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edx</w:t>
                  </w:r>
                  <w:proofErr w:type="spellEnd"/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391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jc w:val="center"/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4 Weeks </w:t>
                  </w:r>
                </w:p>
              </w:tc>
            </w:tr>
            <w:tr w:rsidR="00F355B6" w:rsidTr="00F355B6">
              <w:trPr>
                <w:trHeight w:val="1486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Programming for Everybody (Getting Started with Python)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Python for Everybody Specialization</w:t>
                  </w:r>
                </w:p>
              </w:tc>
              <w:tc>
                <w:tcPr>
                  <w:tcW w:w="1009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>University of Michigan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>Coursera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391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jc w:val="center"/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7 Weeks </w:t>
                  </w:r>
                </w:p>
              </w:tc>
            </w:tr>
            <w:tr w:rsidR="00F355B6" w:rsidTr="00F355B6">
              <w:trPr>
                <w:trHeight w:val="1234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 w:rsidRPr="009C0B7E">
                    <w:rPr>
                      <w:rFonts w:ascii="Tw Cen MT" w:eastAsia="Times New Roman" w:hAnsi="Tw Cen MT"/>
                    </w:rPr>
                    <w:t xml:space="preserve">Qualitative Research Methods and Qualitative Data Analysis with </w:t>
                  </w:r>
                  <w:proofErr w:type="spellStart"/>
                  <w:r w:rsidRPr="009C0B7E">
                    <w:rPr>
                      <w:rFonts w:ascii="Tw Cen MT" w:eastAsia="Times New Roman" w:hAnsi="Tw Cen MT"/>
                    </w:rPr>
                    <w:t>NVivo</w:t>
                  </w:r>
                  <w:proofErr w:type="spellEnd"/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1009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Social Science Research Council &amp; Khulna University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</w:p>
              </w:tc>
              <w:tc>
                <w:tcPr>
                  <w:tcW w:w="391" w:type="pct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9C0B7E">
                  <w:pPr>
                    <w:jc w:val="center"/>
                    <w:rPr>
                      <w:rFonts w:ascii="Trebuchet MS" w:hAnsi="Trebuchet MS" w:cs="Arial"/>
                    </w:rPr>
                  </w:pPr>
                  <w:r>
                    <w:rPr>
                      <w:rFonts w:ascii="Trebuchet MS" w:hAnsi="Trebuchet MS" w:cs="Arial"/>
                    </w:rPr>
                    <w:t xml:space="preserve">8 Weeks </w:t>
                  </w:r>
                </w:p>
              </w:tc>
            </w:tr>
            <w:tr w:rsidR="00F355B6" w:rsidTr="00F355B6">
              <w:trPr>
                <w:trHeight w:val="1234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Advanced Modules of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GIS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Advanced digitizing and editing (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ArcScan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), Geo-database and topology building, Spatial referencing and geographic transformation, Spatial analysis and GIS modelling, Map series production tool (Data driven pages) 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Bangladesh Institute of Planners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Planners Tower, 13/A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Bir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U. CR Dutta Rd, Dhaka1205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2018  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days   </w:t>
                  </w:r>
                </w:p>
              </w:tc>
            </w:tr>
            <w:tr w:rsidR="00F355B6" w:rsidTr="00F355B6">
              <w:trPr>
                <w:trHeight w:val="122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lastRenderedPageBreak/>
                    <w:t>Training Title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Topic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Institute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Location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Year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Duration</w:t>
                  </w:r>
                </w:p>
              </w:tc>
            </w:tr>
            <w:tr w:rsidR="00F355B6" w:rsidTr="00F355B6">
              <w:trPr>
                <w:trHeight w:val="1234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Environmental Impact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Assessment (EIA):A Primer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Bangladesh Institute of Planners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Planners Tower, 13/A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Bir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U. CR Dutta Rd, Dhaka1205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2018  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Days   </w:t>
                  </w:r>
                </w:p>
              </w:tc>
            </w:tr>
            <w:tr w:rsidR="00F355B6" w:rsidTr="00F355B6">
              <w:trPr>
                <w:trHeight w:val="1234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Child Centered Disaster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Risk Reduction Symposium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Research Paper Presentation 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BRAC, BRAC University, Save the Children, C&amp;A Foundation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BRAC Centre, Dhaka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2018  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Days   </w:t>
                  </w:r>
                </w:p>
              </w:tc>
            </w:tr>
            <w:tr w:rsidR="00F355B6" w:rsidTr="00F355B6">
              <w:trPr>
                <w:trHeight w:val="1234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Training on Building Plan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Approval in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Pourashava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/ City Corporation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Development Control, Building Plan Approval History &amp; Laws, Negotiation and Decision Making 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Bangladesh Institute of Planners, Khulna University Planners' Alumni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Khulna University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2018  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1 Day   </w:t>
                  </w:r>
                </w:p>
              </w:tc>
            </w:tr>
            <w:tr w:rsidR="00F355B6" w:rsidTr="00F355B6">
              <w:trPr>
                <w:trHeight w:val="1080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Introduction to Monitoring &amp; Evaluation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Key M&amp;E concepts, steps,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tools and practices, application 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International Federation of Red Cross and Red Crescent Societies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Online Learning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Platform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2017  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1 Day   </w:t>
                  </w:r>
                </w:p>
              </w:tc>
            </w:tr>
            <w:tr w:rsidR="00F355B6" w:rsidTr="00F355B6">
              <w:trPr>
                <w:trHeight w:val="1179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Project/ Program Planning (PPP)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Key skills and methods for project management, results-based project planning, "logical framework" 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International Federation of Red Cross and Red Crescent Societies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Online Learning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Platform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2017  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1 Day   </w:t>
                  </w:r>
                </w:p>
              </w:tc>
            </w:tr>
            <w:tr w:rsidR="00F355B6" w:rsidTr="00F355B6">
              <w:trPr>
                <w:trHeight w:val="1008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Training on Mapping for Resilience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OSM, GPS Data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CollectionGIS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George Washington University, USA and USAID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GeoCenter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Khulna University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and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Batiaghata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Upazilla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2015  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 Days   </w:t>
                  </w:r>
                </w:p>
              </w:tc>
            </w:tr>
            <w:tr w:rsidR="00F355B6" w:rsidTr="00F355B6">
              <w:trPr>
                <w:trHeight w:val="994"/>
                <w:tblCellSpacing w:w="0" w:type="dxa"/>
                <w:jc w:val="center"/>
              </w:trPr>
              <w:tc>
                <w:tcPr>
                  <w:tcW w:w="106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Youth Leadership Summit   </w:t>
                  </w:r>
                </w:p>
              </w:tc>
              <w:tc>
                <w:tcPr>
                  <w:tcW w:w="1145" w:type="pct"/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  </w:t>
                  </w:r>
                </w:p>
              </w:tc>
              <w:tc>
                <w:tcPr>
                  <w:tcW w:w="1009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Bangladesh Youth Leadership Center   </w:t>
                  </w:r>
                </w:p>
              </w:tc>
              <w:tc>
                <w:tcPr>
                  <w:tcW w:w="837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Bangabandhu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International Conference Center   </w:t>
                  </w:r>
                </w:p>
              </w:tc>
              <w:tc>
                <w:tcPr>
                  <w:tcW w:w="55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2014   </w:t>
                  </w:r>
                </w:p>
              </w:tc>
              <w:tc>
                <w:tcPr>
                  <w:tcW w:w="391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355B6" w:rsidRDefault="00F355B6" w:rsidP="00F355B6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3 Days   </w:t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  <w:sectPr w:rsidR="00000000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Career and App</w:t>
            </w: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lication Information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1"/>
              <w:gridCol w:w="179"/>
              <w:gridCol w:w="592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Mid Level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Job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Full Time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Tk. 45</w:t>
                  </w:r>
                  <w:r w:rsidR="009C0B7E">
                    <w:rPr>
                      <w:rFonts w:ascii="Tw Cen MT" w:eastAsia="Times New Roman" w:hAnsi="Tw Cen MT"/>
                    </w:rPr>
                    <w:t>,</w:t>
                  </w:r>
                  <w:r>
                    <w:rPr>
                      <w:rFonts w:ascii="Tw Cen MT" w:eastAsia="Times New Roman" w:hAnsi="Tw Cen MT"/>
                    </w:rPr>
                    <w:t>000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 w:rsidP="009C0B7E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Tk. </w:t>
                  </w:r>
                  <w:r w:rsidR="009C0B7E">
                    <w:rPr>
                      <w:rFonts w:ascii="Tw Cen MT" w:eastAsia="Times New Roman" w:hAnsi="Tw Cen MT"/>
                    </w:rPr>
                    <w:t>60,000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NGO/Development, Research/Consultancy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Anywhere in Bangladesh.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Afghanistan, Brunei, India, Iran, South Africa, Spain, Syria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NGO, Development Agency </w:t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Specialization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6"/>
              <w:gridCol w:w="6474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371" w:type="pct"/>
                  <w:tcBorders>
                    <w:top w:val="nil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Fields of Specialization</w:t>
                  </w:r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</w:tc>
              <w:tc>
                <w:tcPr>
                  <w:tcW w:w="362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Description</w:t>
                  </w:r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37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Report writing &amp;      Documentation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Monitoring &amp;        </w:t>
                  </w:r>
                  <w:r>
                    <w:rPr>
                      <w:rFonts w:ascii="Tw Cen MT" w:eastAsia="Times New Roman" w:hAnsi="Tw Cen MT"/>
                    </w:rPr>
                    <w:t xml:space="preserve">    Evaluation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Research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Paper Book finishing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Volunteering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GIS/ Mapping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Project Design</w:t>
                  </w:r>
                </w:p>
                <w:p w:rsidR="00000000" w:rsidRDefault="00F41823">
                  <w:pPr>
                    <w:numPr>
                      <w:ilvl w:val="0"/>
                      <w:numId w:val="2"/>
                    </w:numPr>
                    <w:tabs>
                      <w:tab w:val="num" w:pos="270"/>
                    </w:tabs>
                    <w:wordWrap w:val="0"/>
                    <w:spacing w:before="100" w:beforeAutospacing="1" w:after="100" w:afterAutospacing="1" w:line="276" w:lineRule="auto"/>
                    <w:ind w:left="360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Data management</w:t>
                  </w:r>
                </w:p>
                <w:p w:rsidR="00000000" w:rsidRDefault="00F41823">
                  <w:pPr>
                    <w:tabs>
                      <w:tab w:val="num" w:pos="270"/>
                    </w:tabs>
                    <w:wordWrap w:val="0"/>
                    <w:spacing w:line="276" w:lineRule="auto"/>
                    <w:ind w:left="360" w:hanging="360"/>
                    <w:jc w:val="both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br/>
                    <w:t xml:space="preserve">  </w:t>
                  </w:r>
                </w:p>
              </w:tc>
              <w:tc>
                <w:tcPr>
                  <w:tcW w:w="362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Report writing: I have prepared project reports like PRA report, FGD report, and activity report with good feedbacks.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Conducting project survey: F</w:t>
                  </w:r>
                  <w:r>
                    <w:rPr>
                      <w:rFonts w:ascii="Tw Cen MT" w:eastAsia="Times New Roman" w:hAnsi="Tw Cen MT"/>
                    </w:rPr>
                    <w:t>or acquiring project-needed data, I have visited the project area along with surveyors to maintain the survey activities and give a proper guideline.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Manage and supervise a project team: I have managed a project team to establish them as a good team play</w:t>
                  </w:r>
                  <w:r>
                    <w:rPr>
                      <w:rFonts w:ascii="Tw Cen MT" w:eastAsia="Times New Roman" w:hAnsi="Tw Cen MT"/>
                    </w:rPr>
                    <w:t>er and train them in different times to have the skills to finish the project task.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Vulnerability Assessment &amp; Hazard risk mitigation: In the project of Urban Development Directorate of Bangladesh, we have developed questionnaires to analyze building vul</w:t>
                  </w:r>
                  <w:r>
                    <w:rPr>
                      <w:rFonts w:ascii="Tw Cen MT" w:eastAsia="Times New Roman" w:hAnsi="Tw Cen MT"/>
                    </w:rPr>
                    <w:t>nerability and safety nets of structures and also developed a disaster risk management plan for the sub-district level.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Data documentation and monitoring: Data documentation in both hard and digital format to analyze when needed and make spreadsheets in </w:t>
                  </w:r>
                  <w:r>
                    <w:rPr>
                      <w:rFonts w:ascii="Tw Cen MT" w:eastAsia="Times New Roman" w:hAnsi="Tw Cen MT"/>
                    </w:rPr>
                    <w:t>different formats like Excel sheets, SPSS file, Access file, and Geo-database format. In addition, time-to-time monitoring the task given by supervisor and follow-up of existing task and data acquired.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Monitor the tasks of project and evaluation of proje</w:t>
                  </w:r>
                  <w:r>
                    <w:rPr>
                      <w:rFonts w:ascii="Tw Cen MT" w:eastAsia="Times New Roman" w:hAnsi="Tw Cen MT"/>
                    </w:rPr>
                    <w:t>ct activities: Daily and in some cases weekly cross-checking the data and monitoring the works for a better outcome and also evaluating the task time-to-time maintain balance and accuracy of the project task.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Good communication skills: Have good verbal a</w:t>
                  </w:r>
                  <w:r>
                    <w:rPr>
                      <w:rFonts w:ascii="Tw Cen MT" w:eastAsia="Times New Roman" w:hAnsi="Tw Cen MT"/>
                    </w:rPr>
                    <w:t>nd communication skill to give a presentation of works and activities to stakeholde</w:t>
                  </w:r>
                  <w:r>
                    <w:rPr>
                      <w:rFonts w:ascii="Tw Cen MT" w:eastAsia="Times New Roman" w:hAnsi="Tw Cen MT"/>
                    </w:rPr>
                    <w:lastRenderedPageBreak/>
                    <w:t>rs and making the works visible in all cases.</w:t>
                  </w:r>
                  <w:r>
                    <w:rPr>
                      <w:rFonts w:ascii="Tw Cen MT" w:eastAsia="Times New Roman" w:hAnsi="Tw Cen MT"/>
                    </w:rPr>
                    <w:br/>
                  </w:r>
                  <w:r>
                    <w:rPr>
                      <w:rFonts w:ascii="Tahoma" w:eastAsia="Times New Roman" w:hAnsi="Tahoma" w:cs="Tahoma"/>
                    </w:rPr>
                    <w:t>⸭</w:t>
                  </w:r>
                  <w:r>
                    <w:rPr>
                      <w:rFonts w:ascii="Tw Cen MT" w:eastAsia="Times New Roman" w:hAnsi="Tw Cen MT"/>
                    </w:rPr>
                    <w:t xml:space="preserve"> GIS and Mapping: Have knowledge and experience in preparing all kinds of map like land use map, Suitability Map, Thematic map</w:t>
                  </w:r>
                  <w:r>
                    <w:rPr>
                      <w:rFonts w:ascii="Tw Cen MT" w:eastAsia="Times New Roman" w:hAnsi="Tw Cen MT"/>
                    </w:rPr>
                    <w:t xml:space="preserve">, Social map, Accessibility map, physical feature map, agricultural map etc. I have experience working on ArcGIS, QGIS, OSM, Google Earth,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Erdas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Imagine and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TranCAD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software too. </w:t>
                  </w:r>
                  <w:r>
                    <w:rPr>
                      <w:rFonts w:ascii="Tw Cen MT" w:eastAsia="Times New Roman" w:hAnsi="Tw Cen MT"/>
                    </w:rPr>
                    <w:br/>
                    <w:t xml:space="preserve">  </w:t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Extra Curricular</w:t>
            </w:r>
            <w:proofErr w:type="spellEnd"/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 xml:space="preserve"> Activities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F41823">
            <w:pPr>
              <w:wordWrap w:val="0"/>
              <w:spacing w:line="276" w:lineRule="auto"/>
              <w:rPr>
                <w:rFonts w:ascii="Tw Cen MT" w:eastAsia="Times New Roman" w:hAnsi="Tw Cen MT"/>
              </w:rPr>
            </w:pPr>
            <w:r>
              <w:rPr>
                <w:rFonts w:ascii="Tw Cen MT" w:eastAsia="Times New Roman" w:hAnsi="Tw Cen MT"/>
              </w:rPr>
              <w:t xml:space="preserve">Debating, Reciting, Anchoring. </w:t>
            </w: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>Language Proficiency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9000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50"/>
              <w:gridCol w:w="2250"/>
              <w:gridCol w:w="225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Style w:val="Strong"/>
                      <w:rFonts w:ascii="Tw Cen MT" w:eastAsia="Times New Roman" w:hAnsi="Tw Cen MT"/>
                    </w:rPr>
                    <w:t>Speaking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High 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1F4E79" w:themeFill="accent1" w:themeFillShade="80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  <w:color w:val="FFFFFF" w:themeColor="background1"/>
                    </w:rPr>
                  </w:pPr>
                  <w:r>
                    <w:rPr>
                      <w:rFonts w:ascii="Tw Cen MT" w:eastAsia="Times New Roman" w:hAnsi="Tw Cen MT"/>
                      <w:color w:val="FFFFFF" w:themeColor="background1"/>
                    </w:rPr>
                    <w:t>English (IELTS 7)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1F4E79" w:themeFill="accent1" w:themeFillShade="80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  <w:color w:val="FFFFFF" w:themeColor="background1"/>
                    </w:rPr>
                  </w:pPr>
                  <w:r>
                    <w:rPr>
                      <w:rFonts w:ascii="Tw Cen MT" w:eastAsia="Times New Roman" w:hAnsi="Tw Cen MT"/>
                      <w:color w:val="FFFFFF" w:themeColor="background1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1F4E79" w:themeFill="accent1" w:themeFillShade="80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  <w:color w:val="FFFFFF" w:themeColor="background1"/>
                    </w:rPr>
                  </w:pPr>
                  <w:r>
                    <w:rPr>
                      <w:rFonts w:ascii="Tw Cen MT" w:eastAsia="Times New Roman" w:hAnsi="Tw Cen MT"/>
                      <w:color w:val="FFFFFF" w:themeColor="background1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1F4E79" w:themeFill="accent1" w:themeFillShade="80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  <w:color w:val="FFFFFF" w:themeColor="background1"/>
                    </w:rPr>
                  </w:pPr>
                  <w:r>
                    <w:rPr>
                      <w:rFonts w:ascii="Tw Cen MT" w:eastAsia="Times New Roman" w:hAnsi="Tw Cen MT"/>
                      <w:color w:val="FFFFFF" w:themeColor="background1"/>
                    </w:rPr>
                    <w:t>High 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Turkish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A1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A1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A1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Arabic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A1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A1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 w:rsidP="00735870">
                  <w:pPr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A1</w:t>
                  </w: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</w:rPr>
              <w:t xml:space="preserve">Personal Details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79"/>
              <w:gridCol w:w="6817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Amanat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Ali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Khatamun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Ara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October 8, 1994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Male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Married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Bangladeshi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19944711271000788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Islam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Permanent </w:t>
                  </w:r>
                  <w:r>
                    <w:rPr>
                      <w:rFonts w:ascii="Tw Cen MT" w:eastAsia="Times New Roman" w:hAnsi="Tw Cen MT"/>
                    </w:rPr>
                    <w:t>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213,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Sirajuddin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Sarker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Road,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Dattapara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Tongi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, - 1710,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Gazipur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Sadar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Gazipur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35870" w:rsidP="00735870">
                  <w:pPr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Sadr</w:t>
                  </w:r>
                  <w:r>
                    <w:rPr>
                      <w:rFonts w:ascii="Tw Cen MT" w:eastAsia="Times New Roman" w:hAnsi="Tw Cen MT"/>
                    </w:rPr>
                    <w:t>,</w:t>
                  </w:r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Mymensingh</w:t>
                  </w:r>
                  <w:proofErr w:type="spellEnd"/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41823">
      <w:pPr>
        <w:spacing w:line="276" w:lineRule="auto"/>
        <w:rPr>
          <w:rFonts w:ascii="Tw Cen MT" w:eastAsia="Times New Roman" w:hAnsi="Tw Cen MT"/>
          <w:vanish/>
        </w:rPr>
      </w:pPr>
    </w:p>
    <w:tbl>
      <w:tblPr>
        <w:tblpPr w:leftFromText="180" w:rightFromText="180" w:vertAnchor="page" w:horzAnchor="margin" w:tblpY="1537"/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00000">
        <w:trPr>
          <w:tblCellSpacing w:w="0" w:type="dxa"/>
        </w:trPr>
        <w:tc>
          <w:tcPr>
            <w:tcW w:w="0" w:type="auto"/>
            <w:shd w:val="clear" w:color="auto" w:fill="1F4E79" w:themeFill="accent1" w:themeFillShade="80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F41823">
            <w:pPr>
              <w:spacing w:line="276" w:lineRule="auto"/>
              <w:rPr>
                <w:rFonts w:ascii="Tw Cen MT" w:eastAsia="Times New Roman" w:hAnsi="Tw Cen MT"/>
                <w:b/>
                <w:bCs/>
                <w:color w:val="FFFFFF" w:themeColor="background1"/>
              </w:rPr>
            </w:pPr>
            <w:r>
              <w:rPr>
                <w:rFonts w:ascii="Tw Cen MT" w:eastAsia="Times New Roman" w:hAnsi="Tw Cen MT"/>
                <w:b/>
                <w:bCs/>
                <w:color w:val="FFFFFF" w:themeColor="background1"/>
                <w:u w:val="single"/>
              </w:rPr>
              <w:lastRenderedPageBreak/>
              <w:t>Reference (s):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3"/>
              <w:gridCol w:w="179"/>
              <w:gridCol w:w="3140"/>
              <w:gridCol w:w="3678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  <w:b/>
                      <w:bCs/>
                    </w:rPr>
                  </w:pPr>
                  <w:r>
                    <w:rPr>
                      <w:rFonts w:ascii="Tw Cen MT" w:eastAsia="Times New Roman" w:hAnsi="Tw Cen MT"/>
                      <w:b/>
                      <w:bCs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  <w:b/>
                      <w:bCs/>
                    </w:rPr>
                  </w:pPr>
                  <w:r>
                    <w:rPr>
                      <w:rFonts w:ascii="Tw Cen MT" w:eastAsia="Times New Roman" w:hAnsi="Tw Cen MT"/>
                      <w:b/>
                      <w:bCs/>
                      <w:u w:val="single"/>
                    </w:rPr>
                    <w:t>Reference: 02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S. M. Mehedi Ahsan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Mohammad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Ishtiuq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Hossain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KfW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</w:t>
                  </w:r>
                  <w:r>
                    <w:rPr>
                      <w:rFonts w:ascii="Tw Cen MT" w:eastAsia="Times New Roman" w:hAnsi="Tw Cen MT"/>
                    </w:rPr>
                    <w:t>Development Bank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GIZ Bangladesh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Senior Urban Resilience Specialist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Senior Advisor (Climate Policy)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Bangladesh Office</w:t>
                  </w:r>
                </w:p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8th floor, House 50, Road 23</w:t>
                  </w:r>
                </w:p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proofErr w:type="spellStart"/>
                  <w:r>
                    <w:rPr>
                      <w:rFonts w:ascii="Tw Cen MT" w:eastAsia="Times New Roman" w:hAnsi="Tw Cen MT"/>
                    </w:rPr>
                    <w:t>Banani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>, Dhaka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PO Box 6091, </w:t>
                  </w:r>
                  <w:proofErr w:type="spellStart"/>
                  <w:r>
                    <w:rPr>
                      <w:rFonts w:ascii="Tw Cen MT" w:eastAsia="Times New Roman" w:hAnsi="Tw Cen MT"/>
                    </w:rPr>
                    <w:t>Gulshan</w:t>
                  </w:r>
                  <w:proofErr w:type="spellEnd"/>
                  <w:r>
                    <w:rPr>
                      <w:rFonts w:ascii="Tw Cen MT" w:eastAsia="Times New Roman" w:hAnsi="Tw Cen MT"/>
                    </w:rPr>
                    <w:t xml:space="preserve"> 1 Dhaka 1212, Bangladesh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+880 16 1254 6283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+8801726260696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Mehedi.Ahsan@kfw.de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ishtiuq.hossain@gmail.com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 xml:space="preserve">Professional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framePr w:hSpace="180" w:wrap="around" w:vAnchor="page" w:hAnchor="margin" w:y="1537"/>
                    <w:wordWrap w:val="0"/>
                    <w:spacing w:line="276" w:lineRule="auto"/>
                    <w:jc w:val="center"/>
                    <w:rPr>
                      <w:rFonts w:ascii="Tw Cen MT" w:eastAsia="Times New Roman" w:hAnsi="Tw Cen MT"/>
                    </w:rPr>
                  </w:pPr>
                  <w:r>
                    <w:rPr>
                      <w:rFonts w:ascii="Tw Cen MT" w:eastAsia="Times New Roman" w:hAnsi="Tw Cen MT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41823">
                  <w:pPr>
                    <w:rPr>
                      <w:rFonts w:ascii="Tw Cen MT" w:eastAsia="Times New Roman" w:hAnsi="Tw Cen MT"/>
                    </w:rPr>
                  </w:pPr>
                </w:p>
              </w:tc>
            </w:tr>
          </w:tbl>
          <w:p w:rsidR="00000000" w:rsidRDefault="00F4182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41823" w:rsidRDefault="00F41823">
      <w:pPr>
        <w:rPr>
          <w:rFonts w:ascii="Tw Cen MT" w:eastAsia="Times New Roman" w:hAnsi="Tw Cen MT"/>
        </w:rPr>
      </w:pPr>
    </w:p>
    <w:sectPr w:rsidR="00F418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111D8"/>
    <w:multiLevelType w:val="multilevel"/>
    <w:tmpl w:val="950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C0B7E"/>
    <w:rsid w:val="00735870"/>
    <w:rsid w:val="007D77E7"/>
    <w:rsid w:val="009C0B7E"/>
    <w:rsid w:val="009C6FBA"/>
    <w:rsid w:val="00CD1300"/>
    <w:rsid w:val="00F355B6"/>
    <w:rsid w:val="00F4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396ED"/>
  <w15:chartTrackingRefBased/>
  <w15:docId w15:val="{B5681F2E-6BE7-459D-8D25-D81AAEAD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Tasnim</dc:creator>
  <cp:keywords/>
  <dc:description/>
  <cp:lastModifiedBy>Talha Tasnim</cp:lastModifiedBy>
  <cp:revision>5</cp:revision>
  <cp:lastPrinted>2021-05-25T17:36:00Z</cp:lastPrinted>
  <dcterms:created xsi:type="dcterms:W3CDTF">2021-05-25T17:24:00Z</dcterms:created>
  <dcterms:modified xsi:type="dcterms:W3CDTF">2021-05-25T17:39:00Z</dcterms:modified>
</cp:coreProperties>
</file>