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77777"/>
          <w:sz w:val="22"/>
        </w:rPr>
        <w:t>SUPERVOLCANO TELEOPS</w:t>
      </w:r>
    </w:p>
    <w:p>
      <w:pPr>
        <w:jc w:val="center"/>
      </w:pPr>
      <w:r>
        <w:rPr>
          <w:b/>
          <w:sz w:val="44"/>
        </w:rPr>
        <w:t>Infrastructure Options &amp; Cost Plan</w:t>
      </w:r>
    </w:p>
    <w:p>
      <w:pPr>
        <w:jc w:val="center"/>
      </w:pPr>
      <w:r>
        <w:rPr>
          <w:color w:val="777777"/>
          <w:sz w:val="22"/>
        </w:rPr>
        <w:t>GCP migration · single project · staging + production</w:t>
      </w:r>
    </w:p>
    <w:p>
      <w:pPr>
        <w:jc w:val="center"/>
      </w:pPr>
      <w:r>
        <w:rPr>
          <w:i/>
          <w:color w:val="777777"/>
          <w:sz w:val="20"/>
        </w:rPr>
        <w:t>Prepared by Podifi · 2026-05-09 · Confidential — Internal Use Only</w:t>
      </w:r>
    </w:p>
    <w:p/>
    <w:p>
      <w:pPr>
        <w:pStyle w:val="Heading1"/>
      </w:pPr>
      <w:r>
        <w:rPr>
          <w:color w:val="1A1A1A"/>
        </w:rPr>
        <w:t>Executive summary</w:t>
      </w:r>
    </w:p>
    <w:p>
      <w:r>
        <w:rPr>
          <w:b w:val="0"/>
          <w:i w:val="0"/>
          <w:sz w:val="22"/>
        </w:rPr>
        <w:t>The Supervolcano platform is moving from Vercel + Firebase + Neon to Google Cloud Platform under a single client-owned project. Both staging and production environments live in that one project, isolated by Identity Platform tenants, Firestore named databases, separate Cloud SQL instances, and per-environment service accounts and storage buckets. The web application runs as a container on Cloud Run; the mobile app continues to talk to Firebase services as before.</w:t>
      </w:r>
    </w:p>
    <w:p>
      <w:r>
        <w:rPr>
          <w:b w:val="0"/>
          <w:i w:val="0"/>
          <w:sz w:val="22"/>
        </w:rPr>
        <w:t>This document presents the cost-relevant decisions that need a sign-off before the infrastructure is applied. Three pre-bundled scenarios are offered for convenience — Lean, Balanced, and Full Production — but each service can also be sized independently. Every option is reversible with a single configuration change since the entire stack is held in code (Terraform).</w:t>
      </w:r>
    </w:p>
    <w:p>
      <w:pPr>
        <w:pStyle w:val="Heading1"/>
      </w:pPr>
      <w:r>
        <w:rPr>
          <w:color w:val="1A1A1A"/>
        </w:rPr>
        <w:t>Recommended scenarios at a glance</w:t>
      </w:r>
    </w:p>
    <w:p>
      <w:r>
        <w:rPr>
          <w:b w:val="0"/>
          <w:i w:val="0"/>
          <w:sz w:val="22"/>
        </w:rPr>
        <w:t>Three bundled scenarios are described below. Pick one as the baseline; individual services can be adjusted afterwards.</w:t>
      </w:r>
    </w:p>
    <w:tbl>
      <w:tblPr>
        <w:tblStyle w:val="LightGrid-Accent1"/>
        <w:tblW w:type="auto" w:w="0"/>
        <w:jc w:val="left"/>
        <w:tblLook w:firstColumn="1" w:firstRow="1" w:lastColumn="0" w:lastRow="0" w:noHBand="0" w:noVBand="1" w:val="04A0"/>
      </w:tblPr>
      <w:tblGrid>
        <w:gridCol w:w="3312"/>
        <w:gridCol w:w="3312"/>
        <w:gridCol w:w="3312"/>
      </w:tblGrid>
      <w:tr>
        <w:tc>
          <w:tcPr>
            <w:tcW w:type="dxa" w:w="3312"/>
            <w:shd w:val="clear" w:color="auto" w:fill="1F3864"/>
          </w:tcPr>
          <w:p>
            <w:r/>
            <w:r>
              <w:rPr>
                <w:b/>
                <w:color w:val="FFFFFF"/>
                <w:sz w:val="20"/>
              </w:rPr>
              <w:t>Scenario</w:t>
            </w:r>
          </w:p>
        </w:tc>
        <w:tc>
          <w:tcPr>
            <w:tcW w:type="dxa" w:w="3312"/>
            <w:shd w:val="clear" w:color="auto" w:fill="1F3864"/>
          </w:tcPr>
          <w:p>
            <w:r/>
            <w:r>
              <w:rPr>
                <w:b/>
                <w:color w:val="FFFFFF"/>
                <w:sz w:val="20"/>
              </w:rPr>
              <w:t>When to choose</w:t>
            </w:r>
          </w:p>
        </w:tc>
        <w:tc>
          <w:tcPr>
            <w:tcW w:type="dxa" w:w="3312"/>
            <w:shd w:val="clear" w:color="auto" w:fill="1F3864"/>
          </w:tcPr>
          <w:p>
            <w:r/>
            <w:r>
              <w:rPr>
                <w:b/>
                <w:color w:val="FFFFFF"/>
                <w:sz w:val="20"/>
              </w:rPr>
              <w:t>Est. total /mo</w:t>
            </w:r>
          </w:p>
        </w:tc>
      </w:tr>
      <w:tr>
        <w:tc>
          <w:tcPr>
            <w:tcW w:type="dxa" w:w="3312"/>
            <w:vAlign w:val="top"/>
            <w:shd w:val="clear" w:color="auto" w:fill="E2EFDA"/>
          </w:tcPr>
          <w:p>
            <w:r/>
            <w:r>
              <w:rPr>
                <w:sz w:val="20"/>
              </w:rPr>
              <w:t>Lean (recommended now)</w:t>
            </w:r>
          </w:p>
        </w:tc>
        <w:tc>
          <w:tcPr>
            <w:tcW w:type="dxa" w:w="3312"/>
            <w:vAlign w:val="top"/>
            <w:shd w:val="clear" w:color="auto" w:fill="E2EFDA"/>
          </w:tcPr>
          <w:p>
            <w:r/>
            <w:r>
              <w:rPr>
                <w:sz w:val="20"/>
              </w:rPr>
              <w:t>Pre-launch, no live users, internal QA</w:t>
            </w:r>
          </w:p>
        </w:tc>
        <w:tc>
          <w:tcPr>
            <w:tcW w:type="dxa" w:w="3312"/>
            <w:vAlign w:val="top"/>
            <w:shd w:val="clear" w:color="auto" w:fill="E2EFDA"/>
          </w:tcPr>
          <w:p>
            <w:r/>
            <w:r>
              <w:rPr>
                <w:sz w:val="20"/>
              </w:rPr>
              <w:t>~$63</w:t>
            </w:r>
          </w:p>
        </w:tc>
      </w:tr>
      <w:tr>
        <w:tc>
          <w:tcPr>
            <w:tcW w:type="dxa" w:w="3312"/>
            <w:vAlign w:val="top"/>
            <w:shd w:val="clear" w:color="auto" w:fill="F2F2F2"/>
          </w:tcPr>
          <w:p>
            <w:r/>
            <w:r>
              <w:rPr>
                <w:sz w:val="20"/>
              </w:rPr>
              <w:t>Balanced</w:t>
            </w:r>
          </w:p>
        </w:tc>
        <w:tc>
          <w:tcPr>
            <w:tcW w:type="dxa" w:w="3312"/>
            <w:vAlign w:val="top"/>
            <w:shd w:val="clear" w:color="auto" w:fill="F2F2F2"/>
          </w:tcPr>
          <w:p>
            <w:r/>
            <w:r>
              <w:rPr>
                <w:sz w:val="20"/>
              </w:rPr>
              <w:t>Soft launch with a small group of real users</w:t>
            </w:r>
          </w:p>
        </w:tc>
        <w:tc>
          <w:tcPr>
            <w:tcW w:type="dxa" w:w="3312"/>
            <w:vAlign w:val="top"/>
            <w:shd w:val="clear" w:color="auto" w:fill="F2F2F2"/>
          </w:tcPr>
          <w:p>
            <w:r/>
            <w:r>
              <w:rPr>
                <w:sz w:val="20"/>
              </w:rPr>
              <w:t>~$103</w:t>
            </w:r>
          </w:p>
        </w:tc>
      </w:tr>
      <w:tr>
        <w:tc>
          <w:tcPr>
            <w:tcW w:type="dxa" w:w="3312"/>
            <w:vAlign w:val="top"/>
          </w:tcPr>
          <w:p>
            <w:r/>
            <w:r>
              <w:rPr>
                <w:sz w:val="20"/>
              </w:rPr>
              <w:t>Full Production</w:t>
            </w:r>
          </w:p>
        </w:tc>
        <w:tc>
          <w:tcPr>
            <w:tcW w:type="dxa" w:w="3312"/>
            <w:vAlign w:val="top"/>
          </w:tcPr>
          <w:p>
            <w:r/>
            <w:r>
              <w:rPr>
                <w:sz w:val="20"/>
              </w:rPr>
              <w:t>Live customers with uptime expectations</w:t>
            </w:r>
          </w:p>
        </w:tc>
        <w:tc>
          <w:tcPr>
            <w:tcW w:type="dxa" w:w="3312"/>
            <w:vAlign w:val="top"/>
          </w:tcPr>
          <w:p>
            <w:r/>
            <w:r>
              <w:rPr>
                <w:sz w:val="20"/>
              </w:rPr>
              <w:t>~$170</w:t>
            </w:r>
          </w:p>
        </w:tc>
      </w:tr>
    </w:tbl>
    <w:p>
      <w:r>
        <w:rPr>
          <w:b w:val="0"/>
          <w:i/>
          <w:color w:val="777777"/>
          <w:sz w:val="20"/>
        </w:rPr>
        <w:t>Costs above are infrastructure-only and exclude per-request usage (data egress, Firestore reads, etc.) which are negligible at current traffic.</w:t>
      </w:r>
    </w:p>
    <w:p/>
    <w:p>
      <w:pPr>
        <w:pStyle w:val="Heading1"/>
      </w:pPr>
      <w:r>
        <w:rPr>
          <w:color w:val="1A1A1A"/>
        </w:rPr>
        <w:t>What drives the cost</w:t>
      </w:r>
    </w:p>
    <w:p>
      <w:pPr>
        <w:pStyle w:val="ListBullet"/>
      </w:pPr>
      <w:r>
        <w:rPr>
          <w:b/>
          <w:sz w:val="22"/>
        </w:rPr>
        <w:t>Cloud SQL (database)</w:t>
      </w:r>
      <w:r>
        <w:rPr>
          <w:sz w:val="22"/>
        </w:rPr>
        <w:t xml:space="preserve"> — Reserved CPU and RAM run continuously and bill 24/7 — there is no scale-to-zero for the database.</w:t>
      </w:r>
    </w:p>
    <w:p>
      <w:pPr>
        <w:pStyle w:val="ListBullet"/>
      </w:pPr>
      <w:r>
        <w:rPr>
          <w:b/>
          <w:sz w:val="22"/>
        </w:rPr>
        <w:t>Cloud SQL availability</w:t>
      </w:r>
      <w:r>
        <w:rPr>
          <w:sz w:val="22"/>
        </w:rPr>
        <w:t xml:space="preserve"> — Whether to keep a hot-standby replica in a second zone for automatic failover (HA REGIONAL).</w:t>
      </w:r>
    </w:p>
    <w:p>
      <w:pPr>
        <w:pStyle w:val="ListBullet"/>
      </w:pPr>
      <w:r>
        <w:rPr>
          <w:b/>
          <w:sz w:val="22"/>
        </w:rPr>
        <w:t>Cloud Run (web app)</w:t>
      </w:r>
      <w:r>
        <w:rPr>
          <w:sz w:val="22"/>
        </w:rPr>
        <w:t xml:space="preserve"> — How many warm instances to keep idle. min=0 means cold-starts on first request; min=1+ removes them but bills 24/7.</w:t>
      </w:r>
    </w:p>
    <w:p>
      <w:pPr>
        <w:pStyle w:val="ListBullet"/>
      </w:pPr>
      <w:r>
        <w:rPr>
          <w:b/>
          <w:sz w:val="22"/>
        </w:rPr>
        <w:t>VPC connector</w:t>
      </w:r>
      <w:r>
        <w:rPr>
          <w:sz w:val="22"/>
        </w:rPr>
        <w:t xml:space="preserve"> — The connector between Cloud Run and the database is billed per-instance per-hour.</w:t>
      </w:r>
    </w:p>
    <w:p>
      <w:pPr>
        <w:pStyle w:val="ListBullet"/>
      </w:pPr>
      <w:r>
        <w:rPr>
          <w:b/>
          <w:sz w:val="22"/>
        </w:rPr>
        <w:t>Cloud Storage</w:t>
      </w:r>
      <w:r>
        <w:rPr>
          <w:sz w:val="22"/>
        </w:rPr>
        <w:t xml:space="preserve"> — Storage cost is small unless very large volumes of video are kept indefinitely. Versioning and retention policies affect this.</w:t>
      </w:r>
    </w:p>
    <w:p/>
    <w:p>
      <w:pPr>
        <w:pStyle w:val="Heading1"/>
      </w:pPr>
      <w:r>
        <w:rPr>
          <w:color w:val="1A1A1A"/>
        </w:rPr>
        <w:t>1. Cloud SQL — production database</w:t>
      </w:r>
    </w:p>
    <w:p>
      <w:r>
        <w:rPr>
          <w:b w:val="0"/>
          <w:i w:val="0"/>
          <w:sz w:val="22"/>
        </w:rPr>
        <w:t>Production database tier. Staging runs at the small db-g1-small tier separately; this section is about the production instance only.</w:t>
      </w:r>
    </w:p>
    <w:tbl>
      <w:tblPr>
        <w:tblStyle w:val="LightGrid-Accent1"/>
        <w:tblW w:type="auto" w:w="0"/>
        <w:jc w:val="left"/>
        <w:tblLook w:firstColumn="1" w:firstRow="1" w:lastColumn="0" w:lastRow="0" w:noHBand="0" w:noVBand="1" w:val="04A0"/>
      </w:tblPr>
      <w:tblGrid>
        <w:gridCol w:w="2484"/>
        <w:gridCol w:w="2484"/>
        <w:gridCol w:w="2484"/>
        <w:gridCol w:w="2484"/>
      </w:tblGrid>
      <w:tr>
        <w:tc>
          <w:tcPr>
            <w:tcW w:type="dxa" w:w="2484"/>
            <w:shd w:val="clear" w:color="auto" w:fill="1F3864"/>
          </w:tcPr>
          <w:p>
            <w:r/>
            <w:r>
              <w:rPr>
                <w:b/>
                <w:color w:val="FFFFFF"/>
                <w:sz w:val="20"/>
              </w:rPr>
              <w:t>Option</w:t>
            </w:r>
          </w:p>
        </w:tc>
        <w:tc>
          <w:tcPr>
            <w:tcW w:type="dxa" w:w="2484"/>
            <w:shd w:val="clear" w:color="auto" w:fill="1F3864"/>
          </w:tcPr>
          <w:p>
            <w:r/>
            <w:r>
              <w:rPr>
                <w:b/>
                <w:color w:val="FFFFFF"/>
                <w:sz w:val="20"/>
              </w:rPr>
              <w:t>Tier</w:t>
            </w:r>
          </w:p>
        </w:tc>
        <w:tc>
          <w:tcPr>
            <w:tcW w:type="dxa" w:w="2484"/>
            <w:shd w:val="clear" w:color="auto" w:fill="1F3864"/>
          </w:tcPr>
          <w:p>
            <w:r/>
            <w:r>
              <w:rPr>
                <w:b/>
                <w:color w:val="FFFFFF"/>
                <w:sz w:val="20"/>
              </w:rPr>
              <w:t>Availability</w:t>
            </w:r>
          </w:p>
        </w:tc>
        <w:tc>
          <w:tcPr>
            <w:tcW w:type="dxa" w:w="2484"/>
            <w:shd w:val="clear" w:color="auto" w:fill="1F3864"/>
          </w:tcPr>
          <w:p>
            <w:r/>
            <w:r>
              <w:rPr>
                <w:b/>
                <w:color w:val="FFFFFF"/>
                <w:sz w:val="20"/>
              </w:rPr>
              <w:t>Est. $/mo</w:t>
            </w:r>
          </w:p>
        </w:tc>
      </w:tr>
      <w:tr>
        <w:tc>
          <w:tcPr>
            <w:tcW w:type="dxa" w:w="2484"/>
            <w:vAlign w:val="top"/>
            <w:shd w:val="clear" w:color="auto" w:fill="E2EFDA"/>
          </w:tcPr>
          <w:p>
            <w:r/>
            <w:r>
              <w:rPr>
                <w:sz w:val="20"/>
              </w:rPr>
              <w:t>A — Recommended pre-launch</w:t>
            </w:r>
          </w:p>
        </w:tc>
        <w:tc>
          <w:tcPr>
            <w:tcW w:type="dxa" w:w="2484"/>
            <w:vAlign w:val="top"/>
            <w:shd w:val="clear" w:color="auto" w:fill="E2EFDA"/>
          </w:tcPr>
          <w:p>
            <w:r/>
            <w:r>
              <w:rPr>
                <w:sz w:val="20"/>
              </w:rPr>
              <w:t>db-custom-1-3840 (1 vCPU, 3.75 GB)</w:t>
            </w:r>
          </w:p>
        </w:tc>
        <w:tc>
          <w:tcPr>
            <w:tcW w:type="dxa" w:w="2484"/>
            <w:vAlign w:val="top"/>
            <w:shd w:val="clear" w:color="auto" w:fill="E2EFDA"/>
          </w:tcPr>
          <w:p>
            <w:r/>
            <w:r>
              <w:rPr>
                <w:sz w:val="20"/>
              </w:rPr>
              <w:t>ZONAL + PITR</w:t>
            </w:r>
          </w:p>
        </w:tc>
        <w:tc>
          <w:tcPr>
            <w:tcW w:type="dxa" w:w="2484"/>
            <w:vAlign w:val="top"/>
            <w:shd w:val="clear" w:color="auto" w:fill="E2EFDA"/>
          </w:tcPr>
          <w:p>
            <w:r/>
            <w:r>
              <w:rPr>
                <w:sz w:val="20"/>
              </w:rPr>
              <w:t>~$32</w:t>
            </w:r>
          </w:p>
        </w:tc>
      </w:tr>
      <w:tr>
        <w:tc>
          <w:tcPr>
            <w:tcW w:type="dxa" w:w="2484"/>
            <w:vAlign w:val="top"/>
            <w:shd w:val="clear" w:color="auto" w:fill="F2F2F2"/>
          </w:tcPr>
          <w:p>
            <w:r/>
            <w:r>
              <w:rPr>
                <w:sz w:val="20"/>
              </w:rPr>
              <w:t>B — Cheapest</w:t>
            </w:r>
          </w:p>
        </w:tc>
        <w:tc>
          <w:tcPr>
            <w:tcW w:type="dxa" w:w="2484"/>
            <w:vAlign w:val="top"/>
            <w:shd w:val="clear" w:color="auto" w:fill="F2F2F2"/>
          </w:tcPr>
          <w:p>
            <w:r/>
            <w:r>
              <w:rPr>
                <w:sz w:val="20"/>
              </w:rPr>
              <w:t>db-g1-small (shared CPU, 1.7 GB)</w:t>
            </w:r>
          </w:p>
        </w:tc>
        <w:tc>
          <w:tcPr>
            <w:tcW w:type="dxa" w:w="2484"/>
            <w:vAlign w:val="top"/>
            <w:shd w:val="clear" w:color="auto" w:fill="F2F2F2"/>
          </w:tcPr>
          <w:p>
            <w:r/>
            <w:r>
              <w:rPr>
                <w:sz w:val="20"/>
              </w:rPr>
              <w:t>ZONAL</w:t>
            </w:r>
          </w:p>
        </w:tc>
        <w:tc>
          <w:tcPr>
            <w:tcW w:type="dxa" w:w="2484"/>
            <w:vAlign w:val="top"/>
            <w:shd w:val="clear" w:color="auto" w:fill="F2F2F2"/>
          </w:tcPr>
          <w:p>
            <w:r/>
            <w:r>
              <w:rPr>
                <w:sz w:val="20"/>
              </w:rPr>
              <w:t>~$17</w:t>
            </w:r>
          </w:p>
        </w:tc>
      </w:tr>
      <w:tr>
        <w:tc>
          <w:tcPr>
            <w:tcW w:type="dxa" w:w="2484"/>
            <w:vAlign w:val="top"/>
          </w:tcPr>
          <w:p>
            <w:r/>
            <w:r>
              <w:rPr>
                <w:sz w:val="20"/>
              </w:rPr>
              <w:t>C — Mid-tier with HA</w:t>
            </w:r>
          </w:p>
        </w:tc>
        <w:tc>
          <w:tcPr>
            <w:tcW w:type="dxa" w:w="2484"/>
            <w:vAlign w:val="top"/>
          </w:tcPr>
          <w:p>
            <w:r/>
            <w:r>
              <w:rPr>
                <w:sz w:val="20"/>
              </w:rPr>
              <w:t>db-custom-1-3840 (1 vCPU, 3.75 GB)</w:t>
            </w:r>
          </w:p>
        </w:tc>
        <w:tc>
          <w:tcPr>
            <w:tcW w:type="dxa" w:w="2484"/>
            <w:vAlign w:val="top"/>
          </w:tcPr>
          <w:p>
            <w:r/>
            <w:r>
              <w:rPr>
                <w:sz w:val="20"/>
              </w:rPr>
              <w:t>REGIONAL HA + PITR</w:t>
            </w:r>
          </w:p>
        </w:tc>
        <w:tc>
          <w:tcPr>
            <w:tcW w:type="dxa" w:w="2484"/>
            <w:vAlign w:val="top"/>
          </w:tcPr>
          <w:p>
            <w:r/>
            <w:r>
              <w:rPr>
                <w:sz w:val="20"/>
              </w:rPr>
              <w:t>~$64</w:t>
            </w:r>
          </w:p>
        </w:tc>
      </w:tr>
      <w:tr>
        <w:tc>
          <w:tcPr>
            <w:tcW w:type="dxa" w:w="2484"/>
            <w:vAlign w:val="top"/>
            <w:shd w:val="clear" w:color="auto" w:fill="F2F2F2"/>
          </w:tcPr>
          <w:p>
            <w:r/>
            <w:r>
              <w:rPr>
                <w:sz w:val="20"/>
              </w:rPr>
              <w:t>D — Full size, no HA</w:t>
            </w:r>
          </w:p>
        </w:tc>
        <w:tc>
          <w:tcPr>
            <w:tcW w:type="dxa" w:w="2484"/>
            <w:vAlign w:val="top"/>
            <w:shd w:val="clear" w:color="auto" w:fill="F2F2F2"/>
          </w:tcPr>
          <w:p>
            <w:r/>
            <w:r>
              <w:rPr>
                <w:sz w:val="20"/>
              </w:rPr>
              <w:t>db-custom-2-7680 (2 vCPU, 7.5 GB)</w:t>
            </w:r>
          </w:p>
        </w:tc>
        <w:tc>
          <w:tcPr>
            <w:tcW w:type="dxa" w:w="2484"/>
            <w:vAlign w:val="top"/>
            <w:shd w:val="clear" w:color="auto" w:fill="F2F2F2"/>
          </w:tcPr>
          <w:p>
            <w:r/>
            <w:r>
              <w:rPr>
                <w:sz w:val="20"/>
              </w:rPr>
              <w:t>ZONAL + PITR</w:t>
            </w:r>
          </w:p>
        </w:tc>
        <w:tc>
          <w:tcPr>
            <w:tcW w:type="dxa" w:w="2484"/>
            <w:vAlign w:val="top"/>
            <w:shd w:val="clear" w:color="auto" w:fill="F2F2F2"/>
          </w:tcPr>
          <w:p>
            <w:r/>
            <w:r>
              <w:rPr>
                <w:sz w:val="20"/>
              </w:rPr>
              <w:t>~$58</w:t>
            </w:r>
          </w:p>
        </w:tc>
      </w:tr>
      <w:tr>
        <w:tc>
          <w:tcPr>
            <w:tcW w:type="dxa" w:w="2484"/>
            <w:vAlign w:val="top"/>
          </w:tcPr>
          <w:p>
            <w:r/>
            <w:r>
              <w:rPr>
                <w:sz w:val="20"/>
              </w:rPr>
              <w:t>E — Full production</w:t>
            </w:r>
          </w:p>
        </w:tc>
        <w:tc>
          <w:tcPr>
            <w:tcW w:type="dxa" w:w="2484"/>
            <w:vAlign w:val="top"/>
          </w:tcPr>
          <w:p>
            <w:r/>
            <w:r>
              <w:rPr>
                <w:sz w:val="20"/>
              </w:rPr>
              <w:t>db-custom-2-7680 (2 vCPU, 7.5 GB)</w:t>
            </w:r>
          </w:p>
        </w:tc>
        <w:tc>
          <w:tcPr>
            <w:tcW w:type="dxa" w:w="2484"/>
            <w:vAlign w:val="top"/>
          </w:tcPr>
          <w:p>
            <w:r/>
            <w:r>
              <w:rPr>
                <w:sz w:val="20"/>
              </w:rPr>
              <w:t>REGIONAL HA + PITR</w:t>
            </w:r>
          </w:p>
        </w:tc>
        <w:tc>
          <w:tcPr>
            <w:tcW w:type="dxa" w:w="2484"/>
            <w:vAlign w:val="top"/>
          </w:tcPr>
          <w:p>
            <w:r/>
            <w:r>
              <w:rPr>
                <w:sz w:val="20"/>
              </w:rPr>
              <w:t>~$110</w:t>
            </w:r>
          </w:p>
        </w:tc>
      </w:tr>
    </w:tbl>
    <w:p/>
    <w:p>
      <w:r>
        <w:rPr>
          <w:b/>
          <w:color w:val="1A1A1A"/>
          <w:sz w:val="24"/>
        </w:rPr>
        <w:t>Option A — db-custom-1-3840 ZONAL + PITR  (~$32/mo)  · Recommended now</w:t>
      </w:r>
    </w:p>
    <w:p>
      <w:r>
        <w:rPr>
          <w:b w:val="0"/>
          <w:i w:val="0"/>
          <w:sz w:val="22"/>
        </w:rPr>
        <w:t>Half the CPU/RAM of the full production tier; no hot standby. PITR is on so any data can still be rolled back in time. Right starting point while there are no live users.</w:t>
      </w:r>
    </w:p>
    <w:p>
      <w:r>
        <w:rPr>
          <w:b/>
          <w:sz w:val="20"/>
        </w:rPr>
        <w:t>Pros</w:t>
      </w:r>
    </w:p>
    <w:p>
      <w:pPr>
        <w:pStyle w:val="ListBullet"/>
      </w:pPr>
      <w:r>
        <w:rPr>
          <w:sz w:val="22"/>
        </w:rPr>
        <w:t>Lowest cost still appropriate for production data.</w:t>
      </w:r>
    </w:p>
    <w:p>
      <w:pPr>
        <w:pStyle w:val="ListBullet"/>
      </w:pPr>
      <w:r>
        <w:rPr>
          <w:sz w:val="22"/>
        </w:rPr>
        <w:t>Same backup and point-in-time-recovery safety net as the larger tier.</w:t>
      </w:r>
    </w:p>
    <w:p>
      <w:pPr>
        <w:pStyle w:val="ListBullet"/>
      </w:pPr>
      <w:r>
        <w:rPr>
          <w:sz w:val="22"/>
        </w:rPr>
        <w:t>Scaling up later is a one-line code change with seconds of downtime; data is preserved.</w:t>
      </w:r>
    </w:p>
    <w:p>
      <w:r>
        <w:rPr>
          <w:b/>
          <w:sz w:val="20"/>
        </w:rPr>
        <w:t>Cons</w:t>
      </w:r>
    </w:p>
    <w:p>
      <w:pPr>
        <w:pStyle w:val="ListBullet"/>
      </w:pPr>
      <w:r>
        <w:rPr>
          <w:sz w:val="22"/>
        </w:rPr>
        <w:t>Single-zone — a Google zone outage (rare, ~hours per year) takes the database offline.</w:t>
      </w:r>
    </w:p>
    <w:p>
      <w:pPr>
        <w:pStyle w:val="ListBullet"/>
      </w:pPr>
      <w:r>
        <w:rPr>
          <w:sz w:val="22"/>
        </w:rPr>
        <w:t>Smaller CPU/RAM ceiling; heavy queries may run slower.</w:t>
      </w:r>
    </w:p>
    <w:p/>
    <w:p>
      <w:r>
        <w:rPr>
          <w:b/>
          <w:color w:val="1A1A1A"/>
          <w:sz w:val="24"/>
        </w:rPr>
        <w:t>Option E — db-custom-2-7680 REGIONAL HA + PITR  (~$110/mo)  · Full production</w:t>
      </w:r>
    </w:p>
    <w:p>
      <w:r>
        <w:rPr>
          <w:b w:val="0"/>
          <w:i w:val="0"/>
          <w:sz w:val="22"/>
        </w:rPr>
        <w:t>Full production-grade configuration. 2 reserved vCPUs, 7.5 GB RAM, hot standby in a second zone with automatic failover.</w:t>
      </w:r>
    </w:p>
    <w:p>
      <w:r>
        <w:rPr>
          <w:b/>
          <w:sz w:val="20"/>
        </w:rPr>
        <w:t>Pros</w:t>
      </w:r>
    </w:p>
    <w:p>
      <w:pPr>
        <w:pStyle w:val="ListBullet"/>
      </w:pPr>
      <w:r>
        <w:rPr>
          <w:sz w:val="22"/>
        </w:rPr>
        <w:t>Highest uptime SLA (99.99%) with automatic cross-zone failover.</w:t>
      </w:r>
    </w:p>
    <w:p>
      <w:pPr>
        <w:pStyle w:val="ListBullet"/>
      </w:pPr>
      <w:r>
        <w:rPr>
          <w:sz w:val="22"/>
        </w:rPr>
        <w:t>Comfortable headroom for traffic and data growth.</w:t>
      </w:r>
    </w:p>
    <w:p>
      <w:pPr>
        <w:pStyle w:val="ListBullet"/>
      </w:pPr>
      <w:r>
        <w:rPr>
          <w:sz w:val="22"/>
        </w:rPr>
        <w:t>No further action when users arrive.</w:t>
      </w:r>
    </w:p>
    <w:p>
      <w:r>
        <w:rPr>
          <w:b/>
          <w:sz w:val="20"/>
        </w:rPr>
        <w:t>Cons</w:t>
      </w:r>
    </w:p>
    <w:p>
      <w:pPr>
        <w:pStyle w:val="ListBullet"/>
      </w:pPr>
      <w:r>
        <w:rPr>
          <w:sz w:val="22"/>
        </w:rPr>
        <w:t>Highest monthly cost — roughly 3.5× Option A.</w:t>
      </w:r>
    </w:p>
    <w:p>
      <w:pPr>
        <w:pStyle w:val="ListBullet"/>
      </w:pPr>
      <w:r>
        <w:rPr>
          <w:sz w:val="22"/>
        </w:rPr>
        <w:t>Pays the full production bill while there is no production traffic yet.</w:t>
      </w:r>
    </w:p>
    <w:p/>
    <w:p>
      <w:r>
        <w:rPr>
          <w:b w:val="0"/>
          <w:i/>
          <w:color w:val="777777"/>
          <w:sz w:val="20"/>
        </w:rPr>
        <w:t>Options B, C, D are documented in the appendix and remain available for special cases (cheapest demo, mid-tier soft launch, single-zone large).</w:t>
      </w:r>
    </w:p>
    <w:p/>
    <w:p>
      <w:pPr>
        <w:pStyle w:val="Heading1"/>
      </w:pPr>
      <w:r>
        <w:rPr>
          <w:color w:val="1A1A1A"/>
        </w:rPr>
        <w:t>2. Cloud SQL — staging database</w:t>
      </w:r>
    </w:p>
    <w:p>
      <w:r>
        <w:rPr>
          <w:b w:val="0"/>
          <w:i w:val="0"/>
          <w:sz w:val="22"/>
        </w:rPr>
        <w:t>Staging is a small, single-zone database used for testing and engineering work. Cost is small no matter the choice. Default is fine for almost all cases.</w:t>
      </w:r>
    </w:p>
    <w:tbl>
      <w:tblPr>
        <w:tblStyle w:val="LightGrid-Accent1"/>
        <w:tblW w:type="auto" w:w="0"/>
        <w:jc w:val="left"/>
        <w:tblLook w:firstColumn="1" w:firstRow="1" w:lastColumn="0" w:lastRow="0" w:noHBand="0" w:noVBand="1" w:val="04A0"/>
      </w:tblPr>
      <w:tblGrid>
        <w:gridCol w:w="2484"/>
        <w:gridCol w:w="2484"/>
        <w:gridCol w:w="2484"/>
        <w:gridCol w:w="2484"/>
      </w:tblGrid>
      <w:tr>
        <w:tc>
          <w:tcPr>
            <w:tcW w:type="dxa" w:w="2484"/>
            <w:shd w:val="clear" w:color="auto" w:fill="1F3864"/>
          </w:tcPr>
          <w:p>
            <w:r/>
            <w:r>
              <w:rPr>
                <w:b/>
                <w:color w:val="FFFFFF"/>
                <w:sz w:val="20"/>
              </w:rPr>
              <w:t>Option</w:t>
            </w:r>
          </w:p>
        </w:tc>
        <w:tc>
          <w:tcPr>
            <w:tcW w:type="dxa" w:w="2484"/>
            <w:shd w:val="clear" w:color="auto" w:fill="1F3864"/>
          </w:tcPr>
          <w:p>
            <w:r/>
            <w:r>
              <w:rPr>
                <w:b/>
                <w:color w:val="FFFFFF"/>
                <w:sz w:val="20"/>
              </w:rPr>
              <w:t>Tier</w:t>
            </w:r>
          </w:p>
        </w:tc>
        <w:tc>
          <w:tcPr>
            <w:tcW w:type="dxa" w:w="2484"/>
            <w:shd w:val="clear" w:color="auto" w:fill="1F3864"/>
          </w:tcPr>
          <w:p>
            <w:r/>
            <w:r>
              <w:rPr>
                <w:b/>
                <w:color w:val="FFFFFF"/>
                <w:sz w:val="20"/>
              </w:rPr>
              <w:t>Est. $/mo</w:t>
            </w:r>
          </w:p>
        </w:tc>
        <w:tc>
          <w:tcPr>
            <w:tcW w:type="dxa" w:w="2484"/>
            <w:shd w:val="clear" w:color="auto" w:fill="1F3864"/>
          </w:tcPr>
          <w:p>
            <w:r/>
            <w:r>
              <w:rPr>
                <w:b/>
                <w:color w:val="FFFFFF"/>
                <w:sz w:val="20"/>
              </w:rPr>
              <w:t>Notes</w:t>
            </w:r>
          </w:p>
        </w:tc>
      </w:tr>
      <w:tr>
        <w:tc>
          <w:tcPr>
            <w:tcW w:type="dxa" w:w="2484"/>
            <w:vAlign w:val="top"/>
            <w:shd w:val="clear" w:color="auto" w:fill="E2EFDA"/>
          </w:tcPr>
          <w:p>
            <w:r/>
            <w:r>
              <w:rPr>
                <w:sz w:val="20"/>
              </w:rPr>
              <w:t>S1 — Recommended</w:t>
            </w:r>
          </w:p>
        </w:tc>
        <w:tc>
          <w:tcPr>
            <w:tcW w:type="dxa" w:w="2484"/>
            <w:vAlign w:val="top"/>
            <w:shd w:val="clear" w:color="auto" w:fill="E2EFDA"/>
          </w:tcPr>
          <w:p>
            <w:r/>
            <w:r>
              <w:rPr>
                <w:sz w:val="20"/>
              </w:rPr>
              <w:t>db-g1-small (shared CPU, 1.7 GB)</w:t>
            </w:r>
          </w:p>
        </w:tc>
        <w:tc>
          <w:tcPr>
            <w:tcW w:type="dxa" w:w="2484"/>
            <w:vAlign w:val="top"/>
            <w:shd w:val="clear" w:color="auto" w:fill="E2EFDA"/>
          </w:tcPr>
          <w:p>
            <w:r/>
            <w:r>
              <w:rPr>
                <w:sz w:val="20"/>
              </w:rPr>
              <w:t>~$17</w:t>
            </w:r>
          </w:p>
        </w:tc>
        <w:tc>
          <w:tcPr>
            <w:tcW w:type="dxa" w:w="2484"/>
            <w:vAlign w:val="top"/>
            <w:shd w:val="clear" w:color="auto" w:fill="E2EFDA"/>
          </w:tcPr>
          <w:p>
            <w:r/>
            <w:r>
              <w:rPr>
                <w:sz w:val="20"/>
              </w:rPr>
              <w:t>Default. Comfortable for QA and engineering.</w:t>
            </w:r>
          </w:p>
        </w:tc>
      </w:tr>
      <w:tr>
        <w:tc>
          <w:tcPr>
            <w:tcW w:type="dxa" w:w="2484"/>
            <w:vAlign w:val="top"/>
            <w:shd w:val="clear" w:color="auto" w:fill="F2F2F2"/>
          </w:tcPr>
          <w:p>
            <w:r/>
            <w:r>
              <w:rPr>
                <w:sz w:val="20"/>
              </w:rPr>
              <w:t>S2 — Cheapest</w:t>
            </w:r>
          </w:p>
        </w:tc>
        <w:tc>
          <w:tcPr>
            <w:tcW w:type="dxa" w:w="2484"/>
            <w:vAlign w:val="top"/>
            <w:shd w:val="clear" w:color="auto" w:fill="F2F2F2"/>
          </w:tcPr>
          <w:p>
            <w:r/>
            <w:r>
              <w:rPr>
                <w:sz w:val="20"/>
              </w:rPr>
              <w:t>db-f1-micro (shared CPU, 0.6 GB)</w:t>
            </w:r>
          </w:p>
        </w:tc>
        <w:tc>
          <w:tcPr>
            <w:tcW w:type="dxa" w:w="2484"/>
            <w:vAlign w:val="top"/>
            <w:shd w:val="clear" w:color="auto" w:fill="F2F2F2"/>
          </w:tcPr>
          <w:p>
            <w:r/>
            <w:r>
              <w:rPr>
                <w:sz w:val="20"/>
              </w:rPr>
              <w:t>~$8</w:t>
            </w:r>
          </w:p>
        </w:tc>
        <w:tc>
          <w:tcPr>
            <w:tcW w:type="dxa" w:w="2484"/>
            <w:vAlign w:val="top"/>
            <w:shd w:val="clear" w:color="auto" w:fill="F2F2F2"/>
          </w:tcPr>
          <w:p>
            <w:r/>
            <w:r>
              <w:rPr>
                <w:sz w:val="20"/>
              </w:rPr>
              <w:t>Very small; risks running out of memory under realistic queries.</w:t>
            </w:r>
          </w:p>
        </w:tc>
      </w:tr>
      <w:tr>
        <w:tc>
          <w:tcPr>
            <w:tcW w:type="dxa" w:w="2484"/>
            <w:vAlign w:val="top"/>
          </w:tcPr>
          <w:p>
            <w:r/>
            <w:r>
              <w:rPr>
                <w:sz w:val="20"/>
              </w:rPr>
              <w:t>S3 — Match prod size</w:t>
            </w:r>
          </w:p>
        </w:tc>
        <w:tc>
          <w:tcPr>
            <w:tcW w:type="dxa" w:w="2484"/>
            <w:vAlign w:val="top"/>
          </w:tcPr>
          <w:p>
            <w:r/>
            <w:r>
              <w:rPr>
                <w:sz w:val="20"/>
              </w:rPr>
              <w:t>db-custom-1-3840 ZONAL</w:t>
            </w:r>
          </w:p>
        </w:tc>
        <w:tc>
          <w:tcPr>
            <w:tcW w:type="dxa" w:w="2484"/>
            <w:vAlign w:val="top"/>
          </w:tcPr>
          <w:p>
            <w:r/>
            <w:r>
              <w:rPr>
                <w:sz w:val="20"/>
              </w:rPr>
              <w:t>~$30</w:t>
            </w:r>
          </w:p>
        </w:tc>
        <w:tc>
          <w:tcPr>
            <w:tcW w:type="dxa" w:w="2484"/>
            <w:vAlign w:val="top"/>
          </w:tcPr>
          <w:p>
            <w:r/>
            <w:r>
              <w:rPr>
                <w:sz w:val="20"/>
              </w:rPr>
              <w:t>Useful only if staging tests need realistic performance numbers.</w:t>
            </w:r>
          </w:p>
        </w:tc>
      </w:tr>
    </w:tbl>
    <w:p/>
    <w:p>
      <w:pPr>
        <w:pStyle w:val="Heading1"/>
      </w:pPr>
      <w:r>
        <w:rPr>
          <w:color w:val="1A1A1A"/>
        </w:rPr>
        <w:t>3. Cloud Run — production web app</w:t>
      </w:r>
    </w:p>
    <w:p>
      <w:r>
        <w:rPr>
          <w:b w:val="0"/>
          <w:i w:val="0"/>
          <w:sz w:val="22"/>
        </w:rPr>
        <w:t>Cloud Run runs the Next.js web container. Cost depends on idle ('min instances') and request-driven CPU/memory time. min=0 saves money but adds cold-starts of 1–3 seconds on the first request after idle; min=1+ removes cold-starts but bills around-the-clock.</w:t>
      </w:r>
    </w:p>
    <w:tbl>
      <w:tblPr>
        <w:tblStyle w:val="LightGrid-Accent1"/>
        <w:tblW w:type="auto" w:w="0"/>
        <w:jc w:val="left"/>
        <w:tblLook w:firstColumn="1" w:firstRow="1" w:lastColumn="0" w:lastRow="0" w:noHBand="0" w:noVBand="1" w:val="04A0"/>
      </w:tblPr>
      <w:tblGrid>
        <w:gridCol w:w="1656"/>
        <w:gridCol w:w="1656"/>
        <w:gridCol w:w="1656"/>
        <w:gridCol w:w="1656"/>
        <w:gridCol w:w="1656"/>
        <w:gridCol w:w="1656"/>
      </w:tblGrid>
      <w:tr>
        <w:tc>
          <w:tcPr>
            <w:tcW w:type="dxa" w:w="1656"/>
            <w:shd w:val="clear" w:color="auto" w:fill="1F3864"/>
          </w:tcPr>
          <w:p>
            <w:r/>
            <w:r>
              <w:rPr>
                <w:b/>
                <w:color w:val="FFFFFF"/>
                <w:sz w:val="20"/>
              </w:rPr>
              <w:t>Option</w:t>
            </w:r>
          </w:p>
        </w:tc>
        <w:tc>
          <w:tcPr>
            <w:tcW w:type="dxa" w:w="1656"/>
            <w:shd w:val="clear" w:color="auto" w:fill="1F3864"/>
          </w:tcPr>
          <w:p>
            <w:r/>
            <w:r>
              <w:rPr>
                <w:b/>
                <w:color w:val="FFFFFF"/>
                <w:sz w:val="20"/>
              </w:rPr>
              <w:t>Min</w:t>
            </w:r>
          </w:p>
        </w:tc>
        <w:tc>
          <w:tcPr>
            <w:tcW w:type="dxa" w:w="1656"/>
            <w:shd w:val="clear" w:color="auto" w:fill="1F3864"/>
          </w:tcPr>
          <w:p>
            <w:r/>
            <w:r>
              <w:rPr>
                <w:b/>
                <w:color w:val="FFFFFF"/>
                <w:sz w:val="20"/>
              </w:rPr>
              <w:t>Max</w:t>
            </w:r>
          </w:p>
        </w:tc>
        <w:tc>
          <w:tcPr>
            <w:tcW w:type="dxa" w:w="1656"/>
            <w:shd w:val="clear" w:color="auto" w:fill="1F3864"/>
          </w:tcPr>
          <w:p>
            <w:r/>
            <w:r>
              <w:rPr>
                <w:b/>
                <w:color w:val="FFFFFF"/>
                <w:sz w:val="20"/>
              </w:rPr>
              <w:t>Memory</w:t>
            </w:r>
          </w:p>
        </w:tc>
        <w:tc>
          <w:tcPr>
            <w:tcW w:type="dxa" w:w="1656"/>
            <w:shd w:val="clear" w:color="auto" w:fill="1F3864"/>
          </w:tcPr>
          <w:p>
            <w:r/>
            <w:r>
              <w:rPr>
                <w:b/>
                <w:color w:val="FFFFFF"/>
                <w:sz w:val="20"/>
              </w:rPr>
              <w:t>Cold-start</w:t>
            </w:r>
          </w:p>
        </w:tc>
        <w:tc>
          <w:tcPr>
            <w:tcW w:type="dxa" w:w="1656"/>
            <w:shd w:val="clear" w:color="auto" w:fill="1F3864"/>
          </w:tcPr>
          <w:p>
            <w:r/>
            <w:r>
              <w:rPr>
                <w:b/>
                <w:color w:val="FFFFFF"/>
                <w:sz w:val="20"/>
              </w:rPr>
              <w:t>Est. $/mo idle</w:t>
            </w:r>
          </w:p>
        </w:tc>
      </w:tr>
      <w:tr>
        <w:tc>
          <w:tcPr>
            <w:tcW w:type="dxa" w:w="1656"/>
            <w:vAlign w:val="top"/>
            <w:shd w:val="clear" w:color="auto" w:fill="E2EFDA"/>
          </w:tcPr>
          <w:p>
            <w:r/>
            <w:r>
              <w:rPr>
                <w:sz w:val="20"/>
              </w:rPr>
              <w:t>R1 — Lean</w:t>
            </w:r>
          </w:p>
        </w:tc>
        <w:tc>
          <w:tcPr>
            <w:tcW w:type="dxa" w:w="1656"/>
            <w:vAlign w:val="top"/>
            <w:shd w:val="clear" w:color="auto" w:fill="E2EFDA"/>
          </w:tcPr>
          <w:p>
            <w:r/>
            <w:r>
              <w:rPr>
                <w:sz w:val="20"/>
              </w:rPr>
              <w:t>0</w:t>
            </w:r>
          </w:p>
        </w:tc>
        <w:tc>
          <w:tcPr>
            <w:tcW w:type="dxa" w:w="1656"/>
            <w:vAlign w:val="top"/>
            <w:shd w:val="clear" w:color="auto" w:fill="E2EFDA"/>
          </w:tcPr>
          <w:p>
            <w:r/>
            <w:r>
              <w:rPr>
                <w:sz w:val="20"/>
              </w:rPr>
              <w:t>10</w:t>
            </w:r>
          </w:p>
        </w:tc>
        <w:tc>
          <w:tcPr>
            <w:tcW w:type="dxa" w:w="1656"/>
            <w:vAlign w:val="top"/>
            <w:shd w:val="clear" w:color="auto" w:fill="E2EFDA"/>
          </w:tcPr>
          <w:p>
            <w:r/>
            <w:r>
              <w:rPr>
                <w:sz w:val="20"/>
              </w:rPr>
              <w:t>512 MB</w:t>
            </w:r>
          </w:p>
        </w:tc>
        <w:tc>
          <w:tcPr>
            <w:tcW w:type="dxa" w:w="1656"/>
            <w:vAlign w:val="top"/>
            <w:shd w:val="clear" w:color="auto" w:fill="E2EFDA"/>
          </w:tcPr>
          <w:p>
            <w:r/>
            <w:r>
              <w:rPr>
                <w:sz w:val="20"/>
              </w:rPr>
              <w:t>Yes (first req)</w:t>
            </w:r>
          </w:p>
        </w:tc>
        <w:tc>
          <w:tcPr>
            <w:tcW w:type="dxa" w:w="1656"/>
            <w:vAlign w:val="top"/>
            <w:shd w:val="clear" w:color="auto" w:fill="E2EFDA"/>
          </w:tcPr>
          <w:p>
            <w:r/>
            <w:r>
              <w:rPr>
                <w:sz w:val="20"/>
              </w:rPr>
              <w:t>~$0–3</w:t>
            </w:r>
          </w:p>
        </w:tc>
      </w:tr>
      <w:tr>
        <w:tc>
          <w:tcPr>
            <w:tcW w:type="dxa" w:w="1656"/>
            <w:vAlign w:val="top"/>
            <w:shd w:val="clear" w:color="auto" w:fill="F2F2F2"/>
          </w:tcPr>
          <w:p>
            <w:r/>
            <w:r>
              <w:rPr>
                <w:sz w:val="20"/>
              </w:rPr>
              <w:t>R2 — Balanced (recommended for soft launch)</w:t>
            </w:r>
          </w:p>
        </w:tc>
        <w:tc>
          <w:tcPr>
            <w:tcW w:type="dxa" w:w="1656"/>
            <w:vAlign w:val="top"/>
            <w:shd w:val="clear" w:color="auto" w:fill="F2F2F2"/>
          </w:tcPr>
          <w:p>
            <w:r/>
            <w:r>
              <w:rPr>
                <w:sz w:val="20"/>
              </w:rPr>
              <w:t>1</w:t>
            </w:r>
          </w:p>
        </w:tc>
        <w:tc>
          <w:tcPr>
            <w:tcW w:type="dxa" w:w="1656"/>
            <w:vAlign w:val="top"/>
            <w:shd w:val="clear" w:color="auto" w:fill="F2F2F2"/>
          </w:tcPr>
          <w:p>
            <w:r/>
            <w:r>
              <w:rPr>
                <w:sz w:val="20"/>
              </w:rPr>
              <w:t>20</w:t>
            </w:r>
          </w:p>
        </w:tc>
        <w:tc>
          <w:tcPr>
            <w:tcW w:type="dxa" w:w="1656"/>
            <w:vAlign w:val="top"/>
            <w:shd w:val="clear" w:color="auto" w:fill="F2F2F2"/>
          </w:tcPr>
          <w:p>
            <w:r/>
            <w:r>
              <w:rPr>
                <w:sz w:val="20"/>
              </w:rPr>
              <w:t>1 GB</w:t>
            </w:r>
          </w:p>
        </w:tc>
        <w:tc>
          <w:tcPr>
            <w:tcW w:type="dxa" w:w="1656"/>
            <w:vAlign w:val="top"/>
            <w:shd w:val="clear" w:color="auto" w:fill="F2F2F2"/>
          </w:tcPr>
          <w:p>
            <w:r/>
            <w:r>
              <w:rPr>
                <w:sz w:val="20"/>
              </w:rPr>
              <w:t>No</w:t>
            </w:r>
          </w:p>
        </w:tc>
        <w:tc>
          <w:tcPr>
            <w:tcW w:type="dxa" w:w="1656"/>
            <w:vAlign w:val="top"/>
            <w:shd w:val="clear" w:color="auto" w:fill="F2F2F2"/>
          </w:tcPr>
          <w:p>
            <w:r/>
            <w:r>
              <w:rPr>
                <w:sz w:val="20"/>
              </w:rPr>
              <w:t>~$8–15</w:t>
            </w:r>
          </w:p>
        </w:tc>
      </w:tr>
      <w:tr>
        <w:tc>
          <w:tcPr>
            <w:tcW w:type="dxa" w:w="1656"/>
            <w:vAlign w:val="top"/>
          </w:tcPr>
          <w:p>
            <w:r/>
            <w:r>
              <w:rPr>
                <w:sz w:val="20"/>
              </w:rPr>
              <w:t>R3 — Full prod</w:t>
            </w:r>
          </w:p>
        </w:tc>
        <w:tc>
          <w:tcPr>
            <w:tcW w:type="dxa" w:w="1656"/>
            <w:vAlign w:val="top"/>
          </w:tcPr>
          <w:p>
            <w:r/>
            <w:r>
              <w:rPr>
                <w:sz w:val="20"/>
              </w:rPr>
              <w:t>2</w:t>
            </w:r>
          </w:p>
        </w:tc>
        <w:tc>
          <w:tcPr>
            <w:tcW w:type="dxa" w:w="1656"/>
            <w:vAlign w:val="top"/>
          </w:tcPr>
          <w:p>
            <w:r/>
            <w:r>
              <w:rPr>
                <w:sz w:val="20"/>
              </w:rPr>
              <w:t>50</w:t>
            </w:r>
          </w:p>
        </w:tc>
        <w:tc>
          <w:tcPr>
            <w:tcW w:type="dxa" w:w="1656"/>
            <w:vAlign w:val="top"/>
          </w:tcPr>
          <w:p>
            <w:r/>
            <w:r>
              <w:rPr>
                <w:sz w:val="20"/>
              </w:rPr>
              <w:t>1 GB</w:t>
            </w:r>
          </w:p>
        </w:tc>
        <w:tc>
          <w:tcPr>
            <w:tcW w:type="dxa" w:w="1656"/>
            <w:vAlign w:val="top"/>
          </w:tcPr>
          <w:p>
            <w:r/>
            <w:r>
              <w:rPr>
                <w:sz w:val="20"/>
              </w:rPr>
              <w:t>No (with redundancy)</w:t>
            </w:r>
          </w:p>
        </w:tc>
        <w:tc>
          <w:tcPr>
            <w:tcW w:type="dxa" w:w="1656"/>
            <w:vAlign w:val="top"/>
          </w:tcPr>
          <w:p>
            <w:r/>
            <w:r>
              <w:rPr>
                <w:sz w:val="20"/>
              </w:rPr>
              <w:t>~$15–30</w:t>
            </w:r>
          </w:p>
        </w:tc>
      </w:tr>
    </w:tbl>
    <w:p>
      <w:r>
        <w:rPr>
          <w:b w:val="0"/>
          <w:i/>
          <w:color w:val="777777"/>
          <w:sz w:val="20"/>
        </w:rPr>
        <w:t>Request-driven cost on top of the idle baseline is small — Cloud Run free tier covers the first 2M requests/month. At pre-launch traffic this is effectively zero.</w:t>
      </w:r>
    </w:p>
    <w:p/>
    <w:p>
      <w:pPr>
        <w:pStyle w:val="Heading1"/>
      </w:pPr>
      <w:r>
        <w:rPr>
          <w:color w:val="1A1A1A"/>
        </w:rPr>
        <w:t>4. Cloud Run — staging web app</w:t>
      </w:r>
    </w:p>
    <w:tbl>
      <w:tblPr>
        <w:tblStyle w:val="LightGrid-Accent1"/>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1F3864"/>
          </w:tcPr>
          <w:p>
            <w:r/>
            <w:r>
              <w:rPr>
                <w:b/>
                <w:color w:val="FFFFFF"/>
                <w:sz w:val="20"/>
              </w:rPr>
              <w:t>Option</w:t>
            </w:r>
          </w:p>
        </w:tc>
        <w:tc>
          <w:tcPr>
            <w:tcW w:type="dxa" w:w="1987"/>
            <w:shd w:val="clear" w:color="auto" w:fill="1F3864"/>
          </w:tcPr>
          <w:p>
            <w:r/>
            <w:r>
              <w:rPr>
                <w:b/>
                <w:color w:val="FFFFFF"/>
                <w:sz w:val="20"/>
              </w:rPr>
              <w:t>Min</w:t>
            </w:r>
          </w:p>
        </w:tc>
        <w:tc>
          <w:tcPr>
            <w:tcW w:type="dxa" w:w="1987"/>
            <w:shd w:val="clear" w:color="auto" w:fill="1F3864"/>
          </w:tcPr>
          <w:p>
            <w:r/>
            <w:r>
              <w:rPr>
                <w:b/>
                <w:color w:val="FFFFFF"/>
                <w:sz w:val="20"/>
              </w:rPr>
              <w:t>Max</w:t>
            </w:r>
          </w:p>
        </w:tc>
        <w:tc>
          <w:tcPr>
            <w:tcW w:type="dxa" w:w="1987"/>
            <w:shd w:val="clear" w:color="auto" w:fill="1F3864"/>
          </w:tcPr>
          <w:p>
            <w:r/>
            <w:r>
              <w:rPr>
                <w:b/>
                <w:color w:val="FFFFFF"/>
                <w:sz w:val="20"/>
              </w:rPr>
              <w:t>Memory</w:t>
            </w:r>
          </w:p>
        </w:tc>
        <w:tc>
          <w:tcPr>
            <w:tcW w:type="dxa" w:w="1987"/>
            <w:shd w:val="clear" w:color="auto" w:fill="1F3864"/>
          </w:tcPr>
          <w:p>
            <w:r/>
            <w:r>
              <w:rPr>
                <w:b/>
                <w:color w:val="FFFFFF"/>
                <w:sz w:val="20"/>
              </w:rPr>
              <w:t>Est. $/mo</w:t>
            </w:r>
          </w:p>
        </w:tc>
      </w:tr>
      <w:tr>
        <w:tc>
          <w:tcPr>
            <w:tcW w:type="dxa" w:w="1987"/>
            <w:vAlign w:val="top"/>
            <w:shd w:val="clear" w:color="auto" w:fill="E2EFDA"/>
          </w:tcPr>
          <w:p>
            <w:r/>
            <w:r>
              <w:rPr>
                <w:sz w:val="20"/>
              </w:rPr>
              <w:t>RS1 — Recommended</w:t>
            </w:r>
          </w:p>
        </w:tc>
        <w:tc>
          <w:tcPr>
            <w:tcW w:type="dxa" w:w="1987"/>
            <w:vAlign w:val="top"/>
            <w:shd w:val="clear" w:color="auto" w:fill="E2EFDA"/>
          </w:tcPr>
          <w:p>
            <w:r/>
            <w:r>
              <w:rPr>
                <w:sz w:val="20"/>
              </w:rPr>
              <w:t>0</w:t>
            </w:r>
          </w:p>
        </w:tc>
        <w:tc>
          <w:tcPr>
            <w:tcW w:type="dxa" w:w="1987"/>
            <w:vAlign w:val="top"/>
            <w:shd w:val="clear" w:color="auto" w:fill="E2EFDA"/>
          </w:tcPr>
          <w:p>
            <w:r/>
            <w:r>
              <w:rPr>
                <w:sz w:val="20"/>
              </w:rPr>
              <w:t>5</w:t>
            </w:r>
          </w:p>
        </w:tc>
        <w:tc>
          <w:tcPr>
            <w:tcW w:type="dxa" w:w="1987"/>
            <w:vAlign w:val="top"/>
            <w:shd w:val="clear" w:color="auto" w:fill="E2EFDA"/>
          </w:tcPr>
          <w:p>
            <w:r/>
            <w:r>
              <w:rPr>
                <w:sz w:val="20"/>
              </w:rPr>
              <w:t>512 MB</w:t>
            </w:r>
          </w:p>
        </w:tc>
        <w:tc>
          <w:tcPr>
            <w:tcW w:type="dxa" w:w="1987"/>
            <w:vAlign w:val="top"/>
            <w:shd w:val="clear" w:color="auto" w:fill="E2EFDA"/>
          </w:tcPr>
          <w:p>
            <w:r/>
            <w:r>
              <w:rPr>
                <w:sz w:val="20"/>
              </w:rPr>
              <w:t>~$0–1</w:t>
            </w:r>
          </w:p>
        </w:tc>
      </w:tr>
      <w:tr>
        <w:tc>
          <w:tcPr>
            <w:tcW w:type="dxa" w:w="1987"/>
            <w:vAlign w:val="top"/>
            <w:shd w:val="clear" w:color="auto" w:fill="F2F2F2"/>
          </w:tcPr>
          <w:p>
            <w:r/>
            <w:r>
              <w:rPr>
                <w:sz w:val="20"/>
              </w:rPr>
              <w:t>RS2 — Always warm</w:t>
            </w:r>
          </w:p>
        </w:tc>
        <w:tc>
          <w:tcPr>
            <w:tcW w:type="dxa" w:w="1987"/>
            <w:vAlign w:val="top"/>
            <w:shd w:val="clear" w:color="auto" w:fill="F2F2F2"/>
          </w:tcPr>
          <w:p>
            <w:r/>
            <w:r>
              <w:rPr>
                <w:sz w:val="20"/>
              </w:rPr>
              <w:t>1</w:t>
            </w:r>
          </w:p>
        </w:tc>
        <w:tc>
          <w:tcPr>
            <w:tcW w:type="dxa" w:w="1987"/>
            <w:vAlign w:val="top"/>
            <w:shd w:val="clear" w:color="auto" w:fill="F2F2F2"/>
          </w:tcPr>
          <w:p>
            <w:r/>
            <w:r>
              <w:rPr>
                <w:sz w:val="20"/>
              </w:rPr>
              <w:t>5</w:t>
            </w:r>
          </w:p>
        </w:tc>
        <w:tc>
          <w:tcPr>
            <w:tcW w:type="dxa" w:w="1987"/>
            <w:vAlign w:val="top"/>
            <w:shd w:val="clear" w:color="auto" w:fill="F2F2F2"/>
          </w:tcPr>
          <w:p>
            <w:r/>
            <w:r>
              <w:rPr>
                <w:sz w:val="20"/>
              </w:rPr>
              <w:t>512 MB</w:t>
            </w:r>
          </w:p>
        </w:tc>
        <w:tc>
          <w:tcPr>
            <w:tcW w:type="dxa" w:w="1987"/>
            <w:vAlign w:val="top"/>
            <w:shd w:val="clear" w:color="auto" w:fill="F2F2F2"/>
          </w:tcPr>
          <w:p>
            <w:r/>
            <w:r>
              <w:rPr>
                <w:sz w:val="20"/>
              </w:rPr>
              <w:t>~$5</w:t>
            </w:r>
          </w:p>
        </w:tc>
      </w:tr>
    </w:tbl>
    <w:p>
      <w:r>
        <w:rPr>
          <w:b w:val="0"/>
          <w:i/>
          <w:color w:val="777777"/>
          <w:sz w:val="20"/>
        </w:rPr>
        <w:t>Cold-starts on staging are acceptable for almost all use cases. Default min=0.</w:t>
      </w:r>
    </w:p>
    <w:p/>
    <w:p>
      <w:pPr>
        <w:pStyle w:val="Heading1"/>
      </w:pPr>
      <w:r>
        <w:rPr>
          <w:color w:val="1A1A1A"/>
        </w:rPr>
        <w:t>5. Network — VPC connector</w:t>
      </w:r>
    </w:p>
    <w:p>
      <w:r>
        <w:rPr>
          <w:b w:val="0"/>
          <w:i w:val="0"/>
          <w:sz w:val="22"/>
        </w:rPr>
        <w:t>Cloud Run reaches the database through a small managed network bridge (VPC connector). It is shared between staging and production. The size of the bridge sets the max throughput between the web app and the database.</w:t>
      </w:r>
    </w:p>
    <w:tbl>
      <w:tblPr>
        <w:tblStyle w:val="LightGrid-Accent1"/>
        <w:tblW w:type="auto" w:w="0"/>
        <w:jc w:val="left"/>
        <w:tblLook w:firstColumn="1" w:firstRow="1" w:lastColumn="0" w:lastRow="0" w:noHBand="0" w:noVBand="1" w:val="04A0"/>
      </w:tblPr>
      <w:tblGrid>
        <w:gridCol w:w="1987"/>
        <w:gridCol w:w="1987"/>
        <w:gridCol w:w="1987"/>
        <w:gridCol w:w="1987"/>
        <w:gridCol w:w="1987"/>
      </w:tblGrid>
      <w:tr>
        <w:tc>
          <w:tcPr>
            <w:tcW w:type="dxa" w:w="1987"/>
            <w:shd w:val="clear" w:color="auto" w:fill="1F3864"/>
          </w:tcPr>
          <w:p>
            <w:r/>
            <w:r>
              <w:rPr>
                <w:b/>
                <w:color w:val="FFFFFF"/>
                <w:sz w:val="20"/>
              </w:rPr>
              <w:t>Option</w:t>
            </w:r>
          </w:p>
        </w:tc>
        <w:tc>
          <w:tcPr>
            <w:tcW w:type="dxa" w:w="1987"/>
            <w:shd w:val="clear" w:color="auto" w:fill="1F3864"/>
          </w:tcPr>
          <w:p>
            <w:r/>
            <w:r>
              <w:rPr>
                <w:b/>
                <w:color w:val="FFFFFF"/>
                <w:sz w:val="20"/>
              </w:rPr>
              <w:t>Machine type</w:t>
            </w:r>
          </w:p>
        </w:tc>
        <w:tc>
          <w:tcPr>
            <w:tcW w:type="dxa" w:w="1987"/>
            <w:shd w:val="clear" w:color="auto" w:fill="1F3864"/>
          </w:tcPr>
          <w:p>
            <w:r/>
            <w:r>
              <w:rPr>
                <w:b/>
                <w:color w:val="FFFFFF"/>
                <w:sz w:val="20"/>
              </w:rPr>
              <w:t>Instances</w:t>
            </w:r>
          </w:p>
        </w:tc>
        <w:tc>
          <w:tcPr>
            <w:tcW w:type="dxa" w:w="1987"/>
            <w:shd w:val="clear" w:color="auto" w:fill="1F3864"/>
          </w:tcPr>
          <w:p>
            <w:r/>
            <w:r>
              <w:rPr>
                <w:b/>
                <w:color w:val="FFFFFF"/>
                <w:sz w:val="20"/>
              </w:rPr>
              <w:t>Throughput</w:t>
            </w:r>
          </w:p>
        </w:tc>
        <w:tc>
          <w:tcPr>
            <w:tcW w:type="dxa" w:w="1987"/>
            <w:shd w:val="clear" w:color="auto" w:fill="1F3864"/>
          </w:tcPr>
          <w:p>
            <w:r/>
            <w:r>
              <w:rPr>
                <w:b/>
                <w:color w:val="FFFFFF"/>
                <w:sz w:val="20"/>
              </w:rPr>
              <w:t>Est. $/mo</w:t>
            </w:r>
          </w:p>
        </w:tc>
      </w:tr>
      <w:tr>
        <w:tc>
          <w:tcPr>
            <w:tcW w:type="dxa" w:w="1987"/>
            <w:vAlign w:val="top"/>
            <w:shd w:val="clear" w:color="auto" w:fill="E2EFDA"/>
          </w:tcPr>
          <w:p>
            <w:r/>
            <w:r>
              <w:rPr>
                <w:sz w:val="20"/>
              </w:rPr>
              <w:t>N1 — Recommended</w:t>
            </w:r>
          </w:p>
        </w:tc>
        <w:tc>
          <w:tcPr>
            <w:tcW w:type="dxa" w:w="1987"/>
            <w:vAlign w:val="top"/>
            <w:shd w:val="clear" w:color="auto" w:fill="E2EFDA"/>
          </w:tcPr>
          <w:p>
            <w:r/>
            <w:r>
              <w:rPr>
                <w:sz w:val="20"/>
              </w:rPr>
              <w:t>e2-micro</w:t>
            </w:r>
          </w:p>
        </w:tc>
        <w:tc>
          <w:tcPr>
            <w:tcW w:type="dxa" w:w="1987"/>
            <w:vAlign w:val="top"/>
            <w:shd w:val="clear" w:color="auto" w:fill="E2EFDA"/>
          </w:tcPr>
          <w:p>
            <w:r/>
            <w:r>
              <w:rPr>
                <w:sz w:val="20"/>
              </w:rPr>
              <w:t>2–10</w:t>
            </w:r>
          </w:p>
        </w:tc>
        <w:tc>
          <w:tcPr>
            <w:tcW w:type="dxa" w:w="1987"/>
            <w:vAlign w:val="top"/>
            <w:shd w:val="clear" w:color="auto" w:fill="E2EFDA"/>
          </w:tcPr>
          <w:p>
            <w:r/>
            <w:r>
              <w:rPr>
                <w:sz w:val="20"/>
              </w:rPr>
              <w:t>Up to ~200 Mbps</w:t>
            </w:r>
          </w:p>
        </w:tc>
        <w:tc>
          <w:tcPr>
            <w:tcW w:type="dxa" w:w="1987"/>
            <w:vAlign w:val="top"/>
            <w:shd w:val="clear" w:color="auto" w:fill="E2EFDA"/>
          </w:tcPr>
          <w:p>
            <w:r/>
            <w:r>
              <w:rPr>
                <w:sz w:val="20"/>
              </w:rPr>
              <w:t>~$10</w:t>
            </w:r>
          </w:p>
        </w:tc>
      </w:tr>
      <w:tr>
        <w:tc>
          <w:tcPr>
            <w:tcW w:type="dxa" w:w="1987"/>
            <w:vAlign w:val="top"/>
            <w:shd w:val="clear" w:color="auto" w:fill="F2F2F2"/>
          </w:tcPr>
          <w:p>
            <w:r/>
            <w:r>
              <w:rPr>
                <w:sz w:val="20"/>
              </w:rPr>
              <w:t>N2 — Heavy traffic</w:t>
            </w:r>
          </w:p>
        </w:tc>
        <w:tc>
          <w:tcPr>
            <w:tcW w:type="dxa" w:w="1987"/>
            <w:vAlign w:val="top"/>
            <w:shd w:val="clear" w:color="auto" w:fill="F2F2F2"/>
          </w:tcPr>
          <w:p>
            <w:r/>
            <w:r>
              <w:rPr>
                <w:sz w:val="20"/>
              </w:rPr>
              <w:t>e2-standard-4</w:t>
            </w:r>
          </w:p>
        </w:tc>
        <w:tc>
          <w:tcPr>
            <w:tcW w:type="dxa" w:w="1987"/>
            <w:vAlign w:val="top"/>
            <w:shd w:val="clear" w:color="auto" w:fill="F2F2F2"/>
          </w:tcPr>
          <w:p>
            <w:r/>
            <w:r>
              <w:rPr>
                <w:sz w:val="20"/>
              </w:rPr>
              <w:t>2–10</w:t>
            </w:r>
          </w:p>
        </w:tc>
        <w:tc>
          <w:tcPr>
            <w:tcW w:type="dxa" w:w="1987"/>
            <w:vAlign w:val="top"/>
            <w:shd w:val="clear" w:color="auto" w:fill="F2F2F2"/>
          </w:tcPr>
          <w:p>
            <w:r/>
            <w:r>
              <w:rPr>
                <w:sz w:val="20"/>
              </w:rPr>
              <w:t>Up to ~3 Gbps</w:t>
            </w:r>
          </w:p>
        </w:tc>
        <w:tc>
          <w:tcPr>
            <w:tcW w:type="dxa" w:w="1987"/>
            <w:vAlign w:val="top"/>
            <w:shd w:val="clear" w:color="auto" w:fill="F2F2F2"/>
          </w:tcPr>
          <w:p>
            <w:r/>
            <w:r>
              <w:rPr>
                <w:sz w:val="20"/>
              </w:rPr>
              <w:t>~$80</w:t>
            </w:r>
          </w:p>
        </w:tc>
      </w:tr>
    </w:tbl>
    <w:p>
      <w:r>
        <w:rPr>
          <w:b w:val="0"/>
          <w:i/>
          <w:color w:val="777777"/>
          <w:sz w:val="20"/>
        </w:rPr>
        <w:t>N1 is sufficient until the platform sustains hundreds of concurrent active users.</w:t>
      </w:r>
    </w:p>
    <w:p/>
    <w:p>
      <w:pPr>
        <w:pStyle w:val="Heading1"/>
      </w:pPr>
      <w:r>
        <w:rPr>
          <w:color w:val="1A1A1A"/>
        </w:rPr>
        <w:t>6. Cloud Storage — buckets and retention</w:t>
      </w:r>
    </w:p>
    <w:p>
      <w:r>
        <w:rPr>
          <w:b w:val="0"/>
          <w:i w:val="0"/>
          <w:sz w:val="22"/>
        </w:rPr>
        <w:t>Six buckets are provisioned (videos, exports, firebase × staging, prod). The production buckets keep object versioning on so accidentally overwritten files can be recovered. The staging buckets delete files older than 30 days to control cost.</w:t>
      </w:r>
    </w:p>
    <w:tbl>
      <w:tblPr>
        <w:tblStyle w:val="LightGrid-Accent1"/>
        <w:tblW w:type="auto" w:w="0"/>
        <w:jc w:val="left"/>
        <w:tblLook w:firstColumn="1" w:firstRow="1" w:lastColumn="0" w:lastRow="0" w:noHBand="0" w:noVBand="1" w:val="04A0"/>
      </w:tblPr>
      <w:tblGrid>
        <w:gridCol w:w="2484"/>
        <w:gridCol w:w="2484"/>
        <w:gridCol w:w="2484"/>
        <w:gridCol w:w="2484"/>
      </w:tblGrid>
      <w:tr>
        <w:tc>
          <w:tcPr>
            <w:tcW w:type="dxa" w:w="2484"/>
            <w:shd w:val="clear" w:color="auto" w:fill="1F3864"/>
          </w:tcPr>
          <w:p>
            <w:r/>
            <w:r>
              <w:rPr>
                <w:b/>
                <w:color w:val="FFFFFF"/>
                <w:sz w:val="20"/>
              </w:rPr>
              <w:t>Option</w:t>
            </w:r>
          </w:p>
        </w:tc>
        <w:tc>
          <w:tcPr>
            <w:tcW w:type="dxa" w:w="2484"/>
            <w:shd w:val="clear" w:color="auto" w:fill="1F3864"/>
          </w:tcPr>
          <w:p>
            <w:r/>
            <w:r>
              <w:rPr>
                <w:b/>
                <w:color w:val="FFFFFF"/>
                <w:sz w:val="20"/>
              </w:rPr>
              <w:t>Prod versioning</w:t>
            </w:r>
          </w:p>
        </w:tc>
        <w:tc>
          <w:tcPr>
            <w:tcW w:type="dxa" w:w="2484"/>
            <w:shd w:val="clear" w:color="auto" w:fill="1F3864"/>
          </w:tcPr>
          <w:p>
            <w:r/>
            <w:r>
              <w:rPr>
                <w:b/>
                <w:color w:val="FFFFFF"/>
                <w:sz w:val="20"/>
              </w:rPr>
              <w:t>Staging retention</w:t>
            </w:r>
          </w:p>
        </w:tc>
        <w:tc>
          <w:tcPr>
            <w:tcW w:type="dxa" w:w="2484"/>
            <w:shd w:val="clear" w:color="auto" w:fill="1F3864"/>
          </w:tcPr>
          <w:p>
            <w:r/>
            <w:r>
              <w:rPr>
                <w:b/>
                <w:color w:val="FFFFFF"/>
                <w:sz w:val="20"/>
              </w:rPr>
              <w:t>Est. $/mo</w:t>
            </w:r>
          </w:p>
        </w:tc>
      </w:tr>
      <w:tr>
        <w:tc>
          <w:tcPr>
            <w:tcW w:type="dxa" w:w="2484"/>
            <w:vAlign w:val="top"/>
            <w:shd w:val="clear" w:color="auto" w:fill="E2EFDA"/>
          </w:tcPr>
          <w:p>
            <w:r/>
            <w:r>
              <w:rPr>
                <w:sz w:val="20"/>
              </w:rPr>
              <w:t>G1 — Recommended</w:t>
            </w:r>
          </w:p>
        </w:tc>
        <w:tc>
          <w:tcPr>
            <w:tcW w:type="dxa" w:w="2484"/>
            <w:vAlign w:val="top"/>
            <w:shd w:val="clear" w:color="auto" w:fill="E2EFDA"/>
          </w:tcPr>
          <w:p>
            <w:r/>
            <w:r>
              <w:rPr>
                <w:sz w:val="20"/>
              </w:rPr>
              <w:t>On</w:t>
            </w:r>
          </w:p>
        </w:tc>
        <w:tc>
          <w:tcPr>
            <w:tcW w:type="dxa" w:w="2484"/>
            <w:vAlign w:val="top"/>
            <w:shd w:val="clear" w:color="auto" w:fill="E2EFDA"/>
          </w:tcPr>
          <w:p>
            <w:r/>
            <w:r>
              <w:rPr>
                <w:sz w:val="20"/>
              </w:rPr>
              <w:t>Delete &gt; 30 days</w:t>
            </w:r>
          </w:p>
        </w:tc>
        <w:tc>
          <w:tcPr>
            <w:tcW w:type="dxa" w:w="2484"/>
            <w:vAlign w:val="top"/>
            <w:shd w:val="clear" w:color="auto" w:fill="E2EFDA"/>
          </w:tcPr>
          <w:p>
            <w:r/>
            <w:r>
              <w:rPr>
                <w:sz w:val="20"/>
              </w:rPr>
              <w:t>~$2 + traffic</w:t>
            </w:r>
          </w:p>
        </w:tc>
      </w:tr>
      <w:tr>
        <w:tc>
          <w:tcPr>
            <w:tcW w:type="dxa" w:w="2484"/>
            <w:vAlign w:val="top"/>
            <w:shd w:val="clear" w:color="auto" w:fill="F2F2F2"/>
          </w:tcPr>
          <w:p>
            <w:r/>
            <w:r>
              <w:rPr>
                <w:sz w:val="20"/>
              </w:rPr>
              <w:t>G2 — No versioning</w:t>
            </w:r>
          </w:p>
        </w:tc>
        <w:tc>
          <w:tcPr>
            <w:tcW w:type="dxa" w:w="2484"/>
            <w:vAlign w:val="top"/>
            <w:shd w:val="clear" w:color="auto" w:fill="F2F2F2"/>
          </w:tcPr>
          <w:p>
            <w:r/>
            <w:r>
              <w:rPr>
                <w:sz w:val="20"/>
              </w:rPr>
              <w:t>Off</w:t>
            </w:r>
          </w:p>
        </w:tc>
        <w:tc>
          <w:tcPr>
            <w:tcW w:type="dxa" w:w="2484"/>
            <w:vAlign w:val="top"/>
            <w:shd w:val="clear" w:color="auto" w:fill="F2F2F2"/>
          </w:tcPr>
          <w:p>
            <w:r/>
            <w:r>
              <w:rPr>
                <w:sz w:val="20"/>
              </w:rPr>
              <w:t>Delete &gt; 30 days</w:t>
            </w:r>
          </w:p>
        </w:tc>
        <w:tc>
          <w:tcPr>
            <w:tcW w:type="dxa" w:w="2484"/>
            <w:vAlign w:val="top"/>
            <w:shd w:val="clear" w:color="auto" w:fill="F2F2F2"/>
          </w:tcPr>
          <w:p>
            <w:r/>
            <w:r>
              <w:rPr>
                <w:sz w:val="20"/>
              </w:rPr>
              <w:t>~$1 + traffic</w:t>
            </w:r>
          </w:p>
        </w:tc>
      </w:tr>
      <w:tr>
        <w:tc>
          <w:tcPr>
            <w:tcW w:type="dxa" w:w="2484"/>
            <w:vAlign w:val="top"/>
          </w:tcPr>
          <w:p>
            <w:r/>
            <w:r>
              <w:rPr>
                <w:sz w:val="20"/>
              </w:rPr>
              <w:t>G3 — Strict prod retention</w:t>
            </w:r>
          </w:p>
        </w:tc>
        <w:tc>
          <w:tcPr>
            <w:tcW w:type="dxa" w:w="2484"/>
            <w:vAlign w:val="top"/>
          </w:tcPr>
          <w:p>
            <w:r/>
            <w:r>
              <w:rPr>
                <w:sz w:val="20"/>
              </w:rPr>
              <w:t>On + 90-day retention lock</w:t>
            </w:r>
          </w:p>
        </w:tc>
        <w:tc>
          <w:tcPr>
            <w:tcW w:type="dxa" w:w="2484"/>
            <w:vAlign w:val="top"/>
          </w:tcPr>
          <w:p>
            <w:r/>
            <w:r>
              <w:rPr>
                <w:sz w:val="20"/>
              </w:rPr>
              <w:t>Delete &gt; 30 days</w:t>
            </w:r>
          </w:p>
        </w:tc>
        <w:tc>
          <w:tcPr>
            <w:tcW w:type="dxa" w:w="2484"/>
            <w:vAlign w:val="top"/>
          </w:tcPr>
          <w:p>
            <w:r/>
            <w:r>
              <w:rPr>
                <w:sz w:val="20"/>
              </w:rPr>
              <w:t>~$3 + traffic</w:t>
            </w:r>
          </w:p>
        </w:tc>
      </w:tr>
    </w:tbl>
    <w:p>
      <w:r>
        <w:rPr>
          <w:b w:val="0"/>
          <w:i/>
          <w:color w:val="777777"/>
          <w:sz w:val="20"/>
        </w:rPr>
        <w:t>Storage is volume-driven. Until significant video volume exists, the difference between options is a few dollars per month.</w:t>
      </w:r>
    </w:p>
    <w:p/>
    <w:p>
      <w:pPr>
        <w:pStyle w:val="Heading1"/>
      </w:pPr>
      <w:r>
        <w:rPr>
          <w:color w:val="1A1A1A"/>
        </w:rPr>
        <w:t>7. Region</w:t>
      </w:r>
    </w:p>
    <w:p>
      <w:r>
        <w:rPr>
          <w:b w:val="0"/>
          <w:i w:val="0"/>
          <w:sz w:val="22"/>
        </w:rPr>
        <w:t>All resources are placed in us-west1 (Oregon) — chosen because the client is a US-West-based robotics company. All other GCP services (Cloud Run, Cloud SQL, Firestore, Cloud Storage, Identity Platform) are available there. Switching regions later is possible but means recreating resources.</w:t>
      </w:r>
    </w:p>
    <w:p/>
    <w:p>
      <w:pPr>
        <w:pStyle w:val="Heading1"/>
      </w:pPr>
      <w:r>
        <w:rPr>
          <w:color w:val="1A1A1A"/>
        </w:rPr>
        <w:t>8. Identity, Firestore, Secrets, Scheduler — fixed</w:t>
      </w:r>
    </w:p>
    <w:p>
      <w:r>
        <w:rPr>
          <w:b w:val="0"/>
          <w:i w:val="0"/>
          <w:sz w:val="22"/>
        </w:rPr>
        <w:t>These services are billed primarily by usage and have no meaningful sizing knob. Defaults are used.</w:t>
      </w:r>
    </w:p>
    <w:p>
      <w:pPr>
        <w:pStyle w:val="ListBullet"/>
      </w:pPr>
      <w:r>
        <w:rPr>
          <w:b/>
          <w:sz w:val="22"/>
        </w:rPr>
        <w:t>Identity Platform</w:t>
      </w:r>
      <w:r>
        <w:rPr>
          <w:sz w:val="22"/>
        </w:rPr>
        <w:t xml:space="preserve"> — Two tenants in one project. Free tier covers expected user counts.</w:t>
      </w:r>
    </w:p>
    <w:p>
      <w:pPr>
        <w:pStyle w:val="ListBullet"/>
      </w:pPr>
      <w:r>
        <w:rPr>
          <w:b/>
          <w:sz w:val="22"/>
        </w:rPr>
        <w:t>Firestore</w:t>
      </w:r>
      <w:r>
        <w:rPr>
          <w:sz w:val="22"/>
        </w:rPr>
        <w:t xml:space="preserve"> — Two named databases (staging-db, prod-db). Pay per read/write/storage; free tier substantial.</w:t>
      </w:r>
    </w:p>
    <w:p>
      <w:pPr>
        <w:pStyle w:val="ListBullet"/>
      </w:pPr>
      <w:r>
        <w:rPr>
          <w:b/>
          <w:sz w:val="22"/>
        </w:rPr>
        <w:t>Secret Manager</w:t>
      </w:r>
      <w:r>
        <w:rPr>
          <w:sz w:val="22"/>
        </w:rPr>
        <w:t xml:space="preserve"> — About 18 secrets per environment. ~$0.50/mo total.</w:t>
      </w:r>
    </w:p>
    <w:p>
      <w:pPr>
        <w:pStyle w:val="ListBullet"/>
      </w:pPr>
      <w:r>
        <w:rPr>
          <w:b/>
          <w:sz w:val="22"/>
        </w:rPr>
        <w:t>Cloud Scheduler</w:t>
      </w:r>
      <w:r>
        <w:rPr>
          <w:sz w:val="22"/>
        </w:rPr>
        <w:t xml:space="preserve"> — Two cron jobs (one per environment). ~$0.10/mo each.</w:t>
      </w:r>
    </w:p>
    <w:p/>
    <w:p>
      <w:pPr>
        <w:pStyle w:val="Heading1"/>
      </w:pPr>
      <w:r>
        <w:rPr>
          <w:color w:val="1A1A1A"/>
        </w:rPr>
        <w:t>Bundled scenarios — full breakdown</w:t>
      </w:r>
    </w:p>
    <w:p>
      <w:r>
        <w:rPr>
          <w:b/>
          <w:color w:val="1A1A1A"/>
          <w:sz w:val="26"/>
        </w:rPr>
        <w:t>Lean</w:t>
      </w:r>
    </w:p>
    <w:tbl>
      <w:tblPr>
        <w:tblStyle w:val="LightGrid-Accent1"/>
        <w:tblW w:type="auto" w:w="0"/>
        <w:jc w:val="left"/>
        <w:tblLook w:firstColumn="1" w:firstRow="1" w:lastColumn="0" w:lastRow="0" w:noHBand="0" w:noVBand="1" w:val="04A0"/>
      </w:tblPr>
      <w:tblGrid>
        <w:gridCol w:w="3312"/>
        <w:gridCol w:w="3312"/>
        <w:gridCol w:w="3312"/>
      </w:tblGrid>
      <w:tr>
        <w:tc>
          <w:tcPr>
            <w:tcW w:type="dxa" w:w="3312"/>
            <w:shd w:val="clear" w:color="auto" w:fill="1F3864"/>
          </w:tcPr>
          <w:p>
            <w:r/>
            <w:r>
              <w:rPr>
                <w:b/>
                <w:color w:val="FFFFFF"/>
                <w:sz w:val="20"/>
              </w:rPr>
              <w:t>Service</w:t>
            </w:r>
          </w:p>
        </w:tc>
        <w:tc>
          <w:tcPr>
            <w:tcW w:type="dxa" w:w="3312"/>
            <w:shd w:val="clear" w:color="auto" w:fill="1F3864"/>
          </w:tcPr>
          <w:p>
            <w:r/>
            <w:r>
              <w:rPr>
                <w:b/>
                <w:color w:val="FFFFFF"/>
                <w:sz w:val="20"/>
              </w:rPr>
              <w:t>Option</w:t>
            </w:r>
          </w:p>
        </w:tc>
        <w:tc>
          <w:tcPr>
            <w:tcW w:type="dxa" w:w="3312"/>
            <w:shd w:val="clear" w:color="auto" w:fill="1F3864"/>
          </w:tcPr>
          <w:p>
            <w:r/>
            <w:r>
              <w:rPr>
                <w:b/>
                <w:color w:val="FFFFFF"/>
                <w:sz w:val="20"/>
              </w:rPr>
              <w:t>Est. $/mo</w:t>
            </w:r>
          </w:p>
        </w:tc>
      </w:tr>
      <w:tr>
        <w:tc>
          <w:tcPr>
            <w:tcW w:type="dxa" w:w="3312"/>
            <w:vAlign w:val="top"/>
          </w:tcPr>
          <w:p>
            <w:r/>
            <w:r>
              <w:rPr>
                <w:sz w:val="20"/>
              </w:rPr>
              <w:t>Cloud SQL prod</w:t>
            </w:r>
          </w:p>
        </w:tc>
        <w:tc>
          <w:tcPr>
            <w:tcW w:type="dxa" w:w="3312"/>
            <w:vAlign w:val="top"/>
          </w:tcPr>
          <w:p>
            <w:r/>
            <w:r>
              <w:rPr>
                <w:sz w:val="20"/>
              </w:rPr>
              <w:t>Option A — db-custom-1-3840 ZONAL + PITR</w:t>
            </w:r>
          </w:p>
        </w:tc>
        <w:tc>
          <w:tcPr>
            <w:tcW w:type="dxa" w:w="3312"/>
            <w:vAlign w:val="top"/>
          </w:tcPr>
          <w:p>
            <w:r/>
            <w:r>
              <w:rPr>
                <w:sz w:val="20"/>
              </w:rPr>
              <w:t>$32</w:t>
            </w:r>
          </w:p>
        </w:tc>
      </w:tr>
      <w:tr>
        <w:tc>
          <w:tcPr>
            <w:tcW w:type="dxa" w:w="3312"/>
            <w:vAlign w:val="top"/>
            <w:shd w:val="clear" w:color="auto" w:fill="F2F2F2"/>
          </w:tcPr>
          <w:p>
            <w:r/>
            <w:r>
              <w:rPr>
                <w:sz w:val="20"/>
              </w:rPr>
              <w:t>Cloud SQL staging</w:t>
            </w:r>
          </w:p>
        </w:tc>
        <w:tc>
          <w:tcPr>
            <w:tcW w:type="dxa" w:w="3312"/>
            <w:vAlign w:val="top"/>
            <w:shd w:val="clear" w:color="auto" w:fill="F2F2F2"/>
          </w:tcPr>
          <w:p>
            <w:r/>
            <w:r>
              <w:rPr>
                <w:sz w:val="20"/>
              </w:rPr>
              <w:t>Option S1 — db-g1-small ZONAL</w:t>
            </w:r>
          </w:p>
        </w:tc>
        <w:tc>
          <w:tcPr>
            <w:tcW w:type="dxa" w:w="3312"/>
            <w:vAlign w:val="top"/>
            <w:shd w:val="clear" w:color="auto" w:fill="F2F2F2"/>
          </w:tcPr>
          <w:p>
            <w:r/>
            <w:r>
              <w:rPr>
                <w:sz w:val="20"/>
              </w:rPr>
              <w:t>$17</w:t>
            </w:r>
          </w:p>
        </w:tc>
      </w:tr>
      <w:tr>
        <w:tc>
          <w:tcPr>
            <w:tcW w:type="dxa" w:w="3312"/>
            <w:vAlign w:val="top"/>
          </w:tcPr>
          <w:p>
            <w:r/>
            <w:r>
              <w:rPr>
                <w:sz w:val="20"/>
              </w:rPr>
              <w:t>Cloud Run prod</w:t>
            </w:r>
          </w:p>
        </w:tc>
        <w:tc>
          <w:tcPr>
            <w:tcW w:type="dxa" w:w="3312"/>
            <w:vAlign w:val="top"/>
          </w:tcPr>
          <w:p>
            <w:r/>
            <w:r>
              <w:rPr>
                <w:sz w:val="20"/>
              </w:rPr>
              <w:t>Option R1 — min=0, max=10, 512 MB</w:t>
            </w:r>
          </w:p>
        </w:tc>
        <w:tc>
          <w:tcPr>
            <w:tcW w:type="dxa" w:w="3312"/>
            <w:vAlign w:val="top"/>
          </w:tcPr>
          <w:p>
            <w:r/>
            <w:r>
              <w:rPr>
                <w:sz w:val="20"/>
              </w:rPr>
              <w:t>$0–3</w:t>
            </w:r>
          </w:p>
        </w:tc>
      </w:tr>
      <w:tr>
        <w:tc>
          <w:tcPr>
            <w:tcW w:type="dxa" w:w="3312"/>
            <w:vAlign w:val="top"/>
            <w:shd w:val="clear" w:color="auto" w:fill="F2F2F2"/>
          </w:tcPr>
          <w:p>
            <w:r/>
            <w:r>
              <w:rPr>
                <w:sz w:val="20"/>
              </w:rPr>
              <w:t>Cloud Run staging</w:t>
            </w:r>
          </w:p>
        </w:tc>
        <w:tc>
          <w:tcPr>
            <w:tcW w:type="dxa" w:w="3312"/>
            <w:vAlign w:val="top"/>
            <w:shd w:val="clear" w:color="auto" w:fill="F2F2F2"/>
          </w:tcPr>
          <w:p>
            <w:r/>
            <w:r>
              <w:rPr>
                <w:sz w:val="20"/>
              </w:rPr>
              <w:t>Option RS1 — min=0, max=5, 512 MB</w:t>
            </w:r>
          </w:p>
        </w:tc>
        <w:tc>
          <w:tcPr>
            <w:tcW w:type="dxa" w:w="3312"/>
            <w:vAlign w:val="top"/>
            <w:shd w:val="clear" w:color="auto" w:fill="F2F2F2"/>
          </w:tcPr>
          <w:p>
            <w:r/>
            <w:r>
              <w:rPr>
                <w:sz w:val="20"/>
              </w:rPr>
              <w:t>$0–1</w:t>
            </w:r>
          </w:p>
        </w:tc>
      </w:tr>
      <w:tr>
        <w:tc>
          <w:tcPr>
            <w:tcW w:type="dxa" w:w="3312"/>
            <w:vAlign w:val="top"/>
          </w:tcPr>
          <w:p>
            <w:r/>
            <w:r>
              <w:rPr>
                <w:sz w:val="20"/>
              </w:rPr>
              <w:t>VPC connector</w:t>
            </w:r>
          </w:p>
        </w:tc>
        <w:tc>
          <w:tcPr>
            <w:tcW w:type="dxa" w:w="3312"/>
            <w:vAlign w:val="top"/>
          </w:tcPr>
          <w:p>
            <w:r/>
            <w:r>
              <w:rPr>
                <w:sz w:val="20"/>
              </w:rPr>
              <w:t>Option N1 — e2-micro</w:t>
            </w:r>
          </w:p>
        </w:tc>
        <w:tc>
          <w:tcPr>
            <w:tcW w:type="dxa" w:w="3312"/>
            <w:vAlign w:val="top"/>
          </w:tcPr>
          <w:p>
            <w:r/>
            <w:r>
              <w:rPr>
                <w:sz w:val="20"/>
              </w:rPr>
              <w:t>$10</w:t>
            </w:r>
          </w:p>
        </w:tc>
      </w:tr>
      <w:tr>
        <w:tc>
          <w:tcPr>
            <w:tcW w:type="dxa" w:w="3312"/>
            <w:vAlign w:val="top"/>
            <w:shd w:val="clear" w:color="auto" w:fill="F2F2F2"/>
          </w:tcPr>
          <w:p>
            <w:r/>
            <w:r>
              <w:rPr>
                <w:sz w:val="20"/>
              </w:rPr>
              <w:t>Storage + others</w:t>
            </w:r>
          </w:p>
        </w:tc>
        <w:tc>
          <w:tcPr>
            <w:tcW w:type="dxa" w:w="3312"/>
            <w:vAlign w:val="top"/>
            <w:shd w:val="clear" w:color="auto" w:fill="F2F2F2"/>
          </w:tcPr>
          <w:p>
            <w:r/>
            <w:r>
              <w:rPr>
                <w:sz w:val="20"/>
              </w:rPr>
              <w:t>Default</w:t>
            </w:r>
          </w:p>
        </w:tc>
        <w:tc>
          <w:tcPr>
            <w:tcW w:type="dxa" w:w="3312"/>
            <w:vAlign w:val="top"/>
            <w:shd w:val="clear" w:color="auto" w:fill="F2F2F2"/>
          </w:tcPr>
          <w:p>
            <w:r/>
            <w:r>
              <w:rPr>
                <w:sz w:val="20"/>
              </w:rPr>
              <w:t>$3–5</w:t>
            </w:r>
          </w:p>
        </w:tc>
      </w:tr>
      <w:tr>
        <w:tc>
          <w:tcPr>
            <w:tcW w:type="dxa" w:w="3312"/>
            <w:vAlign w:val="top"/>
            <w:shd w:val="clear" w:color="auto" w:fill="E2EFDA"/>
          </w:tcPr>
          <w:p>
            <w:r/>
            <w:r>
              <w:rPr>
                <w:sz w:val="20"/>
              </w:rPr>
              <w:t>Total (typical idle)</w:t>
            </w:r>
          </w:p>
        </w:tc>
        <w:tc>
          <w:tcPr>
            <w:tcW w:type="dxa" w:w="3312"/>
            <w:vAlign w:val="top"/>
            <w:shd w:val="clear" w:color="auto" w:fill="E2EFDA"/>
          </w:tcPr>
          <w:p>
            <w:r/>
            <w:r>
              <w:rPr>
                <w:sz w:val="20"/>
              </w:rPr>
            </w:r>
          </w:p>
        </w:tc>
        <w:tc>
          <w:tcPr>
            <w:tcW w:type="dxa" w:w="3312"/>
            <w:vAlign w:val="top"/>
            <w:shd w:val="clear" w:color="auto" w:fill="E2EFDA"/>
          </w:tcPr>
          <w:p>
            <w:r/>
            <w:r>
              <w:rPr>
                <w:sz w:val="20"/>
              </w:rPr>
              <w:t>~$63</w:t>
            </w:r>
          </w:p>
        </w:tc>
      </w:tr>
    </w:tbl>
    <w:p/>
    <w:p>
      <w:r>
        <w:rPr>
          <w:b/>
          <w:color w:val="1A1A1A"/>
          <w:sz w:val="26"/>
        </w:rPr>
        <w:t>Balanced</w:t>
      </w:r>
    </w:p>
    <w:tbl>
      <w:tblPr>
        <w:tblStyle w:val="LightGrid-Accent1"/>
        <w:tblW w:type="auto" w:w="0"/>
        <w:jc w:val="left"/>
        <w:tblLook w:firstColumn="1" w:firstRow="1" w:lastColumn="0" w:lastRow="0" w:noHBand="0" w:noVBand="1" w:val="04A0"/>
      </w:tblPr>
      <w:tblGrid>
        <w:gridCol w:w="3312"/>
        <w:gridCol w:w="3312"/>
        <w:gridCol w:w="3312"/>
      </w:tblGrid>
      <w:tr>
        <w:tc>
          <w:tcPr>
            <w:tcW w:type="dxa" w:w="3312"/>
            <w:shd w:val="clear" w:color="auto" w:fill="1F3864"/>
          </w:tcPr>
          <w:p>
            <w:r/>
            <w:r>
              <w:rPr>
                <w:b/>
                <w:color w:val="FFFFFF"/>
                <w:sz w:val="20"/>
              </w:rPr>
              <w:t>Service</w:t>
            </w:r>
          </w:p>
        </w:tc>
        <w:tc>
          <w:tcPr>
            <w:tcW w:type="dxa" w:w="3312"/>
            <w:shd w:val="clear" w:color="auto" w:fill="1F3864"/>
          </w:tcPr>
          <w:p>
            <w:r/>
            <w:r>
              <w:rPr>
                <w:b/>
                <w:color w:val="FFFFFF"/>
                <w:sz w:val="20"/>
              </w:rPr>
              <w:t>Option</w:t>
            </w:r>
          </w:p>
        </w:tc>
        <w:tc>
          <w:tcPr>
            <w:tcW w:type="dxa" w:w="3312"/>
            <w:shd w:val="clear" w:color="auto" w:fill="1F3864"/>
          </w:tcPr>
          <w:p>
            <w:r/>
            <w:r>
              <w:rPr>
                <w:b/>
                <w:color w:val="FFFFFF"/>
                <w:sz w:val="20"/>
              </w:rPr>
              <w:t>Est. $/mo</w:t>
            </w:r>
          </w:p>
        </w:tc>
      </w:tr>
      <w:tr>
        <w:tc>
          <w:tcPr>
            <w:tcW w:type="dxa" w:w="3312"/>
            <w:vAlign w:val="top"/>
          </w:tcPr>
          <w:p>
            <w:r/>
            <w:r>
              <w:rPr>
                <w:sz w:val="20"/>
              </w:rPr>
              <w:t>Cloud SQL prod</w:t>
            </w:r>
          </w:p>
        </w:tc>
        <w:tc>
          <w:tcPr>
            <w:tcW w:type="dxa" w:w="3312"/>
            <w:vAlign w:val="top"/>
          </w:tcPr>
          <w:p>
            <w:r/>
            <w:r>
              <w:rPr>
                <w:sz w:val="20"/>
              </w:rPr>
              <w:t>Option C — db-custom-1-3840 REGIONAL HA + PITR</w:t>
            </w:r>
          </w:p>
        </w:tc>
        <w:tc>
          <w:tcPr>
            <w:tcW w:type="dxa" w:w="3312"/>
            <w:vAlign w:val="top"/>
          </w:tcPr>
          <w:p>
            <w:r/>
            <w:r>
              <w:rPr>
                <w:sz w:val="20"/>
              </w:rPr>
              <w:t>$64</w:t>
            </w:r>
          </w:p>
        </w:tc>
      </w:tr>
      <w:tr>
        <w:tc>
          <w:tcPr>
            <w:tcW w:type="dxa" w:w="3312"/>
            <w:vAlign w:val="top"/>
            <w:shd w:val="clear" w:color="auto" w:fill="F2F2F2"/>
          </w:tcPr>
          <w:p>
            <w:r/>
            <w:r>
              <w:rPr>
                <w:sz w:val="20"/>
              </w:rPr>
              <w:t>Cloud SQL staging</w:t>
            </w:r>
          </w:p>
        </w:tc>
        <w:tc>
          <w:tcPr>
            <w:tcW w:type="dxa" w:w="3312"/>
            <w:vAlign w:val="top"/>
            <w:shd w:val="clear" w:color="auto" w:fill="F2F2F2"/>
          </w:tcPr>
          <w:p>
            <w:r/>
            <w:r>
              <w:rPr>
                <w:sz w:val="20"/>
              </w:rPr>
              <w:t>Option S1 — db-g1-small ZONAL</w:t>
            </w:r>
          </w:p>
        </w:tc>
        <w:tc>
          <w:tcPr>
            <w:tcW w:type="dxa" w:w="3312"/>
            <w:vAlign w:val="top"/>
            <w:shd w:val="clear" w:color="auto" w:fill="F2F2F2"/>
          </w:tcPr>
          <w:p>
            <w:r/>
            <w:r>
              <w:rPr>
                <w:sz w:val="20"/>
              </w:rPr>
              <w:t>$17</w:t>
            </w:r>
          </w:p>
        </w:tc>
      </w:tr>
      <w:tr>
        <w:tc>
          <w:tcPr>
            <w:tcW w:type="dxa" w:w="3312"/>
            <w:vAlign w:val="top"/>
          </w:tcPr>
          <w:p>
            <w:r/>
            <w:r>
              <w:rPr>
                <w:sz w:val="20"/>
              </w:rPr>
              <w:t>Cloud Run prod</w:t>
            </w:r>
          </w:p>
        </w:tc>
        <w:tc>
          <w:tcPr>
            <w:tcW w:type="dxa" w:w="3312"/>
            <w:vAlign w:val="top"/>
          </w:tcPr>
          <w:p>
            <w:r/>
            <w:r>
              <w:rPr>
                <w:sz w:val="20"/>
              </w:rPr>
              <w:t>Option R2 — min=1, max=20, 1 GB</w:t>
            </w:r>
          </w:p>
        </w:tc>
        <w:tc>
          <w:tcPr>
            <w:tcW w:type="dxa" w:w="3312"/>
            <w:vAlign w:val="top"/>
          </w:tcPr>
          <w:p>
            <w:r/>
            <w:r>
              <w:rPr>
                <w:sz w:val="20"/>
              </w:rPr>
              <w:t>$8–15</w:t>
            </w:r>
          </w:p>
        </w:tc>
      </w:tr>
      <w:tr>
        <w:tc>
          <w:tcPr>
            <w:tcW w:type="dxa" w:w="3312"/>
            <w:vAlign w:val="top"/>
            <w:shd w:val="clear" w:color="auto" w:fill="F2F2F2"/>
          </w:tcPr>
          <w:p>
            <w:r/>
            <w:r>
              <w:rPr>
                <w:sz w:val="20"/>
              </w:rPr>
              <w:t>Cloud Run staging</w:t>
            </w:r>
          </w:p>
        </w:tc>
        <w:tc>
          <w:tcPr>
            <w:tcW w:type="dxa" w:w="3312"/>
            <w:vAlign w:val="top"/>
            <w:shd w:val="clear" w:color="auto" w:fill="F2F2F2"/>
          </w:tcPr>
          <w:p>
            <w:r/>
            <w:r>
              <w:rPr>
                <w:sz w:val="20"/>
              </w:rPr>
              <w:t>Option RS1 — min=0, max=5, 512 MB</w:t>
            </w:r>
          </w:p>
        </w:tc>
        <w:tc>
          <w:tcPr>
            <w:tcW w:type="dxa" w:w="3312"/>
            <w:vAlign w:val="top"/>
            <w:shd w:val="clear" w:color="auto" w:fill="F2F2F2"/>
          </w:tcPr>
          <w:p>
            <w:r/>
            <w:r>
              <w:rPr>
                <w:sz w:val="20"/>
              </w:rPr>
              <w:t>$0–1</w:t>
            </w:r>
          </w:p>
        </w:tc>
      </w:tr>
      <w:tr>
        <w:tc>
          <w:tcPr>
            <w:tcW w:type="dxa" w:w="3312"/>
            <w:vAlign w:val="top"/>
          </w:tcPr>
          <w:p>
            <w:r/>
            <w:r>
              <w:rPr>
                <w:sz w:val="20"/>
              </w:rPr>
              <w:t>VPC connector</w:t>
            </w:r>
          </w:p>
        </w:tc>
        <w:tc>
          <w:tcPr>
            <w:tcW w:type="dxa" w:w="3312"/>
            <w:vAlign w:val="top"/>
          </w:tcPr>
          <w:p>
            <w:r/>
            <w:r>
              <w:rPr>
                <w:sz w:val="20"/>
              </w:rPr>
              <w:t>Option N1 — e2-micro</w:t>
            </w:r>
          </w:p>
        </w:tc>
        <w:tc>
          <w:tcPr>
            <w:tcW w:type="dxa" w:w="3312"/>
            <w:vAlign w:val="top"/>
          </w:tcPr>
          <w:p>
            <w:r/>
            <w:r>
              <w:rPr>
                <w:sz w:val="20"/>
              </w:rPr>
              <w:t>$10</w:t>
            </w:r>
          </w:p>
        </w:tc>
      </w:tr>
      <w:tr>
        <w:tc>
          <w:tcPr>
            <w:tcW w:type="dxa" w:w="3312"/>
            <w:vAlign w:val="top"/>
            <w:shd w:val="clear" w:color="auto" w:fill="F2F2F2"/>
          </w:tcPr>
          <w:p>
            <w:r/>
            <w:r>
              <w:rPr>
                <w:sz w:val="20"/>
              </w:rPr>
              <w:t>Storage + others</w:t>
            </w:r>
          </w:p>
        </w:tc>
        <w:tc>
          <w:tcPr>
            <w:tcW w:type="dxa" w:w="3312"/>
            <w:vAlign w:val="top"/>
            <w:shd w:val="clear" w:color="auto" w:fill="F2F2F2"/>
          </w:tcPr>
          <w:p>
            <w:r/>
            <w:r>
              <w:rPr>
                <w:sz w:val="20"/>
              </w:rPr>
              <w:t>Default</w:t>
            </w:r>
          </w:p>
        </w:tc>
        <w:tc>
          <w:tcPr>
            <w:tcW w:type="dxa" w:w="3312"/>
            <w:vAlign w:val="top"/>
            <w:shd w:val="clear" w:color="auto" w:fill="F2F2F2"/>
          </w:tcPr>
          <w:p>
            <w:r/>
            <w:r>
              <w:rPr>
                <w:sz w:val="20"/>
              </w:rPr>
              <w:t>$3–5</w:t>
            </w:r>
          </w:p>
        </w:tc>
      </w:tr>
      <w:tr>
        <w:tc>
          <w:tcPr>
            <w:tcW w:type="dxa" w:w="3312"/>
            <w:vAlign w:val="top"/>
            <w:shd w:val="clear" w:color="auto" w:fill="E2EFDA"/>
          </w:tcPr>
          <w:p>
            <w:r/>
            <w:r>
              <w:rPr>
                <w:sz w:val="20"/>
              </w:rPr>
              <w:t>Total (typical idle)</w:t>
            </w:r>
          </w:p>
        </w:tc>
        <w:tc>
          <w:tcPr>
            <w:tcW w:type="dxa" w:w="3312"/>
            <w:vAlign w:val="top"/>
            <w:shd w:val="clear" w:color="auto" w:fill="E2EFDA"/>
          </w:tcPr>
          <w:p>
            <w:r/>
            <w:r>
              <w:rPr>
                <w:sz w:val="20"/>
              </w:rPr>
            </w:r>
          </w:p>
        </w:tc>
        <w:tc>
          <w:tcPr>
            <w:tcW w:type="dxa" w:w="3312"/>
            <w:vAlign w:val="top"/>
            <w:shd w:val="clear" w:color="auto" w:fill="E2EFDA"/>
          </w:tcPr>
          <w:p>
            <w:r/>
            <w:r>
              <w:rPr>
                <w:sz w:val="20"/>
              </w:rPr>
              <w:t>~$103</w:t>
            </w:r>
          </w:p>
        </w:tc>
      </w:tr>
    </w:tbl>
    <w:p/>
    <w:p>
      <w:r>
        <w:rPr>
          <w:b/>
          <w:color w:val="1A1A1A"/>
          <w:sz w:val="26"/>
        </w:rPr>
        <w:t>Full Production</w:t>
      </w:r>
    </w:p>
    <w:tbl>
      <w:tblPr>
        <w:tblStyle w:val="LightGrid-Accent1"/>
        <w:tblW w:type="auto" w:w="0"/>
        <w:jc w:val="left"/>
        <w:tblLook w:firstColumn="1" w:firstRow="1" w:lastColumn="0" w:lastRow="0" w:noHBand="0" w:noVBand="1" w:val="04A0"/>
      </w:tblPr>
      <w:tblGrid>
        <w:gridCol w:w="3312"/>
        <w:gridCol w:w="3312"/>
        <w:gridCol w:w="3312"/>
      </w:tblGrid>
      <w:tr>
        <w:tc>
          <w:tcPr>
            <w:tcW w:type="dxa" w:w="3312"/>
            <w:shd w:val="clear" w:color="auto" w:fill="1F3864"/>
          </w:tcPr>
          <w:p>
            <w:r/>
            <w:r>
              <w:rPr>
                <w:b/>
                <w:color w:val="FFFFFF"/>
                <w:sz w:val="20"/>
              </w:rPr>
              <w:t>Service</w:t>
            </w:r>
          </w:p>
        </w:tc>
        <w:tc>
          <w:tcPr>
            <w:tcW w:type="dxa" w:w="3312"/>
            <w:shd w:val="clear" w:color="auto" w:fill="1F3864"/>
          </w:tcPr>
          <w:p>
            <w:r/>
            <w:r>
              <w:rPr>
                <w:b/>
                <w:color w:val="FFFFFF"/>
                <w:sz w:val="20"/>
              </w:rPr>
              <w:t>Option</w:t>
            </w:r>
          </w:p>
        </w:tc>
        <w:tc>
          <w:tcPr>
            <w:tcW w:type="dxa" w:w="3312"/>
            <w:shd w:val="clear" w:color="auto" w:fill="1F3864"/>
          </w:tcPr>
          <w:p>
            <w:r/>
            <w:r>
              <w:rPr>
                <w:b/>
                <w:color w:val="FFFFFF"/>
                <w:sz w:val="20"/>
              </w:rPr>
              <w:t>Est. $/mo</w:t>
            </w:r>
          </w:p>
        </w:tc>
      </w:tr>
      <w:tr>
        <w:tc>
          <w:tcPr>
            <w:tcW w:type="dxa" w:w="3312"/>
            <w:vAlign w:val="top"/>
          </w:tcPr>
          <w:p>
            <w:r/>
            <w:r>
              <w:rPr>
                <w:sz w:val="20"/>
              </w:rPr>
              <w:t>Cloud SQL prod</w:t>
            </w:r>
          </w:p>
        </w:tc>
        <w:tc>
          <w:tcPr>
            <w:tcW w:type="dxa" w:w="3312"/>
            <w:vAlign w:val="top"/>
          </w:tcPr>
          <w:p>
            <w:r/>
            <w:r>
              <w:rPr>
                <w:sz w:val="20"/>
              </w:rPr>
              <w:t>Option E — db-custom-2-7680 REGIONAL HA + PITR</w:t>
            </w:r>
          </w:p>
        </w:tc>
        <w:tc>
          <w:tcPr>
            <w:tcW w:type="dxa" w:w="3312"/>
            <w:vAlign w:val="top"/>
          </w:tcPr>
          <w:p>
            <w:r/>
            <w:r>
              <w:rPr>
                <w:sz w:val="20"/>
              </w:rPr>
              <w:t>$110</w:t>
            </w:r>
          </w:p>
        </w:tc>
      </w:tr>
      <w:tr>
        <w:tc>
          <w:tcPr>
            <w:tcW w:type="dxa" w:w="3312"/>
            <w:vAlign w:val="top"/>
            <w:shd w:val="clear" w:color="auto" w:fill="F2F2F2"/>
          </w:tcPr>
          <w:p>
            <w:r/>
            <w:r>
              <w:rPr>
                <w:sz w:val="20"/>
              </w:rPr>
              <w:t>Cloud SQL staging</w:t>
            </w:r>
          </w:p>
        </w:tc>
        <w:tc>
          <w:tcPr>
            <w:tcW w:type="dxa" w:w="3312"/>
            <w:vAlign w:val="top"/>
            <w:shd w:val="clear" w:color="auto" w:fill="F2F2F2"/>
          </w:tcPr>
          <w:p>
            <w:r/>
            <w:r>
              <w:rPr>
                <w:sz w:val="20"/>
              </w:rPr>
              <w:t>Option S1 — db-g1-small ZONAL</w:t>
            </w:r>
          </w:p>
        </w:tc>
        <w:tc>
          <w:tcPr>
            <w:tcW w:type="dxa" w:w="3312"/>
            <w:vAlign w:val="top"/>
            <w:shd w:val="clear" w:color="auto" w:fill="F2F2F2"/>
          </w:tcPr>
          <w:p>
            <w:r/>
            <w:r>
              <w:rPr>
                <w:sz w:val="20"/>
              </w:rPr>
              <w:t>$17</w:t>
            </w:r>
          </w:p>
        </w:tc>
      </w:tr>
      <w:tr>
        <w:tc>
          <w:tcPr>
            <w:tcW w:type="dxa" w:w="3312"/>
            <w:vAlign w:val="top"/>
          </w:tcPr>
          <w:p>
            <w:r/>
            <w:r>
              <w:rPr>
                <w:sz w:val="20"/>
              </w:rPr>
              <w:t>Cloud Run prod</w:t>
            </w:r>
          </w:p>
        </w:tc>
        <w:tc>
          <w:tcPr>
            <w:tcW w:type="dxa" w:w="3312"/>
            <w:vAlign w:val="top"/>
          </w:tcPr>
          <w:p>
            <w:r/>
            <w:r>
              <w:rPr>
                <w:sz w:val="20"/>
              </w:rPr>
              <w:t>Option R3 — min=2, max=50, 1 GB</w:t>
            </w:r>
          </w:p>
        </w:tc>
        <w:tc>
          <w:tcPr>
            <w:tcW w:type="dxa" w:w="3312"/>
            <w:vAlign w:val="top"/>
          </w:tcPr>
          <w:p>
            <w:r/>
            <w:r>
              <w:rPr>
                <w:sz w:val="20"/>
              </w:rPr>
              <w:t>$15–30</w:t>
            </w:r>
          </w:p>
        </w:tc>
      </w:tr>
      <w:tr>
        <w:tc>
          <w:tcPr>
            <w:tcW w:type="dxa" w:w="3312"/>
            <w:vAlign w:val="top"/>
            <w:shd w:val="clear" w:color="auto" w:fill="F2F2F2"/>
          </w:tcPr>
          <w:p>
            <w:r/>
            <w:r>
              <w:rPr>
                <w:sz w:val="20"/>
              </w:rPr>
              <w:t>Cloud Run staging</w:t>
            </w:r>
          </w:p>
        </w:tc>
        <w:tc>
          <w:tcPr>
            <w:tcW w:type="dxa" w:w="3312"/>
            <w:vAlign w:val="top"/>
            <w:shd w:val="clear" w:color="auto" w:fill="F2F2F2"/>
          </w:tcPr>
          <w:p>
            <w:r/>
            <w:r>
              <w:rPr>
                <w:sz w:val="20"/>
              </w:rPr>
              <w:t>Option RS1 — min=0, max=5, 512 MB</w:t>
            </w:r>
          </w:p>
        </w:tc>
        <w:tc>
          <w:tcPr>
            <w:tcW w:type="dxa" w:w="3312"/>
            <w:vAlign w:val="top"/>
            <w:shd w:val="clear" w:color="auto" w:fill="F2F2F2"/>
          </w:tcPr>
          <w:p>
            <w:r/>
            <w:r>
              <w:rPr>
                <w:sz w:val="20"/>
              </w:rPr>
              <w:t>$0–1</w:t>
            </w:r>
          </w:p>
        </w:tc>
      </w:tr>
      <w:tr>
        <w:tc>
          <w:tcPr>
            <w:tcW w:type="dxa" w:w="3312"/>
            <w:vAlign w:val="top"/>
          </w:tcPr>
          <w:p>
            <w:r/>
            <w:r>
              <w:rPr>
                <w:sz w:val="20"/>
              </w:rPr>
              <w:t>VPC connector</w:t>
            </w:r>
          </w:p>
        </w:tc>
        <w:tc>
          <w:tcPr>
            <w:tcW w:type="dxa" w:w="3312"/>
            <w:vAlign w:val="top"/>
          </w:tcPr>
          <w:p>
            <w:r/>
            <w:r>
              <w:rPr>
                <w:sz w:val="20"/>
              </w:rPr>
              <w:t>Option N1 — e2-micro (upgrade later if needed)</w:t>
            </w:r>
          </w:p>
        </w:tc>
        <w:tc>
          <w:tcPr>
            <w:tcW w:type="dxa" w:w="3312"/>
            <w:vAlign w:val="top"/>
          </w:tcPr>
          <w:p>
            <w:r/>
            <w:r>
              <w:rPr>
                <w:sz w:val="20"/>
              </w:rPr>
              <w:t>$10</w:t>
            </w:r>
          </w:p>
        </w:tc>
      </w:tr>
      <w:tr>
        <w:tc>
          <w:tcPr>
            <w:tcW w:type="dxa" w:w="3312"/>
            <w:vAlign w:val="top"/>
            <w:shd w:val="clear" w:color="auto" w:fill="F2F2F2"/>
          </w:tcPr>
          <w:p>
            <w:r/>
            <w:r>
              <w:rPr>
                <w:sz w:val="20"/>
              </w:rPr>
              <w:t>Storage + others</w:t>
            </w:r>
          </w:p>
        </w:tc>
        <w:tc>
          <w:tcPr>
            <w:tcW w:type="dxa" w:w="3312"/>
            <w:vAlign w:val="top"/>
            <w:shd w:val="clear" w:color="auto" w:fill="F2F2F2"/>
          </w:tcPr>
          <w:p>
            <w:r/>
            <w:r>
              <w:rPr>
                <w:sz w:val="20"/>
              </w:rPr>
              <w:t>Default</w:t>
            </w:r>
          </w:p>
        </w:tc>
        <w:tc>
          <w:tcPr>
            <w:tcW w:type="dxa" w:w="3312"/>
            <w:vAlign w:val="top"/>
            <w:shd w:val="clear" w:color="auto" w:fill="F2F2F2"/>
          </w:tcPr>
          <w:p>
            <w:r/>
            <w:r>
              <w:rPr>
                <w:sz w:val="20"/>
              </w:rPr>
              <w:t>$3–5</w:t>
            </w:r>
          </w:p>
        </w:tc>
      </w:tr>
      <w:tr>
        <w:tc>
          <w:tcPr>
            <w:tcW w:type="dxa" w:w="3312"/>
            <w:vAlign w:val="top"/>
            <w:shd w:val="clear" w:color="auto" w:fill="E2EFDA"/>
          </w:tcPr>
          <w:p>
            <w:r/>
            <w:r>
              <w:rPr>
                <w:sz w:val="20"/>
              </w:rPr>
              <w:t>Total (typical idle)</w:t>
            </w:r>
          </w:p>
        </w:tc>
        <w:tc>
          <w:tcPr>
            <w:tcW w:type="dxa" w:w="3312"/>
            <w:vAlign w:val="top"/>
            <w:shd w:val="clear" w:color="auto" w:fill="E2EFDA"/>
          </w:tcPr>
          <w:p>
            <w:r/>
            <w:r>
              <w:rPr>
                <w:sz w:val="20"/>
              </w:rPr>
            </w:r>
          </w:p>
        </w:tc>
        <w:tc>
          <w:tcPr>
            <w:tcW w:type="dxa" w:w="3312"/>
            <w:vAlign w:val="top"/>
            <w:shd w:val="clear" w:color="auto" w:fill="E2EFDA"/>
          </w:tcPr>
          <w:p>
            <w:r/>
            <w:r>
              <w:rPr>
                <w:sz w:val="20"/>
              </w:rPr>
              <w:t>~$170</w:t>
            </w:r>
          </w:p>
        </w:tc>
      </w:tr>
    </w:tbl>
    <w:p/>
    <w:p>
      <w:pPr>
        <w:pStyle w:val="Heading1"/>
      </w:pPr>
      <w:r>
        <w:rPr>
          <w:color w:val="1A1A1A"/>
        </w:rPr>
        <w:t>Recommendation</w:t>
      </w:r>
    </w:p>
    <w:p>
      <w:r>
        <w:rPr>
          <w:b/>
          <w:sz w:val="22"/>
        </w:rPr>
        <w:t xml:space="preserve">Apply the Lean scenario today. </w:t>
      </w:r>
      <w:r>
        <w:rPr>
          <w:sz w:val="22"/>
        </w:rPr>
        <w:t>It is the cheapest configuration that is still appropriate for production data, preserves the PITR safety net, and matches the staging shape for realistic testing. The platform is pre-launch with no live users; paying for cross-zone failover and warm instances now is hard to justify before there is anyone to notice an outage. The whole stack is held in code, so moving to the Balanced or Full Production scenario is a single change applied with one command on the day real customer load is expected.</w:t>
      </w:r>
    </w:p>
    <w:p/>
    <w:p>
      <w:pPr>
        <w:pStyle w:val="Heading1"/>
      </w:pPr>
      <w:r>
        <w:rPr>
          <w:color w:val="1A1A1A"/>
        </w:rPr>
        <w:t>Decision needed</w:t>
      </w:r>
    </w:p>
    <w:p>
      <w:r>
        <w:rPr>
          <w:b w:val="0"/>
          <w:i w:val="0"/>
          <w:sz w:val="22"/>
        </w:rPr>
        <w:t>Confirm one of the three scenarios above, or specify per-service overrides. Once chosen, the configuration is applied as a single Terraform run (~15-20 minutes) and produces fully isolated staging and production environments under the existing GCP project.</w:t>
      </w:r>
    </w:p>
    <w:p>
      <w:r>
        <w:rPr>
          <w:b w:val="0"/>
          <w:i/>
          <w:color w:val="777777"/>
          <w:sz w:val="20"/>
        </w:rPr>
        <w:t>All choices are reversible. Sizing up or down later is a one-line code change.</w:t>
      </w:r>
    </w:p>
    <w:p>
      <w:r>
        <w:br w:type="page"/>
      </w:r>
    </w:p>
    <w:p>
      <w:pPr>
        <w:pStyle w:val="Heading1"/>
      </w:pPr>
      <w:r>
        <w:rPr>
          <w:color w:val="1A1A1A"/>
        </w:rPr>
        <w:t>Appendix — alternative production database options</w:t>
      </w:r>
    </w:p>
    <w:p>
      <w:r>
        <w:rPr>
          <w:b/>
          <w:color w:val="1A1A1A"/>
          <w:sz w:val="24"/>
        </w:rPr>
        <w:t>Option B — db-g1-small ZONAL  (~$17/mo)  · Cheapest, demo only</w:t>
      </w:r>
    </w:p>
    <w:p>
      <w:r>
        <w:rPr>
          <w:b w:val="0"/>
          <w:i w:val="0"/>
          <w:sz w:val="22"/>
        </w:rPr>
        <w:t>Same instance shape as the staging environment. Shared CPU rather than reserved.</w:t>
      </w:r>
    </w:p>
    <w:p>
      <w:r>
        <w:rPr>
          <w:b/>
          <w:sz w:val="20"/>
        </w:rPr>
        <w:t>Pros</w:t>
      </w:r>
    </w:p>
    <w:p>
      <w:pPr>
        <w:pStyle w:val="ListBullet"/>
      </w:pPr>
      <w:r>
        <w:rPr>
          <w:sz w:val="22"/>
        </w:rPr>
        <w:t>Cheapest possible production database.</w:t>
      </w:r>
    </w:p>
    <w:p>
      <w:pPr>
        <w:pStyle w:val="ListBullet"/>
      </w:pPr>
      <w:r>
        <w:rPr>
          <w:sz w:val="22"/>
        </w:rPr>
        <w:t>Production matches staging exactly.</w:t>
      </w:r>
    </w:p>
    <w:p>
      <w:r>
        <w:rPr>
          <w:b/>
          <w:sz w:val="20"/>
        </w:rPr>
        <w:t>Cons</w:t>
      </w:r>
    </w:p>
    <w:p>
      <w:pPr>
        <w:pStyle w:val="ListBullet"/>
      </w:pPr>
      <w:r>
        <w:rPr>
          <w:sz w:val="22"/>
        </w:rPr>
        <w:t>Shared CPU means performance varies under load.</w:t>
      </w:r>
    </w:p>
    <w:p>
      <w:pPr>
        <w:pStyle w:val="ListBullet"/>
      </w:pPr>
      <w:r>
        <w:rPr>
          <w:sz w:val="22"/>
        </w:rPr>
        <w:t>Not designed by Google for production data.</w:t>
      </w:r>
    </w:p>
    <w:p>
      <w:pPr>
        <w:pStyle w:val="ListBullet"/>
      </w:pPr>
      <w:r>
        <w:rPr>
          <w:sz w:val="22"/>
        </w:rPr>
        <w:t>Limited memory; risk of slow queries or out-of-memory failures as data grows.</w:t>
      </w:r>
    </w:p>
    <w:p/>
    <w:p>
      <w:r>
        <w:rPr>
          <w:b/>
          <w:color w:val="1A1A1A"/>
          <w:sz w:val="24"/>
        </w:rPr>
        <w:t>Option C — db-custom-1-3840 REGIONAL HA + PITR  (~$64/mo)  · Mid-tier with HA</w:t>
      </w:r>
    </w:p>
    <w:p>
      <w:r>
        <w:rPr>
          <w:b w:val="0"/>
          <w:i w:val="0"/>
          <w:sz w:val="22"/>
        </w:rPr>
        <w:t>Smaller CPU/RAM than the full production tier, but keeps the hot-standby replica for automatic failover across zones.</w:t>
      </w:r>
    </w:p>
    <w:p>
      <w:r>
        <w:rPr>
          <w:b/>
          <w:sz w:val="20"/>
        </w:rPr>
        <w:t>Pros</w:t>
      </w:r>
    </w:p>
    <w:p>
      <w:pPr>
        <w:pStyle w:val="ListBullet"/>
      </w:pPr>
      <w:r>
        <w:rPr>
          <w:sz w:val="22"/>
        </w:rPr>
        <w:t>Automatic failover within ~1 minute if a zone fails.</w:t>
      </w:r>
    </w:p>
    <w:p>
      <w:pPr>
        <w:pStyle w:val="ListBullet"/>
      </w:pPr>
      <w:r>
        <w:rPr>
          <w:sz w:val="22"/>
        </w:rPr>
        <w:t>Higher uptime SLA (99.99% vs 99.95% for zonal).</w:t>
      </w:r>
    </w:p>
    <w:p>
      <w:pPr>
        <w:pStyle w:val="ListBullet"/>
      </w:pPr>
      <w:r>
        <w:rPr>
          <w:sz w:val="22"/>
        </w:rPr>
        <w:t>Roughly half the cost of the full production tier while keeping resilience.</w:t>
      </w:r>
    </w:p>
    <w:p>
      <w:r>
        <w:rPr>
          <w:b/>
          <w:sz w:val="20"/>
        </w:rPr>
        <w:t>Cons</w:t>
      </w:r>
    </w:p>
    <w:p>
      <w:pPr>
        <w:pStyle w:val="ListBullet"/>
      </w:pPr>
      <w:r>
        <w:rPr>
          <w:sz w:val="22"/>
        </w:rPr>
        <w:t>Roughly twice Option A while sharing the same CPU/RAM ceiling.</w:t>
      </w:r>
    </w:p>
    <w:p>
      <w:pPr>
        <w:pStyle w:val="ListBullet"/>
      </w:pPr>
      <w:r>
        <w:rPr>
          <w:sz w:val="22"/>
        </w:rPr>
        <w:t>HA value is small until there are real users who would notice an outage.</w:t>
      </w:r>
    </w:p>
    <w:p/>
    <w:p>
      <w:r>
        <w:rPr>
          <w:b/>
          <w:color w:val="1A1A1A"/>
          <w:sz w:val="24"/>
        </w:rPr>
        <w:t>Option D — db-custom-2-7680 ZONAL + PITR  (~$58/mo)  · Full size, no HA</w:t>
      </w:r>
    </w:p>
    <w:p>
      <w:r>
        <w:rPr>
          <w:b w:val="0"/>
          <w:i w:val="0"/>
          <w:sz w:val="22"/>
        </w:rPr>
        <w:t>Full production CPU and RAM, but in a single zone with no hot standby.</w:t>
      </w:r>
    </w:p>
    <w:p>
      <w:r>
        <w:rPr>
          <w:b/>
          <w:sz w:val="20"/>
        </w:rPr>
        <w:t>Pros</w:t>
      </w:r>
    </w:p>
    <w:p>
      <w:pPr>
        <w:pStyle w:val="ListBullet"/>
      </w:pPr>
      <w:r>
        <w:rPr>
          <w:sz w:val="22"/>
        </w:rPr>
        <w:t>Comfortable CPU/RAM headroom for heavier workloads.</w:t>
      </w:r>
    </w:p>
    <w:p>
      <w:pPr>
        <w:pStyle w:val="ListBullet"/>
      </w:pPr>
      <w:r>
        <w:rPr>
          <w:sz w:val="22"/>
        </w:rPr>
        <w:t>Cheaper than full HA configuration.</w:t>
      </w:r>
    </w:p>
    <w:p>
      <w:r>
        <w:rPr>
          <w:b/>
          <w:sz w:val="20"/>
        </w:rPr>
        <w:t>Cons</w:t>
      </w:r>
    </w:p>
    <w:p>
      <w:pPr>
        <w:pStyle w:val="ListBullet"/>
      </w:pPr>
      <w:r>
        <w:rPr>
          <w:sz w:val="22"/>
        </w:rPr>
        <w:t>Single-zone risk same as Option A.</w:t>
      </w:r>
    </w:p>
    <w:p>
      <w:pPr>
        <w:pStyle w:val="ListBullet"/>
      </w:pPr>
      <w:r>
        <w:rPr>
          <w:sz w:val="22"/>
        </w:rPr>
        <w:t>Pays for headroom that the platform will not use until real users arrive.</w:t>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