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B7123">
      <w:pPr>
        <w:spacing w:line="240" w:lineRule="auto"/>
        <w:ind w:left="0" w:hanging="2"/>
        <w:rPr>
          <w:vertAlign w:val="subscript"/>
        </w:rPr>
      </w:pPr>
    </w:p>
    <w:p w14:paraId="71C014D8">
      <w:pPr>
        <w:ind w:left="1" w:hanging="3"/>
        <w:jc w:val="center"/>
        <w:rPr>
          <w:rFonts w:ascii="Book Antiqua" w:hAnsi="Book Antiqua" w:eastAsia="Book Antiqua" w:cs="Book Antiqua"/>
          <w:sz w:val="28"/>
          <w:szCs w:val="28"/>
        </w:rPr>
      </w:pPr>
      <w:r>
        <w:rPr>
          <w:rFonts w:ascii="Book Antiqua" w:hAnsi="Book Antiqua" w:eastAsia="Book Antiqua" w:cs="Book Antiqua"/>
          <w:b/>
          <w:sz w:val="28"/>
          <w:szCs w:val="28"/>
        </w:rPr>
        <w:t>“Judul ditulis Menggunakan Bahasa Indonesia yang menarik,informatif,singkat dan jelas dengan menggunakan kurang lebih 15 Kata' (14’)</w:t>
      </w:r>
      <w:r>
        <w:rPr>
          <w:rFonts w:ascii="Book Antiqua" w:hAnsi="Book Antiqua" w:eastAsia="Book Antiqua" w:cs="Book Antiqua"/>
          <w:color w:val="44546A"/>
        </w:rPr>
        <w:t xml:space="preserve"> </w:t>
      </w:r>
      <w:r>
        <w:rPr>
          <w:rFonts w:ascii="Book Antiqua" w:hAnsi="Book Antiqua" w:eastAsia="Book Antiqua" w:cs="Book Antiqua"/>
          <w:color w:val="44546A"/>
          <w:sz w:val="28"/>
          <w:szCs w:val="28"/>
        </w:rPr>
        <w:t>…. (Type the title of yor paper here)</w:t>
      </w:r>
    </w:p>
    <w:p w14:paraId="70EC8718">
      <w:pPr>
        <w:pBdr>
          <w:top w:val="none" w:color="auto" w:sz="0" w:space="0"/>
          <w:left w:val="none" w:color="auto" w:sz="0" w:space="0"/>
          <w:bottom w:val="none" w:color="auto" w:sz="0" w:space="0"/>
          <w:right w:val="none" w:color="auto" w:sz="0" w:space="0"/>
          <w:between w:val="none" w:color="auto" w:sz="0" w:space="0"/>
        </w:pBdr>
        <w:spacing w:line="240" w:lineRule="auto"/>
        <w:ind w:left="0" w:hanging="2"/>
        <w:rPr>
          <w:rFonts w:ascii="Book Antiqua" w:hAnsi="Book Antiqua" w:eastAsia="Book Antiqua" w:cs="Book Antiqua"/>
          <w:color w:val="000000"/>
        </w:rPr>
      </w:pPr>
    </w:p>
    <w:p w14:paraId="3D07A1D3">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center"/>
        <w:rPr>
          <w:rFonts w:ascii="Book Antiqua" w:hAnsi="Book Antiqua" w:eastAsia="Book Antiqua" w:cs="Book Antiqua"/>
          <w:color w:val="000000"/>
          <w:sz w:val="22"/>
          <w:szCs w:val="22"/>
        </w:rPr>
      </w:pPr>
      <w:r>
        <w:rPr>
          <w:rFonts w:ascii="Book Antiqua" w:hAnsi="Book Antiqua" w:eastAsia="Book Antiqua" w:cs="Book Antiqua"/>
          <w:b/>
          <w:color w:val="000000"/>
          <w:sz w:val="20"/>
          <w:szCs w:val="20"/>
        </w:rPr>
        <w:t>Khoirul Jazilah</w:t>
      </w:r>
      <w:r>
        <w:rPr>
          <w:rFonts w:ascii="Book Antiqua" w:hAnsi="Book Antiqua" w:eastAsia="Book Antiqua" w:cs="Book Antiqua"/>
          <w:b/>
          <w:color w:val="000000"/>
          <w:sz w:val="20"/>
          <w:szCs w:val="20"/>
          <w:vertAlign w:val="superscript"/>
        </w:rPr>
        <w:t>1</w:t>
      </w:r>
      <w:r>
        <w:rPr>
          <w:rFonts w:ascii="Book Antiqua" w:hAnsi="Book Antiqua" w:eastAsia="Book Antiqua" w:cs="Book Antiqua"/>
          <w:b/>
          <w:color w:val="000000"/>
          <w:sz w:val="20"/>
          <w:szCs w:val="20"/>
        </w:rPr>
        <w:t>, Imam Wahyudi</w:t>
      </w:r>
      <w:r>
        <w:rPr>
          <w:rFonts w:ascii="Book Antiqua" w:hAnsi="Book Antiqua" w:eastAsia="Book Antiqua" w:cs="Book Antiqua"/>
          <w:b/>
          <w:color w:val="000000"/>
          <w:sz w:val="20"/>
          <w:szCs w:val="20"/>
          <w:vertAlign w:val="superscript"/>
        </w:rPr>
        <w:t>2</w:t>
      </w:r>
      <w:r>
        <w:rPr>
          <w:rFonts w:ascii="Book Antiqua" w:hAnsi="Book Antiqua" w:eastAsia="Book Antiqua" w:cs="Book Antiqua"/>
          <w:b/>
          <w:color w:val="000000"/>
          <w:sz w:val="20"/>
          <w:szCs w:val="20"/>
        </w:rPr>
        <w:t>, Third C. Author (10 pt)</w:t>
      </w:r>
    </w:p>
    <w:p w14:paraId="68D7EA1A">
      <w:pPr>
        <w:spacing w:after="360"/>
        <w:ind w:left="0" w:hanging="2"/>
        <w:jc w:val="center"/>
        <w:rPr>
          <w:rFonts w:ascii="Book Antiqua" w:hAnsi="Book Antiqua" w:eastAsia="Book Antiqua" w:cs="Book Antiqua"/>
          <w:sz w:val="18"/>
          <w:szCs w:val="18"/>
        </w:rPr>
      </w:pPr>
      <w:r>
        <w:rPr>
          <w:rFonts w:ascii="Book Antiqua" w:hAnsi="Book Antiqua" w:eastAsia="Book Antiqua" w:cs="Book Antiqua"/>
          <w:sz w:val="18"/>
          <w:szCs w:val="18"/>
          <w:vertAlign w:val="superscript"/>
        </w:rPr>
        <w:t>1</w:t>
      </w:r>
      <w:r>
        <w:rPr>
          <w:rFonts w:ascii="Book Antiqua" w:hAnsi="Book Antiqua" w:eastAsia="Book Antiqua" w:cs="Book Antiqua"/>
          <w:sz w:val="18"/>
          <w:szCs w:val="18"/>
        </w:rPr>
        <w:t>Institut Agama islam Uluwiyah Mojokerto, Indonesia, email:Penulis1@...(9 pt)</w:t>
      </w:r>
      <w:r>
        <w:rPr>
          <w:rFonts w:ascii="Book Antiqua" w:hAnsi="Book Antiqua" w:eastAsia="Book Antiqua" w:cs="Book Antiqua"/>
          <w:sz w:val="18"/>
          <w:szCs w:val="18"/>
        </w:rPr>
        <w:br w:type="textWrapping"/>
      </w:r>
      <w:r>
        <w:rPr>
          <w:rFonts w:ascii="Book Antiqua" w:hAnsi="Book Antiqua" w:eastAsia="Book Antiqua" w:cs="Book Antiqua"/>
          <w:sz w:val="18"/>
          <w:szCs w:val="18"/>
          <w:vertAlign w:val="superscript"/>
        </w:rPr>
        <w:t>2</w:t>
      </w:r>
      <w:r>
        <w:rPr>
          <w:rFonts w:ascii="Book Antiqua" w:hAnsi="Book Antiqua" w:eastAsia="Book Antiqua" w:cs="Book Antiqua"/>
          <w:sz w:val="18"/>
          <w:szCs w:val="18"/>
        </w:rPr>
        <w:t>Business or Academic Affiliation, City, Country, email: ....(9 pt)</w:t>
      </w:r>
      <w:r>
        <w:rPr>
          <w:rFonts w:ascii="Book Antiqua" w:hAnsi="Book Antiqua" w:eastAsia="Book Antiqua" w:cs="Book Antiqua"/>
          <w:sz w:val="18"/>
          <w:szCs w:val="18"/>
        </w:rPr>
        <w:br w:type="textWrapping"/>
      </w:r>
      <w:r>
        <w:rPr>
          <w:rFonts w:ascii="Book Antiqua" w:hAnsi="Book Antiqua" w:eastAsia="Book Antiqua" w:cs="Book Antiqua"/>
          <w:sz w:val="18"/>
          <w:szCs w:val="18"/>
          <w:vertAlign w:val="superscript"/>
        </w:rPr>
        <w:t>3</w:t>
      </w:r>
      <w:r>
        <w:rPr>
          <w:rFonts w:ascii="Book Antiqua" w:hAnsi="Book Antiqua" w:eastAsia="Book Antiqua" w:cs="Book Antiqua"/>
          <w:sz w:val="18"/>
          <w:szCs w:val="18"/>
        </w:rPr>
        <w:t>Business or Academic Affiliation, City, Country, email: ....(9 pt)</w:t>
      </w:r>
    </w:p>
    <w:tbl>
      <w:tblPr>
        <w:tblStyle w:val="43"/>
        <w:tblW w:w="9571" w:type="dxa"/>
        <w:tblInd w:w="-108"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802"/>
        <w:gridCol w:w="283"/>
        <w:gridCol w:w="6486"/>
      </w:tblGrid>
      <w:tr w14:paraId="6BA98C7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cantSplit/>
          <w:trHeight w:val="230" w:hRule="atLeast"/>
        </w:trPr>
        <w:tc>
          <w:tcPr>
            <w:tcW w:w="2802" w:type="dxa"/>
            <w:tcBorders>
              <w:bottom w:val="single" w:color="000000" w:sz="4" w:space="0"/>
              <w:right w:val="nil"/>
            </w:tcBorders>
          </w:tcPr>
          <w:p w14:paraId="3E3CC81A">
            <w:pPr>
              <w:pBdr>
                <w:top w:val="none" w:color="auto" w:sz="0" w:space="0"/>
                <w:left w:val="none" w:color="auto" w:sz="0" w:space="0"/>
                <w:bottom w:val="none" w:color="auto" w:sz="0" w:space="0"/>
                <w:right w:val="none" w:color="auto" w:sz="0" w:space="0"/>
                <w:between w:val="none" w:color="auto" w:sz="0" w:space="0"/>
              </w:pBdr>
              <w:spacing w:line="240" w:lineRule="auto"/>
              <w:ind w:left="0" w:hanging="2"/>
              <w:rPr>
                <w:rFonts w:ascii="Book Antiqua" w:hAnsi="Book Antiqua" w:eastAsia="Book Antiqua" w:cs="Book Antiqua"/>
                <w:color w:val="000000"/>
                <w:sz w:val="18"/>
                <w:szCs w:val="18"/>
              </w:rPr>
            </w:pPr>
            <w:r>
              <w:rPr>
                <w:rFonts w:ascii="Book Antiqua" w:hAnsi="Book Antiqua" w:eastAsia="Book Antiqua" w:cs="Book Antiqua"/>
                <w:b/>
                <w:color w:val="000000"/>
                <w:sz w:val="18"/>
                <w:szCs w:val="18"/>
              </w:rPr>
              <w:t>Info Artikel</w:t>
            </w:r>
          </w:p>
        </w:tc>
        <w:tc>
          <w:tcPr>
            <w:tcW w:w="283" w:type="dxa"/>
            <w:vMerge w:val="restart"/>
            <w:tcBorders>
              <w:left w:val="nil"/>
              <w:right w:val="nil"/>
            </w:tcBorders>
          </w:tcPr>
          <w:p w14:paraId="3CD5736C">
            <w:pPr>
              <w:pBdr>
                <w:top w:val="none" w:color="auto" w:sz="0" w:space="0"/>
                <w:left w:val="none" w:color="auto" w:sz="0" w:space="0"/>
                <w:bottom w:val="none" w:color="auto" w:sz="0" w:space="0"/>
                <w:right w:val="none" w:color="auto" w:sz="0" w:space="0"/>
                <w:between w:val="none" w:color="auto" w:sz="0" w:space="0"/>
              </w:pBdr>
              <w:spacing w:line="240" w:lineRule="auto"/>
              <w:ind w:left="0" w:hanging="2"/>
              <w:rPr>
                <w:rFonts w:ascii="Book Antiqua" w:hAnsi="Book Antiqua" w:eastAsia="Book Antiqua" w:cs="Book Antiqua"/>
                <w:color w:val="000000"/>
                <w:sz w:val="18"/>
                <w:szCs w:val="18"/>
              </w:rPr>
            </w:pPr>
          </w:p>
        </w:tc>
        <w:tc>
          <w:tcPr>
            <w:tcW w:w="6486" w:type="dxa"/>
            <w:tcBorders>
              <w:left w:val="nil"/>
            </w:tcBorders>
          </w:tcPr>
          <w:p w14:paraId="63B9D83D">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b/>
                <w:color w:val="000000"/>
                <w:sz w:val="18"/>
                <w:szCs w:val="18"/>
              </w:rPr>
              <w:t xml:space="preserve">ABSTRACT </w:t>
            </w:r>
            <w:r>
              <w:rPr>
                <w:rFonts w:ascii="Book Antiqua" w:hAnsi="Book Antiqua" w:eastAsia="Book Antiqua" w:cs="Book Antiqua"/>
                <w:color w:val="000000"/>
                <w:sz w:val="18"/>
                <w:szCs w:val="18"/>
              </w:rPr>
              <w:t>(9 pt)</w:t>
            </w:r>
          </w:p>
        </w:tc>
      </w:tr>
      <w:tr w14:paraId="6FB2700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cantSplit/>
          <w:trHeight w:val="230" w:hRule="atLeast"/>
        </w:trPr>
        <w:tc>
          <w:tcPr>
            <w:tcW w:w="2802" w:type="dxa"/>
            <w:tcBorders>
              <w:right w:val="nil"/>
            </w:tcBorders>
          </w:tcPr>
          <w:p w14:paraId="627F08DF">
            <w:pPr>
              <w:ind w:left="0" w:hanging="2"/>
              <w:jc w:val="both"/>
              <w:rPr>
                <w:rFonts w:ascii="Book Antiqua" w:hAnsi="Book Antiqua" w:eastAsia="Book Antiqua" w:cs="Book Antiqua"/>
                <w:sz w:val="18"/>
                <w:szCs w:val="18"/>
              </w:rPr>
            </w:pPr>
            <w:r>
              <w:rPr>
                <w:rFonts w:ascii="Book Antiqua" w:hAnsi="Book Antiqua" w:eastAsia="Book Antiqua" w:cs="Book Antiqua"/>
                <w:b/>
                <w:i/>
                <w:sz w:val="18"/>
                <w:szCs w:val="18"/>
              </w:rPr>
              <w:t>Article history:</w:t>
            </w:r>
          </w:p>
          <w:p w14:paraId="3E844A39">
            <w:pPr>
              <w:ind w:left="0" w:hanging="2"/>
              <w:rPr>
                <w:rFonts w:ascii="Book Antiqua" w:hAnsi="Book Antiqua" w:eastAsia="Book Antiqua" w:cs="Book Antiqua"/>
                <w:sz w:val="18"/>
                <w:szCs w:val="18"/>
              </w:rPr>
            </w:pPr>
            <w:r>
              <w:rPr>
                <w:rFonts w:ascii="Book Antiqua" w:hAnsi="Book Antiqua" w:eastAsia="Book Antiqua" w:cs="Book Antiqua"/>
                <w:sz w:val="18"/>
                <w:szCs w:val="18"/>
              </w:rPr>
              <w:t>Received: -</w:t>
            </w:r>
          </w:p>
          <w:p w14:paraId="7420462B">
            <w:pPr>
              <w:ind w:left="0" w:hanging="2"/>
              <w:rPr>
                <w:rFonts w:ascii="Book Antiqua" w:hAnsi="Book Antiqua" w:eastAsia="Book Antiqua" w:cs="Book Antiqua"/>
                <w:sz w:val="18"/>
                <w:szCs w:val="18"/>
              </w:rPr>
            </w:pPr>
            <w:r>
              <w:rPr>
                <w:rFonts w:ascii="Book Antiqua" w:hAnsi="Book Antiqua" w:eastAsia="Book Antiqua" w:cs="Book Antiqua"/>
                <w:sz w:val="18"/>
                <w:szCs w:val="18"/>
              </w:rPr>
              <w:t>Accepted: -</w:t>
            </w:r>
          </w:p>
          <w:p w14:paraId="1530DB2E">
            <w:pPr>
              <w:ind w:left="0" w:hanging="2"/>
              <w:rPr>
                <w:rFonts w:ascii="Book Antiqua" w:hAnsi="Book Antiqua" w:eastAsia="Book Antiqua" w:cs="Book Antiqua"/>
                <w:sz w:val="18"/>
                <w:szCs w:val="18"/>
              </w:rPr>
            </w:pPr>
            <w:r>
              <w:rPr>
                <w:rFonts w:ascii="Book Antiqua" w:hAnsi="Book Antiqua" w:eastAsia="Book Antiqua" w:cs="Book Antiqua"/>
                <w:sz w:val="18"/>
                <w:szCs w:val="18"/>
              </w:rPr>
              <w:t xml:space="preserve">Published online: - </w:t>
            </w:r>
          </w:p>
        </w:tc>
        <w:tc>
          <w:tcPr>
            <w:tcW w:w="283" w:type="dxa"/>
            <w:vMerge w:val="continue"/>
            <w:tcBorders>
              <w:left w:val="nil"/>
              <w:right w:val="nil"/>
            </w:tcBorders>
          </w:tcPr>
          <w:p w14:paraId="0E553B6C">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Book Antiqua" w:hAnsi="Book Antiqua" w:eastAsia="Book Antiqua" w:cs="Book Antiqua"/>
                <w:sz w:val="18"/>
                <w:szCs w:val="18"/>
              </w:rPr>
            </w:pPr>
          </w:p>
        </w:tc>
        <w:tc>
          <w:tcPr>
            <w:tcW w:w="6486" w:type="dxa"/>
            <w:vMerge w:val="restart"/>
            <w:tcBorders>
              <w:left w:val="nil"/>
            </w:tcBorders>
          </w:tcPr>
          <w:p w14:paraId="3E29EF02">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color w:val="000000"/>
                <w:sz w:val="18"/>
                <w:szCs w:val="18"/>
              </w:rPr>
              <w:t>perkembangan teknologi digital menyebabkan perubahan besar dalam dunia pendidikan, termasuk belajar tentang pendidikan agama Islam (PAI). Inovasi seperti kecerdasan buatan (AI) dan realitas virtual (VR) menawarkan cara baru untuk menyediakan bahan -bahan materi agama yang lebih interaktif dan lebih efektif. Sementara AI memungkinkan untuk mempersonalisasikan pembelajaran, menganalisis kinerja siswa dan umpan balik yang lebih akurat, VR menawarkan pengalaman yang lebih dalam untuk memahami sejarah Islam dan praktik ibadah.</w:t>
            </w:r>
          </w:p>
          <w:p w14:paraId="69C3009B">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color w:val="000000"/>
                <w:sz w:val="18"/>
                <w:szCs w:val="18"/>
              </w:rPr>
              <w:t>Selanjutnya, integrasi media digital dalam kurikulum PAI seperti e-learning, aplikasi Islam, dan platform multimedia juga mendukung metode pembelajaran yang lebih adaptif dan menarik. Namun, implementasi teknologi ini juga menghadapi tantangan seperti motivasi pendidik, literasi digital siswa, dan aspek etika penggunaan media digital.</w:t>
            </w:r>
          </w:p>
          <w:p w14:paraId="76D54B30">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color w:val="000000"/>
                <w:sz w:val="18"/>
                <w:szCs w:val="18"/>
              </w:rPr>
              <w:t>Tujuan dari penelitian ini adalah untuk menganalisis tren media masa depan dalam pembelajaran Islam. Ini berfokus pada inovasi KI dan VR dan strategi integrasi untuk media digital dalam kurikulum PAI. Akuisisi yang akurat dari teknologi ini diharapkan lebih efektif, lebih relevan dan tergantung pada persyaratan generasi digital.</w:t>
            </w:r>
          </w:p>
        </w:tc>
      </w:tr>
      <w:tr w14:paraId="45BAE3A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cantSplit/>
          <w:trHeight w:val="230" w:hRule="atLeast"/>
        </w:trPr>
        <w:tc>
          <w:tcPr>
            <w:tcW w:w="2802" w:type="dxa"/>
            <w:tcBorders>
              <w:right w:val="nil"/>
            </w:tcBorders>
          </w:tcPr>
          <w:p w14:paraId="2B81165C">
            <w:pPr>
              <w:ind w:left="0" w:hanging="2"/>
              <w:jc w:val="both"/>
              <w:rPr>
                <w:rFonts w:ascii="Book Antiqua" w:hAnsi="Book Antiqua" w:eastAsia="Book Antiqua" w:cs="Book Antiqua"/>
                <w:sz w:val="18"/>
                <w:szCs w:val="18"/>
              </w:rPr>
            </w:pPr>
            <w:r>
              <w:rPr>
                <w:rFonts w:ascii="Book Antiqua" w:hAnsi="Book Antiqua" w:eastAsia="Book Antiqua" w:cs="Book Antiqua"/>
                <w:b/>
                <w:i/>
                <w:sz w:val="18"/>
                <w:szCs w:val="18"/>
              </w:rPr>
              <w:t>Keywords:</w:t>
            </w:r>
          </w:p>
          <w:p w14:paraId="1243A276">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 xml:space="preserve">Teknologi Pendidikan </w:t>
            </w:r>
          </w:p>
          <w:p w14:paraId="47BC56F1">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AI (kecerdasan buatan)</w:t>
            </w:r>
          </w:p>
          <w:p w14:paraId="1F603FBB">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VR (realitas virtual)</w:t>
            </w:r>
          </w:p>
          <w:p w14:paraId="4A79BD27">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Media digital</w:t>
            </w:r>
          </w:p>
          <w:p w14:paraId="3B5A614D">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Kurikulum PAI</w:t>
            </w:r>
          </w:p>
        </w:tc>
        <w:tc>
          <w:tcPr>
            <w:tcW w:w="283" w:type="dxa"/>
            <w:vMerge w:val="continue"/>
            <w:tcBorders>
              <w:left w:val="nil"/>
              <w:right w:val="nil"/>
            </w:tcBorders>
          </w:tcPr>
          <w:p w14:paraId="1553A28A">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Book Antiqua" w:hAnsi="Book Antiqua" w:eastAsia="Book Antiqua" w:cs="Book Antiqua"/>
                <w:sz w:val="18"/>
                <w:szCs w:val="18"/>
              </w:rPr>
            </w:pPr>
          </w:p>
        </w:tc>
        <w:tc>
          <w:tcPr>
            <w:tcW w:w="6486" w:type="dxa"/>
            <w:vMerge w:val="continue"/>
            <w:tcBorders>
              <w:left w:val="nil"/>
            </w:tcBorders>
          </w:tcPr>
          <w:p w14:paraId="448F3A43">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Book Antiqua" w:hAnsi="Book Antiqua" w:eastAsia="Book Antiqua" w:cs="Book Antiqua"/>
                <w:sz w:val="18"/>
                <w:szCs w:val="18"/>
              </w:rPr>
            </w:pPr>
          </w:p>
        </w:tc>
      </w:tr>
    </w:tbl>
    <w:p w14:paraId="2DBD1454">
      <w:pPr>
        <w:ind w:left="0" w:hanging="2"/>
        <w:jc w:val="both"/>
        <w:rPr>
          <w:rFonts w:ascii="Book Antiqua" w:hAnsi="Book Antiqua" w:eastAsia="Book Antiqua" w:cs="Book Antiqua"/>
          <w:color w:val="0000FF"/>
        </w:rPr>
      </w:pPr>
    </w:p>
    <w:p w14:paraId="49C1A1FF">
      <w:pPr>
        <w:ind w:left="0" w:hanging="2"/>
        <w:jc w:val="both"/>
        <w:rPr>
          <w:rFonts w:ascii="Book Antiqua" w:hAnsi="Book Antiqua" w:eastAsia="Book Antiqua" w:cs="Book Antiqua"/>
          <w:b/>
        </w:rPr>
      </w:pPr>
      <w:r>
        <w:rPr>
          <w:rFonts w:ascii="Book Antiqua" w:hAnsi="Book Antiqua" w:eastAsia="Book Antiqua" w:cs="Book Antiqua"/>
          <w:b/>
        </w:rPr>
        <w:t>PENDAHULUAN</w:t>
      </w:r>
    </w:p>
    <w:p w14:paraId="188F12DD">
      <w:pPr>
        <w:ind w:left="0" w:leftChars="0" w:firstLine="0" w:firstLineChars="0"/>
        <w:jc w:val="both"/>
        <w:rPr>
          <w:rFonts w:hint="default" w:ascii="Book Antiqua" w:hAnsi="Book Antiqua" w:eastAsia="Book Antiqua"/>
          <w:b w:val="0"/>
          <w:bCs/>
        </w:rPr>
      </w:pPr>
    </w:p>
    <w:p w14:paraId="2A18B15A">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Perkembangan dalam teknologi digital terus meningkat pesat dan memberikan efek yang signifikan di berbagai bidang kehidupan, termasuk pendidikan Islam. Metode pembelajaran Pendidikan Agama Islam (PAI) yang sebelumnya lebih dominan menggunakan pendekatan tradisional kini menghadapi berbagai tantangan sekaligus kesempatan besar untuk menggabungkan teknologi modern. Kecerdasan Buatan (AI) dan Realitas Virtual (VR) muncul sebagai inovasi yang dapat mengubah cara pembelajaran Islam, baik di institusi pendidikan formal maupun lembaga pendidikan non-formal seperti pesantren dan madrasah.</w:t>
      </w:r>
    </w:p>
    <w:p w14:paraId="5C382DED">
      <w:pPr>
        <w:ind w:left="0" w:hanging="2"/>
        <w:jc w:val="both"/>
        <w:rPr>
          <w:rFonts w:hint="default" w:ascii="Book Antiqua" w:hAnsi="Book Antiqua" w:eastAsia="Book Antiqua"/>
          <w:b w:val="0"/>
          <w:bCs/>
        </w:rPr>
      </w:pPr>
    </w:p>
    <w:p w14:paraId="1D698941">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AI dapat berfungsi dalam mempersonalisasi proses belajar, menawarkan pengalaman interaktif yang didukung data, serta meningkatkan efektivitas pengujian pembelajaran. Di sisi lain, VR memberikan kesempatan bagi siswa untuk merasakan pengalaman mendalam dalam memahami sejarah Islam, menjalankan praktik ibadah, dan melakukan perjalanan virtual ke lokasi-lokasi suci seperti Makkah dan Madinah. Pendekatan inovatif ini tidak hanya membuat pembelajaran lebih menarik, tetapi juga membantu peserta didik untuk memahami konsep-konsep keagamaan secara lebih mendalam dan sesuai konteks.</w:t>
      </w:r>
    </w:p>
    <w:p w14:paraId="30634EC2">
      <w:pPr>
        <w:ind w:left="0" w:hanging="2"/>
        <w:jc w:val="both"/>
        <w:rPr>
          <w:rFonts w:hint="default" w:ascii="Book Antiqua" w:hAnsi="Book Antiqua" w:eastAsia="Book Antiqua"/>
          <w:b w:val="0"/>
          <w:bCs/>
        </w:rPr>
      </w:pPr>
    </w:p>
    <w:p w14:paraId="01AD2F03">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Di samping AI dan VR, media digital secara umum memainkan peran penting dalam memperbarui kurikulum PAI. Penggunaan e-learning, aplikasi berbasis Islami, serta platform video dan multimedia dapat meningkatkan akses dan keterlibatan siswa dalam memahami ajaran Islam. Namun, penerapan media digital dalam pembelajaran PAI juga dihadapkan pada berbagai tantangan, seperti kesiapan tenaga pengajar, tingkat literasi digital siswa, serta isu-isu etika dan keamanan dalam penerapan teknologi.</w:t>
      </w:r>
    </w:p>
    <w:p w14:paraId="0CF94F0A">
      <w:pPr>
        <w:ind w:left="0" w:hanging="2"/>
        <w:jc w:val="both"/>
        <w:rPr>
          <w:rFonts w:hint="default" w:ascii="Book Antiqua" w:hAnsi="Book Antiqua" w:eastAsia="Book Antiqua"/>
          <w:b w:val="0"/>
          <w:bCs/>
        </w:rPr>
      </w:pPr>
    </w:p>
    <w:p w14:paraId="7819630F">
      <w:pPr>
        <w:ind w:left="238" w:leftChars="99" w:firstLine="357" w:firstLineChars="149"/>
        <w:jc w:val="both"/>
        <w:rPr>
          <w:rFonts w:ascii="Book Antiqua" w:hAnsi="Book Antiqua" w:eastAsia="Book Antiqua" w:cs="Book Antiqua"/>
          <w:b w:val="0"/>
          <w:bCs/>
        </w:rPr>
      </w:pPr>
      <w:r>
        <w:rPr>
          <w:rFonts w:hint="default" w:ascii="Book Antiqua" w:hAnsi="Book Antiqua" w:eastAsia="Book Antiqua"/>
          <w:b w:val="0"/>
          <w:bCs/>
        </w:rPr>
        <w:t>Artikel ini bertujuan untuk mengkaji tren masa depan media dalam pendidikan Islam dengan fokus pada inovasi AI dan VR, serta strategi pengintegrasian media digital ke dalam kurikulum PAI. Dengan cara ini, diharapkan dapat ditemukan solusi yang efektif untuk menghadapi era digitalisasi pendidikan Islam yang lebih sesuai dan adaptif terhadap kebutuhan saat ini.</w:t>
      </w:r>
    </w:p>
    <w:p w14:paraId="4C4A09BD">
      <w:pPr>
        <w:ind w:left="0" w:hanging="2"/>
        <w:jc w:val="both"/>
        <w:rPr>
          <w:rFonts w:ascii="Book Antiqua" w:hAnsi="Book Antiqua" w:eastAsia="Book Antiqua" w:cs="Book Antiqua"/>
          <w:b w:val="0"/>
          <w:bCs/>
        </w:rPr>
      </w:pPr>
    </w:p>
    <w:p w14:paraId="62AC4E37">
      <w:pPr>
        <w:ind w:left="0" w:hanging="2"/>
        <w:jc w:val="both"/>
        <w:rPr>
          <w:rFonts w:ascii="Book Antiqua" w:hAnsi="Book Antiqua" w:eastAsia="Book Antiqua" w:cs="Book Antiqua"/>
          <w:b/>
        </w:rPr>
      </w:pPr>
    </w:p>
    <w:p w14:paraId="2FFB0C97">
      <w:pPr>
        <w:ind w:left="0" w:leftChars="0" w:firstLine="0" w:firstLineChars="0"/>
        <w:jc w:val="both"/>
        <w:rPr>
          <w:rFonts w:ascii="Book Antiqua" w:hAnsi="Book Antiqua" w:eastAsia="Book Antiqua" w:cs="Book Antiqua"/>
          <w:b/>
        </w:rPr>
      </w:pPr>
      <w:r>
        <w:rPr>
          <w:rFonts w:ascii="Book Antiqua" w:hAnsi="Book Antiqua" w:eastAsia="Book Antiqua" w:cs="Book Antiqua"/>
          <w:b/>
        </w:rPr>
        <w:t>METODE PENELITIAN</w:t>
      </w:r>
    </w:p>
    <w:p w14:paraId="050900AB">
      <w:pPr>
        <w:tabs>
          <w:tab w:val="left" w:pos="561"/>
        </w:tabs>
        <w:ind w:left="238" w:leftChars="99" w:firstLine="357" w:firstLineChars="149"/>
        <w:rPr>
          <w:rFonts w:hint="default"/>
          <w:b w:val="0"/>
          <w:bCs w:val="0"/>
        </w:rPr>
      </w:pPr>
      <w:r>
        <w:rPr>
          <w:rFonts w:hint="default"/>
          <w:b w:val="0"/>
          <w:bCs w:val="0"/>
        </w:rPr>
        <w:t>Penelitian ini mengadopsi pendekatan kualitatif dengan jenis deskriptif eksploratif, ditujukan untuk menganalisis kecenderungan media di masa depan dalam pembelajaran Islam, terutama pemanfaatan integrasi AI, VR, dan media digital dalam kurikulum Pendidikan Agama Islam (PAI). Lokasi penelitian ditargetkan dengan purposif pada lembaga pendidikan Islam yang telah mengimplementasikan inovasi teknologi dalam proses pengajarnya. Subjek penelitian melibatkan para pengajar dan dosen PAI, mahasiswa, pengembang media digital, serta ahli dalam bidang pendidikan dan teknologi.</w:t>
      </w:r>
    </w:p>
    <w:p w14:paraId="7CF5FB86">
      <w:pPr>
        <w:tabs>
          <w:tab w:val="left" w:pos="561"/>
        </w:tabs>
        <w:ind w:left="0" w:leftChars="0" w:firstLine="0" w:firstLineChars="0"/>
        <w:rPr>
          <w:rFonts w:hint="default"/>
          <w:b w:val="0"/>
          <w:bCs w:val="0"/>
        </w:rPr>
      </w:pPr>
    </w:p>
    <w:p w14:paraId="6C3B423C">
      <w:pPr>
        <w:tabs>
          <w:tab w:val="left" w:pos="561"/>
        </w:tabs>
        <w:ind w:left="238" w:leftChars="99" w:firstLine="357" w:firstLineChars="149"/>
        <w:rPr>
          <w:rFonts w:hint="default"/>
          <w:b w:val="0"/>
          <w:bCs w:val="0"/>
        </w:rPr>
      </w:pPr>
      <w:r>
        <w:rPr>
          <w:rFonts w:hint="default"/>
          <w:b w:val="0"/>
          <w:bCs w:val="0"/>
        </w:rPr>
        <w:t>Data diperoleh melalui wawancara mendalam, observasi partisipatif, dan studi dokumentasi. Wawancara dilaksanakan untuk menggali pengalaman dan pendapat informan mengenai penerapan teknologi dalam pengajaran Islam. Observasi digunakan untuk mengamati secara langsung cara pemanfaatan AI dan VR dalam kelas. Dokumentasi mencakup analisis kurikulum, rencana pengajaran, dan platform pembelajaran yang digunakan.</w:t>
      </w:r>
    </w:p>
    <w:p w14:paraId="0DB3F3C5">
      <w:pPr>
        <w:tabs>
          <w:tab w:val="left" w:pos="561"/>
        </w:tabs>
        <w:ind w:left="0" w:leftChars="0" w:firstLine="0" w:firstLineChars="0"/>
        <w:rPr>
          <w:rFonts w:hint="default"/>
          <w:b w:val="0"/>
          <w:bCs w:val="0"/>
        </w:rPr>
      </w:pPr>
    </w:p>
    <w:p w14:paraId="0698944F">
      <w:pPr>
        <w:tabs>
          <w:tab w:val="left" w:pos="561"/>
        </w:tabs>
        <w:ind w:left="0" w:leftChars="0" w:firstLine="480" w:firstLineChars="200"/>
        <w:rPr>
          <w:b w:val="0"/>
          <w:bCs w:val="0"/>
        </w:rPr>
      </w:pPr>
      <w:r>
        <w:rPr>
          <w:rFonts w:hint="default"/>
          <w:b w:val="0"/>
          <w:bCs w:val="0"/>
        </w:rPr>
        <w:t>Analisis data mengikuti model Miles dan Huberman, yang terdiri dari reduksi data, penyajian data, serta pengambilan kesimpulan. Validitas data dipastikan dengan triangulasi sumber dan metode, serta melakukan konfirmasi kepada informan kunci. Etika penelitian ditegakkan dengan melindungi kerahasiaan identitas, meminta izin dari partisipan, dan menyampaikan hasilnya secara objektif.</w:t>
      </w:r>
    </w:p>
    <w:p w14:paraId="0E21AAF4">
      <w:pPr>
        <w:tabs>
          <w:tab w:val="left" w:pos="561"/>
        </w:tabs>
        <w:ind w:left="0" w:leftChars="0" w:firstLine="0" w:firstLineChars="0"/>
      </w:pPr>
    </w:p>
    <w:p w14:paraId="267E4E07">
      <w:pPr>
        <w:ind w:left="0" w:leftChars="0" w:firstLine="0" w:firstLineChars="0"/>
        <w:jc w:val="both"/>
        <w:rPr>
          <w:rFonts w:ascii="Book Antiqua" w:hAnsi="Book Antiqua" w:eastAsia="Book Antiqua" w:cs="Book Antiqua"/>
        </w:rPr>
      </w:pPr>
      <w:r>
        <w:rPr>
          <w:rFonts w:ascii="Book Antiqua" w:hAnsi="Book Antiqua" w:eastAsia="Book Antiqua" w:cs="Book Antiqua"/>
          <w:b/>
        </w:rPr>
        <w:t>PEMBAHASAN</w:t>
      </w:r>
    </w:p>
    <w:p w14:paraId="47C169AE">
      <w:pPr>
        <w:pStyle w:val="40"/>
        <w:numPr>
          <w:ilvl w:val="0"/>
          <w:numId w:val="1"/>
        </w:numPr>
        <w:ind w:leftChars="0" w:firstLineChars="0"/>
        <w:jc w:val="both"/>
        <w:rPr>
          <w:rFonts w:ascii="Book Antiqua" w:hAnsi="Book Antiqua" w:eastAsia="Book Antiqua" w:cs="Book Antiqua"/>
          <w:color w:val="000000"/>
          <w:sz w:val="24"/>
          <w:szCs w:val="24"/>
        </w:rPr>
      </w:pPr>
      <w:r>
        <w:rPr>
          <w:rFonts w:ascii="Book Antiqua" w:hAnsi="Book Antiqua" w:eastAsia="Book Antiqua" w:cs="Book Antiqua"/>
          <w:color w:val="000000"/>
          <w:sz w:val="24"/>
          <w:szCs w:val="24"/>
        </w:rPr>
        <w:t>Inovasi Media Pembelajaran Berbasis AI dan Virtual Reality (VR).</w:t>
      </w:r>
    </w:p>
    <w:p w14:paraId="415D98BE">
      <w:pPr>
        <w:pStyle w:val="40"/>
        <w:numPr>
          <w:numId w:val="0"/>
        </w:numPr>
        <w:suppressAutoHyphens/>
        <w:spacing w:after="200" w:line="276" w:lineRule="auto"/>
        <w:ind w:firstLine="360" w:firstLineChars="150"/>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lang w:val="en-US"/>
        </w:rPr>
        <w:t>M</w:t>
      </w:r>
      <w:r>
        <w:rPr>
          <w:rFonts w:hint="default" w:ascii="Book Antiqua" w:hAnsi="Book Antiqua" w:eastAsia="Book Antiqua"/>
          <w:color w:val="000000"/>
          <w:sz w:val="24"/>
          <w:szCs w:val="24"/>
        </w:rPr>
        <w:t xml:space="preserve">erujuk pada penerapan kecerdasan buatan dan teknologi realitas virtual guna menciptakan pengalaman belajar yang lebih interaktif, responsif, dan mendalam. AI berfungsi dalam memberikan pembelajaran yang disesuaikan, seperti tutor digital, menganalisis kebutuhan belajar siswa, dan menyajikan umpan balik secara otomatis. Di sisi lain, VR memberikan kesempatan bagi siswa untuk "masuk" ke dalam simulasi lingkungan belajar tiga dimensi yang autentik, seperti menjelajahi situs-situs bersejarah Islam atau mensimulasikan situasi ibadah secara virtual. Sinergi antara AI dan VR dapat meningkatkan partisipasi, pemahaman, dan efektivitas pembelajaran, terlebih dalam konteks Pendidikan Agama Islam yang memerlukan pengalaman visual serta praktik yang relevan. </w:t>
      </w:r>
    </w:p>
    <w:p w14:paraId="4ADF1596">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3A6FF5B3">
      <w:pPr>
        <w:pStyle w:val="40"/>
        <w:numPr>
          <w:ilvl w:val="0"/>
          <w:numId w:val="2"/>
        </w:numPr>
        <w:suppressAutoHyphens/>
        <w:spacing w:after="200" w:line="276" w:lineRule="auto"/>
        <w:ind w:left="241" w:leftChars="0" w:firstLineChars="0"/>
        <w:contextualSpacing/>
        <w:jc w:val="both"/>
        <w:textAlignment w:val="top"/>
        <w:outlineLvl w:val="0"/>
        <w:rPr>
          <w:rFonts w:hint="default" w:ascii="Book Antiqua" w:hAnsi="Book Antiqua" w:eastAsia="Book Antiqua"/>
          <w:color w:val="000000"/>
          <w:sz w:val="24"/>
          <w:szCs w:val="24"/>
        </w:rPr>
      </w:pPr>
      <w:bookmarkStart w:id="0" w:name="_GoBack"/>
      <w:bookmarkEnd w:id="0"/>
      <w:r>
        <w:rPr>
          <w:rFonts w:hint="default" w:ascii="Book Antiqua" w:hAnsi="Book Antiqua" w:eastAsia="Book Antiqua"/>
          <w:color w:val="000000"/>
          <w:sz w:val="24"/>
          <w:szCs w:val="24"/>
        </w:rPr>
        <w:t xml:space="preserve">Peran AI dalam pembelajaran Islam </w:t>
      </w:r>
    </w:p>
    <w:p w14:paraId="15E3136C">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Personalisasi pembelajaran </w:t>
      </w:r>
    </w:p>
    <w:p w14:paraId="76CAEC64">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AI memiliki kemampuan untuk menyesuaikan bahan ajar berdasar pemahaman dan kecepatan belajar masing-masing siswa. Teknologi ini memungkinkan sistem untuk memberikan rekomendasi materi yang tepat, sehingga siswa bisa belajar dengan cara yang lebih efektif dan optimal. Sebagai contoh, aplikasi pembelajaran Islam yang mengadopsi AI dapat mengidentifikasi kelemahan siswa dalam memahami suatu konsep tertentu dan menyarankan bacaan tambahan atau latihan soal yang sesuai dengan kebutuhan mereka. </w:t>
      </w:r>
    </w:p>
    <w:p w14:paraId="57AA4018">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3C658B28">
      <w:pPr>
        <w:pStyle w:val="40"/>
        <w:numPr>
          <w:ilvl w:val="0"/>
          <w:numId w:val="3"/>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Sebagai tutor virtual dan chatbot Islami </w:t>
      </w:r>
    </w:p>
    <w:p w14:paraId="49764A4E">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AI dapat berperan sebagai tutor virtual yang bisa menjawab pertanyaan siswa terkait berbagai aspek dalam Islam secara otomatis. Contoh chatbot Islami yang dibangun dengan basis data dari tafsir, hadis, dan hukum fiqih bisa memberikan jawaban yang cepat dan akurat mengenai pertanyaan keislaman, membantu siswa untuk memahami Islam lebih dalam tanpa perlu menunggu penjelasan dari pengajar. </w:t>
      </w:r>
    </w:p>
    <w:p w14:paraId="73581404">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6E959A70">
      <w:pPr>
        <w:pStyle w:val="40"/>
        <w:numPr>
          <w:ilvl w:val="0"/>
          <w:numId w:val="3"/>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Analisis dan evaluasi otomatis </w:t>
      </w:r>
    </w:p>
    <w:p w14:paraId="20962975">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AI memiliki kemampuan untuk menganalisis hasil belajar siswa dengan kecepatan tinggi dan memberi umpan balik otomatis. Teknologi ini memungkinkan evaluasi yang berbasis data, sehingga membantu guru mengukur kemajuan siswa dengan cara yang lebih objektif. Contoh aplikasi berbasis AI dapat mengoreksi jawaban kuis Pendidikan Agama Islam secara otomatis, memberikan nilai, serta merekomendasikan materi tambahan untuk membantu siswa memperbaiki kelemahan yang ada. </w:t>
      </w:r>
    </w:p>
    <w:p w14:paraId="4F228B19">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26B8BE68">
      <w:pPr>
        <w:pStyle w:val="40"/>
        <w:numPr>
          <w:ilvl w:val="0"/>
          <w:numId w:val="3"/>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Penerjemahan dan tafsir otomatis </w:t>
      </w:r>
    </w:p>
    <w:p w14:paraId="68940705">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r>
        <w:rPr>
          <w:rFonts w:hint="default" w:ascii="Book Antiqua" w:hAnsi="Book Antiqua" w:eastAsia="Book Antiqua"/>
          <w:color w:val="000000"/>
          <w:sz w:val="24"/>
          <w:szCs w:val="24"/>
        </w:rPr>
        <w:t>AI mendukung proses penerjemahan dan tafsir Al-Qur’an serta hadis ke dalam berbagai bahasa dengan tingkat akurasi yang tinggi, memberikan akses yang lebih luas terhadap pengetahuan keislaman. Contoh aplikasi seperti Google Translate Islami berfungsi untuk menerjemahkan teks Arab ke berbagai bahasa dengan konteks yang lebih baik, sehingga siswa dapat lebih mudah memahami isi Al-Qur’an dan hadis.</w:t>
      </w:r>
    </w:p>
    <w:p w14:paraId="6A600B9E">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45D4CF4B">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4312F429">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2D56D067">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7338951E">
      <w:pPr>
        <w:pStyle w:val="40"/>
        <w:numPr>
          <w:ilvl w:val="0"/>
          <w:numId w:val="4"/>
        </w:numPr>
        <w:ind w:leftChars="0" w:firstLineChars="0"/>
        <w:jc w:val="both"/>
        <w:rPr>
          <w:rFonts w:ascii="Book Antiqua" w:hAnsi="Book Antiqua" w:eastAsia="Book Antiqua" w:cs="Book Antiqua"/>
          <w:sz w:val="24"/>
          <w:szCs w:val="24"/>
        </w:rPr>
      </w:pPr>
      <w:r>
        <w:rPr>
          <w:rFonts w:ascii="Book Antiqua" w:hAnsi="Book Antiqua" w:eastAsia="Book Antiqua" w:cs="Book Antiqua"/>
          <w:sz w:val="24"/>
          <w:szCs w:val="24"/>
        </w:rPr>
        <w:t xml:space="preserve">Manfaat AI dalam pembelajaran islam </w:t>
      </w:r>
    </w:p>
    <w:p w14:paraId="5CBD84FA">
      <w:pPr>
        <w:pStyle w:val="40"/>
        <w:numPr>
          <w:ilvl w:val="0"/>
          <w:numId w:val="5"/>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Meningkatkan efisiensi pembelajaran: AI dapat mengotomatisasi tugas evaluasi, koreksi tugas, dan analisis data siswa sehingga guru dapat lebih fokus pada pembinaan siswa.</w:t>
      </w:r>
    </w:p>
    <w:p w14:paraId="6DA34601">
      <w:pPr>
        <w:pStyle w:val="40"/>
        <w:numPr>
          <w:ilvl w:val="0"/>
          <w:numId w:val="5"/>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Memudahkan akses ilmu keislaman: AI dapat menerjemahkan teks-teks Islam dan menyediakan informasi secara cepat serta akurat.</w:t>
      </w:r>
    </w:p>
    <w:p w14:paraId="2BC196BD">
      <w:pPr>
        <w:pStyle w:val="40"/>
        <w:numPr>
          <w:ilvl w:val="0"/>
          <w:numId w:val="5"/>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Meningkatkan keterlibatan siswa: Konten interaktif yang dihasilkan AI membuat pembelajaran lebih menarik dan tidak monoton.</w:t>
      </w:r>
    </w:p>
    <w:p w14:paraId="3CC0AC99">
      <w:pPr>
        <w:pStyle w:val="40"/>
        <w:numPr>
          <w:ilvl w:val="0"/>
          <w:numId w:val="5"/>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Membantu dalam pengajaran Al-Qur’an: Dengan pengenalan suara, AI dapat membantu siswa belajar membaca Al-Qur’an dengan tajwid yang benar.</w:t>
      </w:r>
    </w:p>
    <w:p w14:paraId="46AA3E8D">
      <w:pPr>
        <w:pStyle w:val="40"/>
        <w:numPr>
          <w:ilvl w:val="0"/>
          <w:numId w:val="4"/>
        </w:numPr>
        <w:ind w:leftChars="0" w:firstLineChars="0"/>
        <w:jc w:val="both"/>
        <w:rPr>
          <w:rFonts w:ascii="Book Antiqua" w:hAnsi="Book Antiqua" w:eastAsia="Book Antiqua" w:cs="Book Antiqua"/>
          <w:sz w:val="24"/>
          <w:szCs w:val="24"/>
        </w:rPr>
      </w:pPr>
      <w:r>
        <w:rPr>
          <w:rFonts w:ascii="Book Antiqua" w:hAnsi="Book Antiqua" w:eastAsia="Book Antiqua" w:cs="Book Antiqua"/>
          <w:sz w:val="24"/>
          <w:szCs w:val="24"/>
          <w:lang w:val="en-US"/>
        </w:rPr>
        <w:t>Peran VR dalam pembelajaran islam</w:t>
      </w:r>
    </w:p>
    <w:p w14:paraId="0C2E8051">
      <w:pPr>
        <w:pStyle w:val="40"/>
        <w:numPr>
          <w:ilvl w:val="0"/>
          <w:numId w:val="6"/>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Menyediakan simulasi interaktif ibadah</w:t>
      </w:r>
    </w:p>
    <w:p w14:paraId="6EFD55C6">
      <w:pPr>
        <w:pStyle w:val="40"/>
        <w:ind w:left="1078" w:leftChars="0" w:firstLine="0" w:firstLineChars="0"/>
        <w:jc w:val="both"/>
        <w:rPr>
          <w:rFonts w:ascii="Book Antiqua" w:hAnsi="Book Antiqua" w:eastAsia="Book Antiqua" w:cs="Book Antiqua"/>
          <w:sz w:val="24"/>
          <w:szCs w:val="24"/>
        </w:rPr>
      </w:pPr>
      <w:r>
        <w:rPr>
          <w:rFonts w:ascii="Book Antiqua" w:hAnsi="Book Antiqua" w:eastAsia="Book Antiqua" w:cs="Book Antiqua"/>
          <w:sz w:val="24"/>
          <w:szCs w:val="24"/>
        </w:rPr>
        <w:t>VR memungkinkan siswa mengalami simulasi ibadah secara langsung tanpa harus berada di lokasi sebenarnya. Ini membantu mereka memahami tata cara ibadah sebelum melaksanakannya secara nyata.</w:t>
      </w:r>
      <w:r>
        <w:rPr>
          <w:rFonts w:ascii="Book Antiqua" w:hAnsi="Book Antiqua" w:eastAsia="Book Antiqua" w:cs="Book Antiqua"/>
          <w:sz w:val="24"/>
          <w:szCs w:val="24"/>
          <w:lang w:val="en-US"/>
        </w:rPr>
        <w:t xml:space="preserve"> </w:t>
      </w:r>
      <w:r>
        <w:rPr>
          <w:rFonts w:ascii="Book Antiqua" w:hAnsi="Book Antiqua" w:eastAsia="Book Antiqua" w:cs="Book Antiqua"/>
          <w:sz w:val="24"/>
          <w:szCs w:val="24"/>
        </w:rPr>
        <w:t xml:space="preserve">Contoh </w:t>
      </w:r>
      <w:r>
        <w:rPr>
          <w:rFonts w:ascii="Book Antiqua" w:hAnsi="Book Antiqua" w:eastAsia="Book Antiqua" w:cs="Book Antiqua"/>
          <w:sz w:val="24"/>
          <w:szCs w:val="24"/>
          <w:lang w:val="en-US"/>
        </w:rPr>
        <w:t>a</w:t>
      </w:r>
      <w:r>
        <w:rPr>
          <w:rFonts w:ascii="Book Antiqua" w:hAnsi="Book Antiqua" w:eastAsia="Book Antiqua" w:cs="Book Antiqua"/>
          <w:sz w:val="24"/>
          <w:szCs w:val="24"/>
        </w:rPr>
        <w:t>plikasi VR dapat digunakan untuk mensimulasikan tata cara haji dan umrah secara interaktif, sehingga siswa dapat memahami rukun-rukunnya dengan lebih baik sebelum benar-benar melaksanakan ibadah tersebut.</w:t>
      </w:r>
    </w:p>
    <w:p w14:paraId="07D08F89">
      <w:pPr>
        <w:pStyle w:val="40"/>
        <w:numPr>
          <w:ilvl w:val="0"/>
          <w:numId w:val="6"/>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Menghidupkan sejarah islam secara virtual</w:t>
      </w:r>
    </w:p>
    <w:p w14:paraId="671F1EF5">
      <w:pPr>
        <w:pStyle w:val="40"/>
        <w:ind w:left="1078" w:leftChars="0" w:firstLine="0" w:firstLineChars="0"/>
        <w:jc w:val="both"/>
        <w:rPr>
          <w:rFonts w:ascii="Book Antiqua" w:hAnsi="Book Antiqua" w:eastAsia="Book Antiqua" w:cs="Book Antiqua"/>
          <w:sz w:val="24"/>
          <w:szCs w:val="24"/>
          <w:lang w:val="zh-CN"/>
        </w:rPr>
      </w:pPr>
      <w:r>
        <w:rPr>
          <w:rFonts w:ascii="Book Antiqua" w:hAnsi="Book Antiqua" w:eastAsia="Book Antiqua" w:cs="Book Antiqua"/>
          <w:sz w:val="24"/>
          <w:szCs w:val="24"/>
          <w:lang w:val="zh-CN"/>
        </w:rPr>
        <w:t>VR dapat merekonstruksi peristiwa sejarah Islam sehingga siswa bisa merasakan pengalaman langsung, seolah-olah mereka hadir dalam peristiwa tersebut. Contoh dengan VR, siswa bisa "mengunjungi" peristiwa Perang Badar atau melihat kondisi Mekkah dan Madinah pada zaman Rasulullah.</w:t>
      </w:r>
    </w:p>
    <w:p w14:paraId="2FF392F1">
      <w:pPr>
        <w:pStyle w:val="40"/>
        <w:numPr>
          <w:ilvl w:val="0"/>
          <w:numId w:val="6"/>
        </w:numPr>
        <w:ind w:leftChars="0" w:firstLineChars="0"/>
        <w:jc w:val="both"/>
        <w:rPr>
          <w:rFonts w:ascii="Book Antiqua" w:hAnsi="Book Antiqua" w:eastAsia="Book Antiqua" w:cs="Book Antiqua"/>
          <w:sz w:val="24"/>
          <w:szCs w:val="24"/>
          <w:lang w:val="zh-CN"/>
        </w:rPr>
      </w:pPr>
      <w:r>
        <w:rPr>
          <w:rFonts w:ascii="Book Antiqua" w:hAnsi="Book Antiqua" w:eastAsia="Book Antiqua" w:cs="Book Antiqua"/>
          <w:sz w:val="24"/>
          <w:szCs w:val="24"/>
          <w:lang w:val="zh-CN"/>
        </w:rPr>
        <w:t>Membantu pembelajaran Al quran dengan pendekatan visual</w:t>
      </w:r>
    </w:p>
    <w:p w14:paraId="2E58FDA5">
      <w:pPr>
        <w:pStyle w:val="40"/>
        <w:ind w:left="1078" w:leftChars="0" w:firstLine="0" w:firstLineChars="0"/>
        <w:jc w:val="both"/>
        <w:rPr>
          <w:rFonts w:ascii="Book Antiqua" w:hAnsi="Book Antiqua" w:eastAsia="Book Antiqua" w:cs="Book Antiqua"/>
          <w:sz w:val="24"/>
          <w:szCs w:val="24"/>
          <w:lang w:val="zh-CN"/>
        </w:rPr>
      </w:pPr>
      <w:r>
        <w:rPr>
          <w:rFonts w:ascii="Book Antiqua" w:hAnsi="Book Antiqua" w:eastAsia="Book Antiqua" w:cs="Book Antiqua"/>
          <w:sz w:val="24"/>
          <w:szCs w:val="24"/>
          <w:lang w:val="zh-CN"/>
        </w:rPr>
        <w:t>VR memungkinkan siswa memahami ayat-ayat Al-Qur’an melalui pengalaman visual yang mendalam, sehingga lebih mudah memahami makna dan pesan yang terkandung dalam ayat-ayat tersebut. Contoh ketika mempelajari ayat-ayat tentang penciptaan alam semesta, VR dapat memperlihatkan simulasi proses penciptaan berdasarkan tafsir ilmiah dan penjelasan ulama.</w:t>
      </w:r>
    </w:p>
    <w:p w14:paraId="27077178">
      <w:pPr>
        <w:pStyle w:val="40"/>
        <w:numPr>
          <w:ilvl w:val="0"/>
          <w:numId w:val="6"/>
        </w:numPr>
        <w:ind w:leftChars="0" w:firstLineChars="0"/>
        <w:jc w:val="both"/>
        <w:rPr>
          <w:rFonts w:ascii="Book Antiqua" w:hAnsi="Book Antiqua" w:eastAsia="Book Antiqua" w:cs="Book Antiqua"/>
          <w:sz w:val="24"/>
          <w:szCs w:val="24"/>
          <w:lang w:val="zh-CN"/>
        </w:rPr>
      </w:pPr>
      <w:r>
        <w:rPr>
          <w:rFonts w:ascii="Book Antiqua" w:hAnsi="Book Antiqua" w:eastAsia="Book Antiqua" w:cs="Book Antiqua"/>
          <w:sz w:val="24"/>
          <w:szCs w:val="24"/>
          <w:lang w:val="zh-CN"/>
        </w:rPr>
        <w:t>Mendukung pembelajaran Bahasa arab secara imersif</w:t>
      </w:r>
    </w:p>
    <w:p w14:paraId="6398C9DB">
      <w:pPr>
        <w:pStyle w:val="40"/>
        <w:ind w:left="1078" w:leftChars="0" w:firstLine="0" w:firstLineChars="0"/>
        <w:jc w:val="both"/>
        <w:rPr>
          <w:rFonts w:ascii="Book Antiqua" w:hAnsi="Book Antiqua" w:eastAsia="Book Antiqua" w:cs="Book Antiqua"/>
          <w:sz w:val="24"/>
          <w:szCs w:val="24"/>
          <w:lang w:val="zh-CN"/>
        </w:rPr>
      </w:pPr>
      <w:r>
        <w:rPr>
          <w:rFonts w:ascii="Book Antiqua" w:hAnsi="Book Antiqua" w:eastAsia="Book Antiqua" w:cs="Book Antiqua"/>
          <w:sz w:val="24"/>
          <w:szCs w:val="24"/>
          <w:lang w:val="zh-CN"/>
        </w:rPr>
        <w:t>VR bisa menciptakan lingkungan virtual di mana siswa dapat berlatih bahasa Arab dalam konteks kehidupan sehari-hari, membuat proses belajar lebih interaktif dan alami. Contoh dengan teknologi VR, siswa bisa berinteraksi dalam lingkungan pasar Arab atau masjid untuk meningkatkan keterampilan bahasa mereka secara langsung.</w:t>
      </w:r>
    </w:p>
    <w:p w14:paraId="7784B869">
      <w:pPr>
        <w:pStyle w:val="40"/>
        <w:numPr>
          <w:ilvl w:val="0"/>
          <w:numId w:val="4"/>
        </w:numPr>
        <w:ind w:leftChars="0" w:firstLineChars="0"/>
        <w:jc w:val="both"/>
        <w:rPr>
          <w:rFonts w:ascii="Book Antiqua" w:hAnsi="Book Antiqua" w:eastAsia="Book Antiqua" w:cs="Book Antiqua"/>
          <w:sz w:val="24"/>
          <w:szCs w:val="24"/>
          <w:lang w:val="zh-CN"/>
        </w:rPr>
      </w:pPr>
      <w:r>
        <w:rPr>
          <w:rFonts w:ascii="Book Antiqua" w:hAnsi="Book Antiqua" w:eastAsia="Book Antiqua" w:cs="Book Antiqua"/>
          <w:sz w:val="24"/>
          <w:szCs w:val="24"/>
          <w:lang w:val="zh-CN"/>
        </w:rPr>
        <w:t xml:space="preserve">Manfaat VR dalam pembelajaran islam </w:t>
      </w:r>
    </w:p>
    <w:p w14:paraId="39A39CE4">
      <w:pPr>
        <w:pStyle w:val="40"/>
        <w:numPr>
          <w:ilvl w:val="0"/>
          <w:numId w:val="1"/>
        </w:numPr>
        <w:ind w:leftChars="0" w:firstLineChars="0"/>
        <w:jc w:val="both"/>
        <w:rPr>
          <w:rFonts w:ascii="Book Antiqua" w:hAnsi="Book Antiqua" w:eastAsia="Book Antiqua" w:cs="Book Antiqua"/>
          <w:sz w:val="24"/>
          <w:szCs w:val="24"/>
        </w:rPr>
      </w:pPr>
      <w:r>
        <w:rPr>
          <w:rFonts w:ascii="Book Antiqua" w:hAnsi="Book Antiqua" w:eastAsia="Book Antiqua" w:cs="Book Antiqua"/>
          <w:sz w:val="24"/>
          <w:szCs w:val="24"/>
        </w:rPr>
        <w:t>Prospek Integrasi Media Digital dalam Kurikulum PAI</w:t>
      </w:r>
    </w:p>
    <w:p w14:paraId="54C69D56">
      <w:pPr>
        <w:pStyle w:val="40"/>
        <w:ind w:left="358" w:leftChars="0" w:firstLine="351"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menunjukkan peluang besar dalam meningkatkan kualitas pembelajaran yang relevan dengan perkembangan terkini. Penggunaan media digital seperti video interaktif, platform e-learning, aplikasi pembelajaran Islam, dan media sosial Pendidikan memungkinkan proses pembelajaran yang lebih menarik, fleksibel, dan kontekstual. Integrasi ini juga mendukung penguatan literasi digital siswa dan memfasilitasi pembelajaran kolaboratif dan mandiri. Dengan perencanaan kurikulum yang adaptif, media digital dapat diintegrasikan secara efektif dalam menyampaikan ajaran agama Islam, moral, yurisprudensi, dan sejarah, sehingga menjadikan Pendidikan Agama Islam lebih dinamis dan sejalan dengan kebutuhan generasi digital.</w:t>
      </w:r>
    </w:p>
    <w:p w14:paraId="628EC328">
      <w:pPr>
        <w:pStyle w:val="40"/>
        <w:numPr>
          <w:ilvl w:val="0"/>
          <w:numId w:val="7"/>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Jenis Media Digital yang Dapat Digunakan</w:t>
      </w:r>
    </w:p>
    <w:p w14:paraId="19E1CA59">
      <w:pPr>
        <w:pStyle w:val="40"/>
        <w:numPr>
          <w:ilvl w:val="0"/>
          <w:numId w:val="8"/>
        </w:numPr>
        <w:ind w:left="1418"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Penggunaan E-Learning Platform (LMS, Website, Aplikasi) dalam Mengajar PAI.</w:t>
      </w:r>
    </w:p>
    <w:p w14:paraId="061C72A1">
      <w:pPr>
        <w:pStyle w:val="40"/>
        <w:ind w:left="1418"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Learning Management System (LMS) dan platform digital membuka peluang besar dalam pembelajaran Pendidikan Agama Islam (PAI). Media ini menyediakan sistem pembelajaran yang terstruktur, fleksibel, dan terpadu dengan evaluasi dan interaksi. Manfaatnya Memudahkan guru dalam menyusun dan berbagi materi ajar, memberikan tugas, dan melakukan penilaian secara digital. Dan juga memberikan kebebasan kepada siswa dalam mengakses materi, diskusi, dan evaluasi tanpa terikat waktu dan lokasi.</w:t>
      </w:r>
    </w:p>
    <w:p w14:paraId="0C664A1B">
      <w:pPr>
        <w:pStyle w:val="40"/>
        <w:ind w:left="1418"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 xml:space="preserve"> Contoh: Google Classroom: digunakan untuk berbagi materi PAI, mengadakan diskusi daring, dan mengumpulkan tugas secara daring. Moodle: Memungkinkan pembuatan kuis, forum diskusi, dan konten interaktif berbasis ajaran Islam. Aplikasi Pembelajaran Islam: Umma dan Muslim Pro menyediakan fitur-fitur seperti pengingat waktu sholat, materi belajar, dan hafalan Al-Qur'an yang membantu pembelajaran personal.</w:t>
      </w:r>
    </w:p>
    <w:p w14:paraId="4B35A973">
      <w:pPr>
        <w:pStyle w:val="40"/>
        <w:numPr>
          <w:ilvl w:val="0"/>
          <w:numId w:val="8"/>
        </w:numPr>
        <w:ind w:left="1418"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Video Interaktif dan Animasi untuk Menjelaskan Materi Agama.</w:t>
      </w:r>
    </w:p>
    <w:p w14:paraId="64B29118">
      <w:pPr>
        <w:pStyle w:val="40"/>
        <w:ind w:left="1418"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Pemanfaatan video dan animasi interaktif menjadikan materi Pendidikan Agama Islam lebih menarik dan mudah dicerna, terutama untuk konsep-konsep yang abstrak dan naratif dalam agama Islam. Manfaatnya membantu peserta didik memahami materi seperti rukun iman, rukun Islam, dan kisah para nabi melalui tampilan visual yang dinamis. Dan juga menggantikan metode ceramah konvensional dengan pendekatan visual yang lebih komunikatif dan kontekstual.</w:t>
      </w:r>
    </w:p>
    <w:p w14:paraId="31752A46">
      <w:pPr>
        <w:pStyle w:val="40"/>
        <w:ind w:left="1418"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Contoh: Animasi sejarah Islam untuk menampilkan perjalanan hidup Nabi Muhammad SAW dan perjuangan para sahabatnya dalam bentuk narasi visual. Video fiqih interaktif untuk menjelaskan tata cara wudhu, shalat, zakat, dan haji dengan ilustrasi bergerak yang mudah dipahami. Tutorial ibadah 3D untuk menyajikan pelatihan ibadah secara bertahap dan realistis bagi peserta didik.</w:t>
      </w:r>
    </w:p>
    <w:p w14:paraId="76E39020">
      <w:pPr>
        <w:pStyle w:val="40"/>
        <w:numPr>
          <w:ilvl w:val="0"/>
          <w:numId w:val="8"/>
        </w:numPr>
        <w:ind w:left="1418"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Media Sosial, Podcast, dan Video Edukatif dalam Dakwah.</w:t>
      </w:r>
    </w:p>
    <w:p w14:paraId="131D0D85">
      <w:pPr>
        <w:pStyle w:val="40"/>
        <w:ind w:left="1418"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 xml:space="preserve">Media sosial dan konten digital kini menjadi sarana yang sangat efektif untuk menyebarkan nilai-nilai Islam secara luas dan inklusif. Manfaatnya efektif menjangkau generasi muda yang terbiasa dengan media digital dan konten yang cepat. Dan juga memberikan akses pembelajaran agama yang ringan, menarik, dan berkelanjutan. </w:t>
      </w:r>
    </w:p>
    <w:p w14:paraId="5C9C5E63">
      <w:pPr>
        <w:pStyle w:val="40"/>
        <w:ind w:left="1418"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Contoh: YouTube Banyak digunakan oleh para ustaz dan da'i untuk menyampaikan ceramah dan kajian Islam tentang berbagai topik menarik. TikTok &amp; Instagram Reels digunakan untuk menyebarkan nasihat, hadis, dan pesan-pesan Islam singkat yang relevan dengan kehidupan sehari-hari. Podcast Islam seperti Podcast Kajian Sunnah dan IslamiTalk, memungkinkan pendengar untuk menyerap ilmu agama sambil beraktivitas seperti berkendara atau bekerja.</w:t>
      </w:r>
    </w:p>
    <w:p w14:paraId="75DDE935">
      <w:pPr>
        <w:pStyle w:val="40"/>
        <w:ind w:left="1418"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Integrasi media digital ini tidak hanya memperkaya metode pembelajaran, tetapi juga mengadaptasi pendekatan dakwah dan pendidikan Islam dengan budaya digital generasi milenial dan Gen Z.</w:t>
      </w:r>
    </w:p>
    <w:p w14:paraId="5D489003">
      <w:pPr>
        <w:pStyle w:val="40"/>
        <w:numPr>
          <w:ilvl w:val="0"/>
          <w:numId w:val="7"/>
        </w:numPr>
        <w:ind w:leftChars="0"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Manfaat Penggunaan Media Digital dalam Pembelajaran PAI</w:t>
      </w:r>
    </w:p>
    <w:p w14:paraId="43C9A35F">
      <w:pPr>
        <w:pStyle w:val="40"/>
        <w:ind w:left="1069" w:leftChars="0" w:firstLine="491"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Pemanfaatan media digital dalam pembelajaran Pendidikan Agama Islam memberikan sejumlah manfaat yang nyata dan strategis dalam meningkatkan mutu proses belajar mengajar. Pertama, media digital dapat meningkatkan aksesibilitas pembelajaran karena peserta didik dapat mengakses materi Pendidikan Agama Islam kapan saja dan dimana saja, tanpa dibatasi oleh ruang kelas atau waktu tertentu. Hal ini sangat membantu peserta didik yang berada di daerah terpencil atau memiliki keterbatasan mobilitas. Kedua, media digital memberikan fleksibilitas dalam gaya belajar, karena tersedia dalam berbagai format seperti teks digital, video interaktif, animasi, podcast, dan simulasi. Dengan berbagai bentuk tersebut, peserta didik dapat memilih media yang paling sesuai dengan gaya belajarnya, sehingga pemahaman materi keagamaan menjadi lebih optimal.</w:t>
      </w:r>
    </w:p>
    <w:p w14:paraId="298D5D03">
      <w:pPr>
        <w:pStyle w:val="40"/>
        <w:ind w:left="1069" w:leftChars="0" w:firstLine="491"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Ketiga, penggunaan media digital meningkatkan keterlibatan dan motivasi belajar siswa, karena penyajian materi melalui teknologi cenderung lebih menarik dibandingkan buku teks konvensional. Visualisasi seperti kisah-kisah nabi yang dianimasikan, simulasi ibadah, atau penjelasan rukun iman melalui video dapat memudahkan siswa dalam memahami dan mengingat materi. Keempat, media digital memungkinkan terjadinya pembelajaran mandiri dan eksploratif. Siswa dapat belajar di luar jam pelajaran formal, mencari materi tambahan secara daring, dan memperdalam pemahaman sesuai dengan minat masing-masing. Hal ini sangat mendukung terbentuknya karakter belajar aktif dan bertanggung jawab.</w:t>
      </w:r>
    </w:p>
    <w:p w14:paraId="2F360C57">
      <w:pPr>
        <w:pStyle w:val="40"/>
        <w:ind w:left="1069" w:leftChars="0" w:firstLine="491"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Kelima, guru dapat mengelola evaluasi secara lebih efektif. Dengan platform seperti Google Classroom atau Moodle, guru dapat memberikan kuis, tugas, dan ujian secara daring, serta memperoleh hasil secara otomatis. Umpan balik dapat diberikan langsung, membantu siswa mengetahui letak kesalahan dan memperbaikinya segera. Keenam, media digital memperluas jangkauan dakwah Islam secara global dan lintas generasi. Melalui media sosial, video edukatif, dan podcast Islami, pesan-pesan keagamaan dapat tersampaikan dengan cepat, relevan, dan mudah diterima oleh generasi muda yang terbiasa dengan dunia digital. Ini menjadikan media digital sebagai sarana dakwah yang adaptif terhadap perkembangan zaman.</w:t>
      </w:r>
    </w:p>
    <w:p w14:paraId="774DF5D8">
      <w:pPr>
        <w:pStyle w:val="40"/>
        <w:numPr>
          <w:ilvl w:val="0"/>
          <w:numId w:val="1"/>
        </w:numPr>
        <w:ind w:leftChars="0" w:firstLineChars="0"/>
        <w:jc w:val="both"/>
        <w:rPr>
          <w:rFonts w:ascii="Book Antiqua" w:hAnsi="Book Antiqua" w:eastAsia="Book Antiqua" w:cs="Book Antiqua"/>
          <w:sz w:val="24"/>
          <w:szCs w:val="24"/>
        </w:rPr>
      </w:pPr>
      <w:r>
        <w:rPr>
          <w:rFonts w:ascii="Book Antiqua" w:hAnsi="Book Antiqua" w:eastAsia="Book Antiqua" w:cs="Book Antiqua"/>
          <w:sz w:val="24"/>
          <w:szCs w:val="24"/>
        </w:rPr>
        <w:t>Tantangan dalam Integrasi Media Digital dalam Kurikulum PAI</w:t>
      </w:r>
    </w:p>
    <w:p w14:paraId="79299A0C">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Integrasi media digital dalam kurikulum Pendidikan Agama Islam memang membawa banyak manfaat, tetapi juga menghadapi berbagai tantangan yang perlu ditanggapi secara serius. Pertama, adanya kesenjangan infrastruktur dan akses teknologi. Tidak semua lembaga pendidikan memiliki perangkat digital yang memadai, seperti komputer, jaringan internet yang stabil, atau proyektor. Hal ini dapat menghambat pelaksanaan pembelajaran digital, terutama di daerah terpencil atau sekolah dengan dana terbatas.</w:t>
      </w:r>
    </w:p>
    <w:p w14:paraId="3386C789">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Kedua, rendahnya literasi digital guru dan siswa menjadi kendala yang cukup berarti. Banyak guru yang masih belum terbiasa menggunakan Sistem Manajemen Pembelajaran, membuat konten digital, atau mengelola pembelajaran daring secara efektif. Tidak semua siswa mampu memanfaatkan media digital untuk belajar secara bijak dan optimal, karena mereka terbiasa menggunakannya hanya untuk hiburan.</w:t>
      </w:r>
    </w:p>
    <w:p w14:paraId="08ABA6E7">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Ketiga, minimnya konten digital yang sesuai dengan nilai-nilai Islam. Banyak materi keagamaan yang tersedia di internet belum terverifikasi kebenarannya, bahkan ada yang menyimpang dari ajaran Islam. Hal ini memerlukan kurasi dan pengawasan ketat terhadap sumber belajar digital yang digunakan dalam kurikulum PAI agar tetap sesuai dengan akidah dan syariat.</w:t>
      </w:r>
    </w:p>
    <w:p w14:paraId="71EE8337">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Keempat, potensi gangguan dan penyalahgunaan teknologi. Ketika pembelajaran berlangsung secara daring atau berbasis perangkat digital, siswa sangat rentan terganggu oleh hal-hal lain seperti media sosial, permainan, atau konten negatif yang mudah diakses. Hal ini dapat mengurangi fokus pembelajaran dan bahkan merusak karakter siswa jika tidak diawasi secara ketat.</w:t>
      </w:r>
    </w:p>
    <w:p w14:paraId="07A0A27D">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Kelima, kurangnya pelatihan dan pendampingan profesional bagi guru dalam mengimplementasikan teknologi secara pedagogis. Guru PAI perlu dibimbing untuk mengintegrasikan nilai-nilai agama ke dalam media digital secara kreatif namun tetap sesuai dengan ajaran Islam. Tanpa pelatihan yang tepat, pemanfaatan media digital dapat menjadi kurang optimal.</w:t>
      </w:r>
    </w:p>
    <w:p w14:paraId="4A5C90BB">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Keenam, masih terbatasnya regulasi dan kebijakan pendidikan yang mendukung integrasi digital secara menyeluruh dalam pembelajaran Pendidikan Agama Islam. Tanpa dukungan kebijakan dari pemerintah dan lembaga pendidikan, implementasi media digital hanya akan bersifat insidental dan tidak berkelanjutan.</w:t>
      </w:r>
    </w:p>
    <w:p w14:paraId="45C8E9E2">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Tantangan-tantangan tersebut menunjukkan bahwa integrasi media digital dalam pembelajaran Pendidikan Agama Islam memerlukan pendekatan yang komprehensif: mulai dari penguatan infrastruktur, peningkatan kompetensi guru, pengembangan konten-konten Islam yang terpercaya, hingga pembentukan ekosistem digital yang aman dan mendukung pendidikan akhlak.</w:t>
      </w:r>
    </w:p>
    <w:p w14:paraId="48364A13">
      <w:pPr>
        <w:ind w:left="0" w:hanging="2"/>
        <w:jc w:val="both"/>
        <w:rPr>
          <w:rFonts w:ascii="Book Antiqua" w:hAnsi="Book Antiqua" w:eastAsia="Book Antiqua" w:cs="Book Antiqua"/>
          <w:color w:val="0000FF"/>
        </w:rPr>
      </w:pPr>
    </w:p>
    <w:p w14:paraId="65C48DB2">
      <w:pPr>
        <w:ind w:left="0" w:hanging="2"/>
        <w:rPr>
          <w:rFonts w:ascii="Book Antiqua" w:hAnsi="Book Antiqua" w:eastAsia="Book Antiqua" w:cs="Book Antiqua"/>
        </w:rPr>
      </w:pPr>
      <w:r>
        <w:rPr>
          <w:rFonts w:ascii="Book Antiqua" w:hAnsi="Book Antiqua" w:eastAsia="Book Antiqua" w:cs="Book Antiqua"/>
          <w:b/>
        </w:rPr>
        <w:t>KESIMPULAN</w:t>
      </w:r>
      <w:r>
        <w:rPr>
          <w:rFonts w:ascii="Book Antiqua" w:hAnsi="Book Antiqua" w:eastAsia="Book Antiqua" w:cs="Book Antiqua"/>
        </w:rPr>
        <w:t xml:space="preserve"> </w:t>
      </w:r>
    </w:p>
    <w:p w14:paraId="26C246CF">
      <w:pPr>
        <w:ind w:left="139" w:leftChars="58" w:firstLine="287" w:firstLineChars="0"/>
        <w:jc w:val="both"/>
        <w:rPr>
          <w:rFonts w:ascii="Book Antiqua" w:hAnsi="Book Antiqua" w:eastAsia="Book Antiqua" w:cs="Book Antiqua"/>
        </w:rPr>
      </w:pPr>
      <w:r>
        <w:rPr>
          <w:rFonts w:ascii="Book Antiqua" w:hAnsi="Book Antiqua" w:eastAsia="Book Antiqua" w:cs="Book Antiqua"/>
        </w:rPr>
        <w:t xml:space="preserve">Tren media masa depan dalam pembelajaran Islam semakin memperlihatkan pentingnya peran teknologi seperti kecerdasan buatan (AI), realitas virtual (VR), dan media digital. Teknologi ini memiliki potensi besar untuk meningkatkan kualitas pembelajaran Pendidikan Agama Islam (PAI), baik dalam penyampaian materi, pemahaman siswa, maupun keterlibatan mereka dalam proses pembelajaran. </w:t>
      </w:r>
    </w:p>
    <w:p w14:paraId="0DF14820">
      <w:pPr>
        <w:ind w:left="139" w:leftChars="58" w:firstLine="287" w:firstLineChars="0"/>
        <w:jc w:val="both"/>
        <w:rPr>
          <w:rFonts w:ascii="Book Antiqua" w:hAnsi="Book Antiqua" w:eastAsia="Book Antiqua" w:cs="Book Antiqua"/>
        </w:rPr>
      </w:pPr>
      <w:r>
        <w:rPr>
          <w:rFonts w:ascii="Book Antiqua" w:hAnsi="Book Antiqua" w:eastAsia="Book Antiqua" w:cs="Book Antiqua"/>
        </w:rPr>
        <w:t xml:space="preserve">AI dapat membantu mempersonalisasi pembelajaran sesuai kemampuan siswa, sedangkan VR memberikan pengalaman belajar secara langsung seperti simulasi ibadah dan sejarah Islam. Media digital seperti e-learning, video interaktif, dan media sosial juga menjadikan pembelajaran lebih menarik dan mudah diakses oleh semua kalangan, kapan pun dan di mana pun. </w:t>
      </w:r>
    </w:p>
    <w:p w14:paraId="407CDADA">
      <w:pPr>
        <w:ind w:left="139" w:leftChars="58" w:firstLine="287" w:firstLineChars="0"/>
        <w:jc w:val="both"/>
        <w:rPr>
          <w:rFonts w:ascii="Book Antiqua" w:hAnsi="Book Antiqua" w:eastAsia="Book Antiqua" w:cs="Book Antiqua"/>
        </w:rPr>
      </w:pPr>
      <w:r>
        <w:rPr>
          <w:rFonts w:ascii="Book Antiqua" w:hAnsi="Book Antiqua" w:eastAsia="Book Antiqua" w:cs="Book Antiqua"/>
        </w:rPr>
        <w:t>Namun, ada beberapa tantangan yang perlu diatasi. Di antaranya adalah keterbatasan sarana dan prasarana, biaya pemanfaatan teknologi yang cukup tinggi, serta guru dan siswa belum sepenuhnya siap memanfaatkan teknologi secara efektif. Literasi digital juga masih perlu ditingkatkan. Untuk itu, diperlukan kolaborasi antara pemerintah, pendidik, pengembang teknologi, dan masyarakat agar pemanfaatan teknologi dalam pembelajaran Islam berjalan optimal, tetap sesuai dengan nilai-nilai syariah, dan benar-benar bermanfaat bagi siswa.</w:t>
      </w:r>
    </w:p>
    <w:p w14:paraId="10E4BA56">
      <w:pPr>
        <w:ind w:left="0" w:hanging="2"/>
        <w:rPr>
          <w:rFonts w:ascii="Book Antiqua" w:hAnsi="Book Antiqua" w:eastAsia="Book Antiqua" w:cs="Book Antiqua"/>
        </w:rPr>
      </w:pPr>
    </w:p>
    <w:p w14:paraId="31CD2041">
      <w:pPr>
        <w:ind w:left="0" w:hanging="2"/>
        <w:jc w:val="both"/>
        <w:rPr>
          <w:rFonts w:ascii="Book Antiqua" w:hAnsi="Book Antiqua" w:eastAsia="Book Antiqua" w:cs="Book Antiqua"/>
          <w:b/>
        </w:rPr>
      </w:pPr>
      <w:r>
        <w:rPr>
          <w:rFonts w:ascii="Book Antiqua" w:hAnsi="Book Antiqua" w:eastAsia="Book Antiqua" w:cs="Book Antiqua"/>
          <w:b/>
        </w:rPr>
        <w:t>UCAPAN TERIMA KASIH (OPTIONAL)</w:t>
      </w:r>
    </w:p>
    <w:p w14:paraId="24AB4AE0">
      <w:pPr>
        <w:ind w:left="0" w:hanging="2"/>
        <w:jc w:val="both"/>
        <w:rPr>
          <w:rFonts w:ascii="Book Antiqua" w:hAnsi="Book Antiqua" w:eastAsia="Book Antiqua" w:cs="Book Antiqua"/>
        </w:rPr>
      </w:pPr>
      <w:r>
        <w:rPr>
          <w:rFonts w:ascii="Book Antiqua" w:hAnsi="Book Antiqua" w:eastAsia="Book Antiqua" w:cs="Book Antiqua"/>
        </w:rPr>
        <w:t>Terima kasih kepada semua yang sudah mendukung dan memberi semangat selama penulisan artikel ini. Semoga apa yang disampaikan bisa bermanfaat dan jadi tambahan wawasan buat kita semua, khususnya dalam menghadapi perkembangan teknologi dalam pembelajaran Islam. Kritik dan saran sangat terbuka agar ke depannya bisa lebih baik lagi.</w:t>
      </w:r>
    </w:p>
    <w:p w14:paraId="51F76048">
      <w:pPr>
        <w:ind w:left="0" w:hanging="2"/>
        <w:rPr>
          <w:rFonts w:ascii="Book Antiqua" w:hAnsi="Book Antiqua" w:eastAsia="Book Antiqua" w:cs="Book Antiqua"/>
          <w:b/>
        </w:rPr>
      </w:pPr>
      <w:r>
        <w:rPr>
          <w:rFonts w:ascii="Book Antiqua" w:hAnsi="Book Antiqua" w:eastAsia="Book Antiqua" w:cs="Book Antiqua"/>
          <w:b/>
        </w:rPr>
        <w:t>DAFTAR PUSAKA</w:t>
      </w:r>
    </w:p>
    <w:p w14:paraId="1A358439">
      <w:pPr>
        <w:ind w:left="0" w:hanging="2"/>
        <w:rPr>
          <w:rFonts w:ascii="Book Antiqua" w:hAnsi="Book Antiqua" w:eastAsia="Book Antiqua" w:cs="Book Antiqua"/>
          <w:b/>
        </w:rPr>
      </w:pPr>
    </w:p>
    <w:p w14:paraId="121E3EEC">
      <w:pPr>
        <w:ind w:left="0" w:hanging="2"/>
        <w:jc w:val="both"/>
        <w:rPr>
          <w:rFonts w:ascii="Book Antiqua" w:hAnsi="Book Antiqua" w:eastAsia="Book Antiqua" w:cs="Book Antiqua"/>
          <w:highlight w:val="white"/>
        </w:rPr>
      </w:pPr>
      <w:r>
        <w:rPr>
          <w:rFonts w:ascii="Book Antiqua" w:hAnsi="Book Antiqua" w:eastAsia="Book Antiqua" w:cs="Book Antiqua"/>
          <w:highlight w:val="white"/>
        </w:rPr>
        <w:t xml:space="preserve">Prahani, BK, Limatahu, I., Winata, SW, Yuanita, L., &amp; Nur, M. (2016). Effectiveness of physics learning material through guided inquiry models to improve student's problem-solving skills based on multiple representations. </w:t>
      </w:r>
      <w:r>
        <w:rPr>
          <w:rFonts w:ascii="Book Antiqua" w:hAnsi="Book Antiqua" w:eastAsia="Book Antiqua" w:cs="Book Antiqua"/>
          <w:i/>
          <w:highlight w:val="white"/>
        </w:rPr>
        <w:t>International Journal of Education and Research</w:t>
      </w:r>
      <w:r>
        <w:rPr>
          <w:rFonts w:ascii="Book Antiqua" w:hAnsi="Book Antiqua" w:eastAsia="Book Antiqua" w:cs="Book Antiqua"/>
          <w:highlight w:val="white"/>
        </w:rPr>
        <w:t xml:space="preserve">, </w:t>
      </w:r>
      <w:r>
        <w:rPr>
          <w:rFonts w:ascii="Book Antiqua" w:hAnsi="Book Antiqua" w:eastAsia="Book Antiqua" w:cs="Book Antiqua"/>
          <w:i/>
          <w:highlight w:val="white"/>
        </w:rPr>
        <w:t>4</w:t>
      </w:r>
      <w:r>
        <w:rPr>
          <w:rFonts w:ascii="Book Antiqua" w:hAnsi="Book Antiqua" w:eastAsia="Book Antiqua" w:cs="Book Antiqua"/>
          <w:highlight w:val="white"/>
        </w:rPr>
        <w:t>(12), 231-244.</w:t>
      </w:r>
    </w:p>
    <w:p w14:paraId="2D60B0C3">
      <w:pPr>
        <w:ind w:left="0" w:hanging="2"/>
        <w:jc w:val="both"/>
        <w:rPr>
          <w:rFonts w:ascii="Book Antiqua" w:hAnsi="Book Antiqua" w:eastAsia="Book Antiqua" w:cs="Book Antiqua"/>
          <w:highlight w:val="white"/>
        </w:rPr>
      </w:pPr>
    </w:p>
    <w:p w14:paraId="7169F830">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Byman, R. (2005). Curiosity and sensation seeking: A conceptual and empirical examination. </w:t>
      </w:r>
      <w:r>
        <w:rPr>
          <w:rFonts w:ascii="Book Antiqua" w:hAnsi="Book Antiqua" w:eastAsia="Book Antiqua" w:cs="Book Antiqua"/>
          <w:i/>
          <w:sz w:val="22"/>
          <w:szCs w:val="22"/>
        </w:rPr>
        <w:t>Personality and Individual Differences, 38</w:t>
      </w:r>
      <w:r>
        <w:rPr>
          <w:rFonts w:ascii="Book Antiqua" w:hAnsi="Book Antiqua" w:eastAsia="Book Antiqua" w:cs="Book Antiqua"/>
          <w:sz w:val="22"/>
          <w:szCs w:val="22"/>
        </w:rPr>
        <w:t>(6),</w:t>
      </w:r>
      <w:r>
        <w:rPr>
          <w:rFonts w:ascii="Book Antiqua" w:hAnsi="Book Antiqua" w:eastAsia="Book Antiqua" w:cs="Book Antiqua"/>
          <w:i/>
          <w:sz w:val="22"/>
          <w:szCs w:val="22"/>
        </w:rPr>
        <w:t xml:space="preserve"> </w:t>
      </w:r>
      <w:r>
        <w:rPr>
          <w:rFonts w:ascii="Book Antiqua" w:hAnsi="Book Antiqua" w:eastAsia="Book Antiqua" w:cs="Book Antiqua"/>
          <w:sz w:val="22"/>
          <w:szCs w:val="22"/>
        </w:rPr>
        <w:t xml:space="preserve">1365-1379. </w:t>
      </w:r>
      <w:r>
        <w:fldChar w:fldCharType="begin"/>
      </w:r>
      <w:r>
        <w:instrText xml:space="preserve"> HYPERLINK "https://doi.org/10.1016/j.paid.2004.09.004" \h </w:instrText>
      </w:r>
      <w:r>
        <w:fldChar w:fldCharType="separate"/>
      </w:r>
      <w:r>
        <w:rPr>
          <w:rFonts w:ascii="Book Antiqua" w:hAnsi="Book Antiqua" w:eastAsia="Book Antiqua" w:cs="Book Antiqua"/>
          <w:color w:val="000000"/>
          <w:sz w:val="22"/>
          <w:szCs w:val="22"/>
          <w:u w:val="single"/>
        </w:rPr>
        <w:t>https://doi.org/10.1016/j.paid.2004.09.004</w:t>
      </w:r>
      <w:r>
        <w:rPr>
          <w:rFonts w:ascii="Book Antiqua" w:hAnsi="Book Antiqua" w:eastAsia="Book Antiqua" w:cs="Book Antiqua"/>
          <w:color w:val="000000"/>
          <w:sz w:val="22"/>
          <w:szCs w:val="22"/>
          <w:u w:val="single"/>
        </w:rPr>
        <w:fldChar w:fldCharType="end"/>
      </w:r>
      <w:r>
        <w:rPr>
          <w:rFonts w:ascii="Book Antiqua" w:hAnsi="Book Antiqua" w:eastAsia="Book Antiqua" w:cs="Book Antiqua"/>
          <w:sz w:val="22"/>
          <w:szCs w:val="22"/>
        </w:rPr>
        <w:t xml:space="preserve"> </w:t>
      </w:r>
    </w:p>
    <w:p w14:paraId="096330FE">
      <w:pPr>
        <w:ind w:left="0" w:hanging="2"/>
        <w:jc w:val="both"/>
        <w:rPr>
          <w:rFonts w:ascii="Book Antiqua" w:hAnsi="Book Antiqua" w:eastAsia="Book Antiqua" w:cs="Book Antiqua"/>
          <w:sz w:val="22"/>
          <w:szCs w:val="22"/>
        </w:rPr>
      </w:pPr>
    </w:p>
    <w:p w14:paraId="3D5B34F3">
      <w:pPr>
        <w:ind w:left="0" w:hanging="2"/>
        <w:jc w:val="both"/>
        <w:rPr>
          <w:rFonts w:ascii="Book Antiqua" w:hAnsi="Book Antiqua" w:eastAsia="Book Antiqua" w:cs="Book Antiqua"/>
          <w:i/>
          <w:sz w:val="22"/>
          <w:szCs w:val="22"/>
        </w:rPr>
      </w:pPr>
      <w:r>
        <w:rPr>
          <w:rFonts w:ascii="Book Antiqua" w:hAnsi="Book Antiqua" w:eastAsia="Book Antiqua" w:cs="Book Antiqua"/>
          <w:sz w:val="22"/>
          <w:szCs w:val="22"/>
        </w:rPr>
        <w:t xml:space="preserve">Cronbach, L. J., &amp; Meehl, P. E. (1955). Construct validity in psychological tests. </w:t>
      </w:r>
      <w:r>
        <w:rPr>
          <w:rFonts w:ascii="Book Antiqua" w:hAnsi="Book Antiqua" w:eastAsia="Book Antiqua" w:cs="Book Antiqua"/>
          <w:i/>
          <w:sz w:val="22"/>
          <w:szCs w:val="22"/>
        </w:rPr>
        <w:t xml:space="preserve">Psychological Bulletin, 52(4), 281-302. </w:t>
      </w:r>
      <w:r>
        <w:fldChar w:fldCharType="begin"/>
      </w:r>
      <w:r>
        <w:instrText xml:space="preserve"> HYPERLINK "https://psycnet.apa.org/doi/10.1037/h0040957" \h </w:instrText>
      </w:r>
      <w:r>
        <w:fldChar w:fldCharType="separate"/>
      </w:r>
      <w:r>
        <w:rPr>
          <w:rFonts w:ascii="Book Antiqua" w:hAnsi="Book Antiqua" w:eastAsia="Book Antiqua" w:cs="Book Antiqua"/>
          <w:i/>
        </w:rPr>
        <w:t>https://psycnet.apa.org/doi/10.1037/h0040957</w:t>
      </w:r>
      <w:r>
        <w:rPr>
          <w:rFonts w:ascii="Book Antiqua" w:hAnsi="Book Antiqua" w:eastAsia="Book Antiqua" w:cs="Book Antiqua"/>
          <w:i/>
        </w:rPr>
        <w:fldChar w:fldCharType="end"/>
      </w:r>
      <w:r>
        <w:rPr>
          <w:rFonts w:ascii="Book Antiqua" w:hAnsi="Book Antiqua" w:eastAsia="Book Antiqua" w:cs="Book Antiqua"/>
          <w:i/>
          <w:sz w:val="22"/>
          <w:szCs w:val="22"/>
        </w:rPr>
        <w:t xml:space="preserve"> </w:t>
      </w:r>
    </w:p>
    <w:p w14:paraId="6F0B1C5A">
      <w:pPr>
        <w:ind w:left="0" w:hanging="2"/>
        <w:jc w:val="both"/>
        <w:rPr>
          <w:rFonts w:ascii="Book Antiqua" w:hAnsi="Book Antiqua" w:eastAsia="Book Antiqua" w:cs="Book Antiqua"/>
          <w:i/>
          <w:sz w:val="22"/>
          <w:szCs w:val="22"/>
        </w:rPr>
      </w:pPr>
    </w:p>
    <w:p w14:paraId="184B8CE1">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Geddis, A. N. (1993). Transforming subject-matter knowledge: The role of pedagogical content knowledge in learning to reflect on teaching. </w:t>
      </w:r>
      <w:r>
        <w:rPr>
          <w:rFonts w:ascii="Book Antiqua" w:hAnsi="Book Antiqua" w:eastAsia="Book Antiqua" w:cs="Book Antiqua"/>
          <w:i/>
          <w:sz w:val="22"/>
          <w:szCs w:val="22"/>
        </w:rPr>
        <w:t>International Journal of Science Education,</w:t>
      </w:r>
      <w:r>
        <w:rPr>
          <w:rFonts w:ascii="Book Antiqua" w:hAnsi="Book Antiqua" w:eastAsia="Book Antiqua" w:cs="Book Antiqua"/>
          <w:sz w:val="22"/>
          <w:szCs w:val="22"/>
        </w:rPr>
        <w:t xml:space="preserve"> </w:t>
      </w:r>
      <w:r>
        <w:rPr>
          <w:rFonts w:ascii="Book Antiqua" w:hAnsi="Book Antiqua" w:eastAsia="Book Antiqua" w:cs="Book Antiqua"/>
          <w:i/>
          <w:sz w:val="22"/>
          <w:szCs w:val="22"/>
        </w:rPr>
        <w:t>15</w:t>
      </w:r>
      <w:r>
        <w:rPr>
          <w:rFonts w:ascii="Book Antiqua" w:hAnsi="Book Antiqua" w:eastAsia="Book Antiqua" w:cs="Book Antiqua"/>
          <w:sz w:val="22"/>
          <w:szCs w:val="22"/>
        </w:rPr>
        <w:t>(6),</w:t>
      </w:r>
      <w:r>
        <w:rPr>
          <w:rFonts w:ascii="Book Antiqua" w:hAnsi="Book Antiqua" w:eastAsia="Book Antiqua" w:cs="Book Antiqua"/>
          <w:i/>
          <w:sz w:val="22"/>
          <w:szCs w:val="22"/>
        </w:rPr>
        <w:t xml:space="preserve"> </w:t>
      </w:r>
      <w:r>
        <w:rPr>
          <w:rFonts w:ascii="Book Antiqua" w:hAnsi="Book Antiqua" w:eastAsia="Book Antiqua" w:cs="Book Antiqua"/>
          <w:sz w:val="22"/>
          <w:szCs w:val="22"/>
        </w:rPr>
        <w:t xml:space="preserve">673-683. </w:t>
      </w:r>
      <w:r>
        <w:fldChar w:fldCharType="begin"/>
      </w:r>
      <w:r>
        <w:instrText xml:space="preserve"> HYPERLINK "https://doi.org/10.1080/0950069930150605" \h </w:instrText>
      </w:r>
      <w:r>
        <w:fldChar w:fldCharType="separate"/>
      </w:r>
      <w:r>
        <w:rPr>
          <w:rFonts w:ascii="Book Antiqua" w:hAnsi="Book Antiqua" w:eastAsia="Book Antiqua" w:cs="Book Antiqua"/>
          <w:color w:val="000000"/>
          <w:sz w:val="22"/>
          <w:szCs w:val="22"/>
          <w:u w:val="single"/>
        </w:rPr>
        <w:t>https://doi.org/10.1080/0950069930150605</w:t>
      </w:r>
      <w:r>
        <w:rPr>
          <w:rFonts w:ascii="Book Antiqua" w:hAnsi="Book Antiqua" w:eastAsia="Book Antiqua" w:cs="Book Antiqua"/>
          <w:color w:val="000000"/>
          <w:sz w:val="22"/>
          <w:szCs w:val="22"/>
          <w:u w:val="single"/>
        </w:rPr>
        <w:fldChar w:fldCharType="end"/>
      </w:r>
      <w:r>
        <w:rPr>
          <w:rFonts w:ascii="Book Antiqua" w:hAnsi="Book Antiqua" w:eastAsia="Book Antiqua" w:cs="Book Antiqua"/>
          <w:sz w:val="22"/>
          <w:szCs w:val="22"/>
        </w:rPr>
        <w:t xml:space="preserve"> </w:t>
      </w:r>
    </w:p>
    <w:p w14:paraId="256841AC">
      <w:pPr>
        <w:ind w:left="0" w:hanging="2"/>
        <w:jc w:val="both"/>
        <w:rPr>
          <w:rFonts w:ascii="Book Antiqua" w:hAnsi="Book Antiqua" w:eastAsia="Book Antiqua" w:cs="Book Antiqua"/>
          <w:sz w:val="22"/>
          <w:szCs w:val="22"/>
        </w:rPr>
      </w:pPr>
    </w:p>
    <w:p w14:paraId="2BAC2439">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Herráez, A. (2006). </w:t>
      </w:r>
      <w:r>
        <w:rPr>
          <w:rFonts w:ascii="Book Antiqua" w:hAnsi="Book Antiqua" w:eastAsia="Book Antiqua" w:cs="Book Antiqua"/>
          <w:sz w:val="22"/>
          <w:szCs w:val="22"/>
          <w:highlight w:val="white"/>
        </w:rPr>
        <w:t xml:space="preserve">Biomolecules in the computer: </w:t>
      </w:r>
      <w:r>
        <w:rPr>
          <w:rFonts w:ascii="Book Antiqua" w:hAnsi="Book Antiqua" w:eastAsia="Book Antiqua" w:cs="Book Antiqua"/>
          <w:sz w:val="22"/>
          <w:szCs w:val="22"/>
        </w:rPr>
        <w:t xml:space="preserve">Jmol to the rescue. </w:t>
      </w:r>
      <w:r>
        <w:rPr>
          <w:rFonts w:ascii="Book Antiqua" w:hAnsi="Book Antiqua" w:eastAsia="Book Antiqua" w:cs="Book Antiqua"/>
          <w:i/>
          <w:sz w:val="22"/>
          <w:szCs w:val="22"/>
        </w:rPr>
        <w:t>Biochemistry &amp; Molecular Biology Education, 34</w:t>
      </w:r>
      <w:r>
        <w:rPr>
          <w:rFonts w:ascii="Book Antiqua" w:hAnsi="Book Antiqua" w:eastAsia="Book Antiqua" w:cs="Book Antiqua"/>
          <w:sz w:val="22"/>
          <w:szCs w:val="22"/>
        </w:rPr>
        <w:t xml:space="preserve"> (4), 255-261. </w:t>
      </w:r>
      <w:r>
        <w:fldChar w:fldCharType="begin"/>
      </w:r>
      <w:r>
        <w:instrText xml:space="preserve"> HYPERLINK "https://doi.org/10.1002/bmb.2006.494034042644" \h </w:instrText>
      </w:r>
      <w:r>
        <w:fldChar w:fldCharType="separate"/>
      </w:r>
      <w:r>
        <w:rPr>
          <w:rFonts w:ascii="Book Antiqua" w:hAnsi="Book Antiqua" w:eastAsia="Book Antiqua" w:cs="Book Antiqua"/>
          <w:color w:val="000000"/>
          <w:sz w:val="22"/>
          <w:szCs w:val="22"/>
          <w:u w:val="single"/>
        </w:rPr>
        <w:t>https://doi.org/10.1002/bmb.2006.494034042644</w:t>
      </w:r>
      <w:r>
        <w:rPr>
          <w:rFonts w:ascii="Book Antiqua" w:hAnsi="Book Antiqua" w:eastAsia="Book Antiqua" w:cs="Book Antiqua"/>
          <w:color w:val="000000"/>
          <w:sz w:val="22"/>
          <w:szCs w:val="22"/>
          <w:u w:val="single"/>
        </w:rPr>
        <w:fldChar w:fldCharType="end"/>
      </w:r>
    </w:p>
    <w:p w14:paraId="05F67627">
      <w:pPr>
        <w:ind w:left="0" w:hanging="2"/>
        <w:jc w:val="both"/>
        <w:rPr>
          <w:rFonts w:ascii="Book Antiqua" w:hAnsi="Book Antiqua" w:eastAsia="Book Antiqua" w:cs="Book Antiqua"/>
          <w:sz w:val="22"/>
          <w:szCs w:val="22"/>
        </w:rPr>
      </w:pPr>
    </w:p>
    <w:p w14:paraId="5B1F68AB">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Johnson, J. A. (1997). Units of analysis for the description and explanation of personality. In R. Hogan, J. Johnson, &amp; S. Briggs (Eds.), </w:t>
      </w:r>
      <w:r>
        <w:rPr>
          <w:rFonts w:ascii="Book Antiqua" w:hAnsi="Book Antiqua" w:eastAsia="Book Antiqua" w:cs="Book Antiqua"/>
          <w:i/>
          <w:sz w:val="22"/>
          <w:szCs w:val="22"/>
        </w:rPr>
        <w:t>Handbook of personality psychology</w:t>
      </w:r>
      <w:r>
        <w:rPr>
          <w:rFonts w:ascii="Book Antiqua" w:hAnsi="Book Antiqua" w:eastAsia="Book Antiqua" w:cs="Book Antiqua"/>
          <w:sz w:val="22"/>
          <w:szCs w:val="22"/>
        </w:rPr>
        <w:t xml:space="preserve"> (pp. 73-93). Academic Press.</w:t>
      </w:r>
    </w:p>
    <w:p w14:paraId="5EFF524B">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Nasledov, A. (2005). </w:t>
      </w:r>
      <w:r>
        <w:rPr>
          <w:rFonts w:ascii="Book Antiqua" w:hAnsi="Book Antiqua" w:eastAsia="Book Antiqua" w:cs="Book Antiqua"/>
          <w:i/>
          <w:sz w:val="22"/>
          <w:szCs w:val="22"/>
        </w:rPr>
        <w:t>SPSS: komp'juternyj analiz dannyh v psihologii i social'nyh naukah</w:t>
      </w:r>
      <w:r>
        <w:rPr>
          <w:rFonts w:ascii="Book Antiqua" w:hAnsi="Book Antiqua" w:eastAsia="Book Antiqua" w:cs="Book Antiqua"/>
          <w:sz w:val="22"/>
          <w:szCs w:val="22"/>
        </w:rPr>
        <w:t xml:space="preserve"> [SPSS: Computer analysis of data in psychology and social sciences]. Piter.</w:t>
      </w:r>
    </w:p>
    <w:p w14:paraId="0404EFDA">
      <w:pPr>
        <w:ind w:left="0" w:hanging="2"/>
        <w:jc w:val="both"/>
        <w:rPr>
          <w:rFonts w:ascii="Book Antiqua" w:hAnsi="Book Antiqua" w:eastAsia="Book Antiqua" w:cs="Book Antiqua"/>
          <w:color w:val="000000"/>
          <w:sz w:val="22"/>
          <w:szCs w:val="22"/>
          <w:highlight w:val="white"/>
        </w:rPr>
      </w:pPr>
    </w:p>
    <w:p w14:paraId="4C722130">
      <w:pPr>
        <w:ind w:left="0" w:hanging="2"/>
        <w:jc w:val="both"/>
        <w:rPr>
          <w:rFonts w:ascii="Book Antiqua" w:hAnsi="Book Antiqua" w:eastAsia="Book Antiqua" w:cs="Book Antiqua"/>
          <w:sz w:val="22"/>
          <w:szCs w:val="22"/>
        </w:rPr>
      </w:pPr>
      <w:r>
        <w:rPr>
          <w:rFonts w:ascii="Book Antiqua" w:hAnsi="Book Antiqua" w:eastAsia="Book Antiqua" w:cs="Book Antiqua"/>
          <w:color w:val="002060"/>
          <w:sz w:val="22"/>
          <w:szCs w:val="22"/>
        </w:rPr>
        <w:t xml:space="preserve">(There should be a reference article published in a reputed international journal (indexed </w:t>
      </w:r>
      <w:r>
        <w:rPr>
          <w:rFonts w:ascii="Book Antiqua" w:hAnsi="Book Antiqua" w:eastAsia="Book Antiqua" w:cs="Book Antiqua"/>
          <w:sz w:val="22"/>
          <w:szCs w:val="22"/>
        </w:rPr>
        <w:t>Scopus or WoS). It needs 70% of references from articles (last 10 years) and 30% of references from books).</w:t>
      </w:r>
    </w:p>
    <w:p w14:paraId="5170019B">
      <w:pPr>
        <w:tabs>
          <w:tab w:val="left" w:pos="7513"/>
        </w:tabs>
        <w:ind w:left="0" w:hanging="2"/>
        <w:jc w:val="both"/>
        <w:rPr>
          <w:rFonts w:ascii="Book Antiqua" w:hAnsi="Book Antiqua" w:eastAsia="Book Antiqua" w:cs="Book Antiqua"/>
        </w:rPr>
      </w:pPr>
      <w:r>
        <w:rPr>
          <w:rFonts w:ascii="Book Antiqua" w:hAnsi="Book Antiqua" w:eastAsia="Book Antiqua" w:cs="Book Antiqua"/>
        </w:rPr>
        <w:t>Do not use Wikipedia for references. Do not use “et. al.”  Provide issue numbers for papers. Reference section should not be used for commentary and notes.</w:t>
      </w:r>
    </w:p>
    <w:p w14:paraId="50FA88F9">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665A75A">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74D1FAF0">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694C1D3">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03DC8037">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D2F792D">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614879DA">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4779D7A">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sectPr>
      <w:headerReference r:id="rId5" w:type="default"/>
      <w:footerReference r:id="rId6" w:type="default"/>
      <w:pgSz w:w="11907" w:h="16840"/>
      <w:pgMar w:top="1134" w:right="1134" w:bottom="1134" w:left="141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LT">
    <w:altName w:val="Segoe Print"/>
    <w:panose1 w:val="00000000000000000000"/>
    <w:charset w:val="00"/>
    <w:family w:val="roman"/>
    <w:pitch w:val="default"/>
    <w:sig w:usb0="00000000" w:usb1="00000000" w:usb2="00000000" w:usb3="00000000" w:csb0="00000000" w:csb1="00000000"/>
  </w:font>
  <w:font w:name="Minion Pro">
    <w:altName w:val="Segoe Print"/>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Book Antiqua">
    <w:panose1 w:val="020406020503050303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9EF68">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6BA21BCE">
    <w:pPr>
      <w:ind w:left="0" w:hanging="2"/>
    </w:pPr>
    <w:r>
      <mc:AlternateContent>
        <mc:Choice Requires="wps">
          <w:drawing>
            <wp:anchor distT="0" distB="0" distL="0" distR="0" simplePos="0" relativeHeight="251661312" behindDoc="1" locked="0" layoutInCell="1" allowOverlap="1">
              <wp:simplePos x="0" y="0"/>
              <wp:positionH relativeFrom="column">
                <wp:posOffset>-50165</wp:posOffset>
              </wp:positionH>
              <wp:positionV relativeFrom="paragraph">
                <wp:posOffset>9969500</wp:posOffset>
              </wp:positionV>
              <wp:extent cx="2334895" cy="230505"/>
              <wp:effectExtent l="0" t="0" r="0" b="0"/>
              <wp:wrapNone/>
              <wp:docPr id="9" name="Rectangle 9"/>
              <wp:cNvGraphicFramePr/>
              <a:graphic xmlns:a="http://schemas.openxmlformats.org/drawingml/2006/main">
                <a:graphicData uri="http://schemas.microsoft.com/office/word/2010/wordprocessingShape">
                  <wps:wsp>
                    <wps:cNvSpPr/>
                    <wps:spPr>
                      <a:xfrm>
                        <a:off x="3137788" y="3682845"/>
                        <a:ext cx="4416425" cy="194310"/>
                      </a:xfrm>
                      <a:prstGeom prst="rect">
                        <a:avLst/>
                      </a:prstGeom>
                      <a:noFill/>
                      <a:ln>
                        <a:noFill/>
                      </a:ln>
                    </wps:spPr>
                    <wps:txbx>
                      <w:txbxContent>
                        <w:p w14:paraId="136F89AB">
                          <w:pPr>
                            <w:spacing w:before="10" w:after="120" w:line="240" w:lineRule="auto"/>
                            <w:ind w:left="0" w:hanging="2"/>
                          </w:pPr>
                          <w:r>
                            <w:rPr>
                              <w:rFonts w:ascii="Arial" w:hAnsi="Arial" w:eastAsia="Arial" w:cs="Arial"/>
                              <w:color w:val="000000"/>
                              <w:sz w:val="20"/>
                            </w:rPr>
                            <w:t>Amaliyatu Tadris, Vol.   No.   Agustus 2024</w:t>
                          </w:r>
                        </w:p>
                        <w:p w14:paraId="39011D18">
                          <w:pPr>
                            <w:spacing w:line="240" w:lineRule="auto"/>
                            <w:ind w:left="0" w:hanging="2"/>
                          </w:pPr>
                        </w:p>
                      </w:txbxContent>
                    </wps:txbx>
                    <wps:bodyPr spcFirstLastPara="1" wrap="square" lIns="0" tIns="0" rIns="0" bIns="0" anchor="t" anchorCtr="0">
                      <a:noAutofit/>
                    </wps:bodyPr>
                  </wps:wsp>
                </a:graphicData>
              </a:graphic>
            </wp:anchor>
          </w:drawing>
        </mc:Choice>
        <mc:Fallback>
          <w:pict>
            <v:rect id="Rectangle 9" o:spid="_x0000_s1026" o:spt="1" style="position:absolute;left:0pt;margin-left:-3.95pt;margin-top:785pt;height:18.15pt;width:183.85pt;z-index:-251655168;mso-width-relative:page;mso-height-relative:page;" filled="f" stroked="f" coordsize="21600,21600" o:gfxdata="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YNaqtsAAAAMAQAA&#10;DwAAAAAAAAABACAAAAAiAAAAZHJzL2Rvd25yZXYueG1sUEsBAhQAFAAAAAgAh07iQFKYiJbdAQAA&#10;vgMAAA4AAAAAAAAAAQAgAAAAKgEAAGRycy9lMm9Eb2MueG1sUEsFBgAAAAAGAAYAWQEAAHkFAAAA&#10;AA==&#10;">
              <v:fill on="f" focussize="0,0"/>
              <v:stroke on="f"/>
              <v:imagedata o:title=""/>
              <o:lock v:ext="edit" aspectratio="f"/>
              <v:textbox inset="0mm,0mm,0mm,0mm">
                <w:txbxContent>
                  <w:p w14:paraId="136F89AB">
                    <w:pPr>
                      <w:spacing w:before="10" w:after="120" w:line="240" w:lineRule="auto"/>
                      <w:ind w:left="0" w:hanging="2"/>
                    </w:pPr>
                    <w:r>
                      <w:rPr>
                        <w:rFonts w:ascii="Arial" w:hAnsi="Arial" w:eastAsia="Arial" w:cs="Arial"/>
                        <w:color w:val="000000"/>
                        <w:sz w:val="20"/>
                      </w:rPr>
                      <w:t>Amaliyatu Tadris, Vol.   No.   Agustus 2024</w:t>
                    </w:r>
                  </w:p>
                  <w:p w14:paraId="39011D18">
                    <w:pPr>
                      <w:spacing w:line="240" w:lineRule="auto"/>
                      <w:ind w:left="0" w:hanging="2"/>
                    </w:pPr>
                  </w:p>
                </w:txbxContent>
              </v:textbox>
            </v:rect>
          </w:pict>
        </mc:Fallback>
      </mc:AlternateContent>
    </w:r>
    <w:r>
      <mc:AlternateContent>
        <mc:Choice Requires="wps">
          <w:drawing>
            <wp:anchor distT="0" distB="0" distL="0" distR="0" simplePos="0" relativeHeight="251662336" behindDoc="0" locked="0" layoutInCell="1" allowOverlap="1">
              <wp:simplePos x="0" y="0"/>
              <wp:positionH relativeFrom="column">
                <wp:posOffset>0</wp:posOffset>
              </wp:positionH>
              <wp:positionV relativeFrom="paragraph">
                <wp:posOffset>0</wp:posOffset>
              </wp:positionV>
              <wp:extent cx="2333625" cy="228600"/>
              <wp:effectExtent l="0" t="0" r="0" b="0"/>
              <wp:wrapNone/>
              <wp:docPr id="10" name="Rectangle 10"/>
              <wp:cNvGraphicFramePr/>
              <a:graphic xmlns:a="http://schemas.openxmlformats.org/drawingml/2006/main">
                <a:graphicData uri="http://schemas.microsoft.com/office/word/2010/wordprocessingShape">
                  <wps:wsp>
                    <wps:cNvSpPr/>
                    <wps:spPr>
                      <a:xfrm>
                        <a:off x="3137788" y="3682845"/>
                        <a:ext cx="4416425" cy="194310"/>
                      </a:xfrm>
                      <a:prstGeom prst="rect">
                        <a:avLst/>
                      </a:prstGeom>
                      <a:noFill/>
                      <a:ln>
                        <a:noFill/>
                      </a:ln>
                    </wps:spPr>
                    <wps:txbx>
                      <w:txbxContent>
                        <w:p w14:paraId="1681A372">
                          <w:pPr>
                            <w:spacing w:before="10" w:after="120" w:line="240" w:lineRule="auto"/>
                            <w:ind w:left="0" w:hanging="2"/>
                          </w:pPr>
                          <w:r>
                            <w:rPr>
                              <w:rFonts w:ascii="Arial" w:hAnsi="Arial" w:eastAsia="Arial" w:cs="Arial"/>
                              <w:color w:val="000000"/>
                              <w:sz w:val="20"/>
                            </w:rPr>
                            <w:t>Amaliyatu Tadris (AMYTA), Vol.   No.   Agustus 2024</w:t>
                          </w:r>
                        </w:p>
                        <w:p w14:paraId="06680AD5">
                          <w:pPr>
                            <w:spacing w:line="240" w:lineRule="auto"/>
                            <w:ind w:left="0" w:hanging="2"/>
                          </w:pPr>
                        </w:p>
                      </w:txbxContent>
                    </wps:txbx>
                    <wps:bodyPr spcFirstLastPara="1" wrap="square" lIns="0" tIns="0" rIns="0" bIns="0" anchor="t" anchorCtr="0">
                      <a:noAutofit/>
                    </wps:bodyPr>
                  </wps:wsp>
                </a:graphicData>
              </a:graphic>
            </wp:anchor>
          </w:drawing>
        </mc:Choice>
        <mc:Fallback>
          <w:pict>
            <v:rect id="Rectangle 10" o:spid="_x0000_s1026" o:spt="1" style="position:absolute;left:0pt;margin-left:0pt;margin-top:0pt;height:18pt;width:183.75pt;z-index:251662336;mso-width-relative:page;mso-height-relative:page;" filled="f" stroked="f" coordsize="21600,21600" o:gfxdata="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SqLZjWAAAABAEAAA8AAAAA&#10;AAAAAQAgAAAAIgAAAGRycy9kb3ducmV2LnhtbFBLAQIUABQAAAAIAIdO4kAif/QU3QEAAMADAAAO&#10;AAAAAAAAAAEAIAAAACUBAABkcnMvZTJvRG9jLnhtbFBLBQYAAAAABgAGAFkBAAB0BQAAAAA=&#10;">
              <v:fill on="f" focussize="0,0"/>
              <v:stroke on="f"/>
              <v:imagedata o:title=""/>
              <o:lock v:ext="edit" aspectratio="f"/>
              <v:textbox inset="0mm,0mm,0mm,0mm">
                <w:txbxContent>
                  <w:p w14:paraId="1681A372">
                    <w:pPr>
                      <w:spacing w:before="10" w:after="120" w:line="240" w:lineRule="auto"/>
                      <w:ind w:left="0" w:hanging="2"/>
                    </w:pPr>
                    <w:r>
                      <w:rPr>
                        <w:rFonts w:ascii="Arial" w:hAnsi="Arial" w:eastAsia="Arial" w:cs="Arial"/>
                        <w:color w:val="000000"/>
                        <w:sz w:val="20"/>
                      </w:rPr>
                      <w:t>Amaliyatu Tadris (AMYTA), Vol.   No.   Agustus 2024</w:t>
                    </w:r>
                  </w:p>
                  <w:p w14:paraId="06680AD5">
                    <w:pPr>
                      <w:spacing w:line="240" w:lineRule="auto"/>
                      <w:ind w:left="0" w:hanging="2"/>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8DD0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rPr>
        <w:rFonts w:ascii="Book Antiqua" w:hAnsi="Book Antiqua" w:eastAsia="Book Antiqua" w:cs="Book Antiqua"/>
        <w:color w:val="000000"/>
        <w:sz w:val="20"/>
        <w:szCs w:val="20"/>
      </w:rPr>
    </w:pPr>
    <w:r>
      <w:rPr>
        <w:color w:val="000000"/>
      </w:rPr>
      <mc:AlternateContent>
        <mc:Choice Requires="wps">
          <w:drawing>
            <wp:anchor distT="0" distB="0" distL="0" distR="0" simplePos="0" relativeHeight="251659264" behindDoc="1" locked="0" layoutInCell="1" allowOverlap="1">
              <wp:simplePos x="0" y="0"/>
              <wp:positionH relativeFrom="page">
                <wp:posOffset>4185285</wp:posOffset>
              </wp:positionH>
              <wp:positionV relativeFrom="page">
                <wp:posOffset>161290</wp:posOffset>
              </wp:positionV>
              <wp:extent cx="2689860" cy="672465"/>
              <wp:effectExtent l="0" t="0" r="0" b="0"/>
              <wp:wrapNone/>
              <wp:docPr id="6" name="Rectangle 6"/>
              <wp:cNvGraphicFramePr/>
              <a:graphic xmlns:a="http://schemas.openxmlformats.org/drawingml/2006/main">
                <a:graphicData uri="http://schemas.microsoft.com/office/word/2010/wordprocessingShape">
                  <wps:wsp>
                    <wps:cNvSpPr/>
                    <wps:spPr>
                      <a:xfrm>
                        <a:off x="4005824" y="3477750"/>
                        <a:ext cx="2955000" cy="604500"/>
                      </a:xfrm>
                      <a:prstGeom prst="rect">
                        <a:avLst/>
                      </a:prstGeom>
                      <a:noFill/>
                      <a:ln>
                        <a:noFill/>
                      </a:ln>
                    </wps:spPr>
                    <wps:txbx>
                      <w:txbxContent>
                        <w:p w14:paraId="74A72DAF">
                          <w:pPr>
                            <w:spacing w:line="240" w:lineRule="auto"/>
                            <w:ind w:left="0" w:right="18" w:hanging="2"/>
                            <w:jc w:val="center"/>
                          </w:pPr>
                          <w:r>
                            <w:rPr>
                              <w:rFonts w:ascii="Arial" w:hAnsi="Arial" w:eastAsia="Arial" w:cs="Arial"/>
                              <w:b/>
                              <w:color w:val="000000"/>
                            </w:rPr>
                            <w:t>Amaliyatu Tadris (AMYTA)</w:t>
                          </w:r>
                        </w:p>
                        <w:p w14:paraId="4C908E48">
                          <w:pPr>
                            <w:spacing w:line="240" w:lineRule="auto"/>
                            <w:ind w:left="0" w:right="17" w:hanging="2"/>
                            <w:jc w:val="center"/>
                          </w:pPr>
                          <w:r>
                            <w:rPr>
                              <w:rFonts w:ascii="Arial" w:hAnsi="Arial" w:eastAsia="Arial" w:cs="Arial"/>
                              <w:color w:val="000000"/>
                            </w:rPr>
                            <w:t>||Volume||2||Nomor||1|||Hal||    -     ||2024|||</w:t>
                          </w:r>
                        </w:p>
                        <w:p w14:paraId="60AF35CC">
                          <w:pPr>
                            <w:spacing w:line="240" w:lineRule="auto"/>
                            <w:ind w:left="0" w:right="17" w:hanging="2"/>
                            <w:jc w:val="right"/>
                          </w:pPr>
                          <w:r>
                            <w:rPr>
                              <w:rFonts w:ascii="Arial" w:hAnsi="Arial" w:eastAsia="Arial" w:cs="Arial"/>
                              <w:color w:val="000000"/>
                            </w:rPr>
                            <w:t xml:space="preserve">E-ISSN: 29649226                    . </w:t>
                          </w:r>
                        </w:p>
                        <w:p w14:paraId="3CAFC48D">
                          <w:pPr>
                            <w:spacing w:line="240" w:lineRule="auto"/>
                            <w:ind w:left="0" w:hanging="2"/>
                          </w:pPr>
                        </w:p>
                      </w:txbxContent>
                    </wps:txbx>
                    <wps:bodyPr spcFirstLastPara="1" wrap="square" lIns="0" tIns="0" rIns="0" bIns="0" anchor="t" anchorCtr="0">
                      <a:noAutofit/>
                    </wps:bodyPr>
                  </wps:wsp>
                </a:graphicData>
              </a:graphic>
            </wp:anchor>
          </w:drawing>
        </mc:Choice>
        <mc:Fallback>
          <w:pict>
            <v:rect id="Rectangle 6" o:spid="_x0000_s1026" o:spt="1" style="position:absolute;left:0pt;margin-left:329.55pt;margin-top:12.7pt;height:52.95pt;width:211.8pt;mso-position-horizontal-relative:page;mso-position-vertical-relative:page;z-index:-251657216;mso-width-relative:page;mso-height-relative:page;" filled="f" stroked="f" coordsize="21600,21600" o:gfxdata="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JJyrQNwAAAALAQAA&#10;DwAAAAAAAAABACAAAAAiAAAAZHJzL2Rvd25yZXYueG1sUEsBAhQAFAAAAAgAh07iQKGzW2HcAQAA&#10;vgMAAA4AAAAAAAAAAQAgAAAAKwEAAGRycy9lMm9Eb2MueG1sUEsFBgAAAAAGAAYAWQEAAHkFAAAA&#10;AA==&#10;">
              <v:fill on="f" focussize="0,0"/>
              <v:stroke on="f"/>
              <v:imagedata o:title=""/>
              <o:lock v:ext="edit" aspectratio="f"/>
              <v:textbox inset="0mm,0mm,0mm,0mm">
                <w:txbxContent>
                  <w:p w14:paraId="74A72DAF">
                    <w:pPr>
                      <w:spacing w:line="240" w:lineRule="auto"/>
                      <w:ind w:left="0" w:right="18" w:hanging="2"/>
                      <w:jc w:val="center"/>
                    </w:pPr>
                    <w:r>
                      <w:rPr>
                        <w:rFonts w:ascii="Arial" w:hAnsi="Arial" w:eastAsia="Arial" w:cs="Arial"/>
                        <w:b/>
                        <w:color w:val="000000"/>
                      </w:rPr>
                      <w:t>Amaliyatu Tadris (AMYTA)</w:t>
                    </w:r>
                  </w:p>
                  <w:p w14:paraId="4C908E48">
                    <w:pPr>
                      <w:spacing w:line="240" w:lineRule="auto"/>
                      <w:ind w:left="0" w:right="17" w:hanging="2"/>
                      <w:jc w:val="center"/>
                    </w:pPr>
                    <w:r>
                      <w:rPr>
                        <w:rFonts w:ascii="Arial" w:hAnsi="Arial" w:eastAsia="Arial" w:cs="Arial"/>
                        <w:color w:val="000000"/>
                      </w:rPr>
                      <w:t>||Volume||2||Nomor||1|||Hal||    -     ||2024|||</w:t>
                    </w:r>
                  </w:p>
                  <w:p w14:paraId="60AF35CC">
                    <w:pPr>
                      <w:spacing w:line="240" w:lineRule="auto"/>
                      <w:ind w:left="0" w:right="17" w:hanging="2"/>
                      <w:jc w:val="right"/>
                    </w:pPr>
                    <w:r>
                      <w:rPr>
                        <w:rFonts w:ascii="Arial" w:hAnsi="Arial" w:eastAsia="Arial" w:cs="Arial"/>
                        <w:color w:val="000000"/>
                      </w:rPr>
                      <w:t xml:space="preserve">E-ISSN: 29649226                    . </w:t>
                    </w:r>
                  </w:p>
                  <w:p w14:paraId="3CAFC48D">
                    <w:pPr>
                      <w:spacing w:line="240" w:lineRule="auto"/>
                      <w:ind w:left="0" w:hanging="2"/>
                    </w:pPr>
                  </w:p>
                </w:txbxContent>
              </v:textbox>
            </v:rect>
          </w:pict>
        </mc:Fallback>
      </mc:AlternateContent>
    </w:r>
  </w:p>
  <w:tbl>
    <w:tblPr>
      <w:tblStyle w:val="45"/>
      <w:tblW w:w="9571" w:type="dxa"/>
      <w:tblInd w:w="-108" w:type="dxa"/>
      <w:tblLayout w:type="fixed"/>
      <w:tblCellMar>
        <w:top w:w="0" w:type="dxa"/>
        <w:left w:w="108" w:type="dxa"/>
        <w:bottom w:w="0" w:type="dxa"/>
        <w:right w:w="108" w:type="dxa"/>
      </w:tblCellMar>
    </w:tblPr>
    <w:tblGrid>
      <w:gridCol w:w="4928"/>
      <w:gridCol w:w="4643"/>
    </w:tblGrid>
    <w:tr w14:paraId="3D17B117">
      <w:tblPrEx>
        <w:tblCellMar>
          <w:top w:w="0" w:type="dxa"/>
          <w:left w:w="108" w:type="dxa"/>
          <w:bottom w:w="0" w:type="dxa"/>
          <w:right w:w="108" w:type="dxa"/>
        </w:tblCellMar>
      </w:tblPrEx>
      <w:tc>
        <w:tcPr>
          <w:tcW w:w="4928" w:type="dxa"/>
        </w:tcPr>
        <w:p w14:paraId="3733FDD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rPr>
              <w:rFonts w:ascii="Book Antiqua" w:hAnsi="Book Antiqua" w:eastAsia="Book Antiqua" w:cs="Book Antiqua"/>
              <w:color w:val="000000"/>
              <w:sz w:val="20"/>
              <w:szCs w:val="20"/>
            </w:rPr>
          </w:pPr>
        </w:p>
      </w:tc>
      <w:tc>
        <w:tcPr>
          <w:tcW w:w="4643" w:type="dxa"/>
        </w:tcPr>
        <w:p w14:paraId="609E89C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jc w:val="right"/>
            <w:rPr>
              <w:rFonts w:ascii="Book Antiqua" w:hAnsi="Book Antiqua" w:eastAsia="Book Antiqua" w:cs="Book Antiqua"/>
              <w:color w:val="000000"/>
              <w:sz w:val="20"/>
              <w:szCs w:val="20"/>
            </w:rPr>
          </w:pPr>
        </w:p>
      </w:tc>
    </w:tr>
  </w:tbl>
  <w:p w14:paraId="50F1A27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rPr>
        <w:rFonts w:ascii="Book Antiqua" w:hAnsi="Book Antiqua" w:eastAsia="Book Antiqua" w:cs="Book Antiqua"/>
        <w:color w:val="000000"/>
        <w:sz w:val="12"/>
        <w:szCs w:val="12"/>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12700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340228" y="3780000"/>
                        <a:ext cx="6011545" cy="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anchor>
          </w:drawing>
        </mc:Choice>
        <mc:Fallback>
          <w:pict>
            <v:shape id="_x0000_s1026" o:spid="_x0000_s1026" o:spt="32" type="#_x0000_t32" style="position:absolute;left:0pt;margin-left:0pt;margin-top:1pt;height:1pt;width:0pt;z-index:251660288;mso-width-relative:page;mso-height-relative:page;" fillcolor="#FFFFFF" filled="t" stroked="t" coordsize="21600,21600" o:gfxdata="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swxF7SAAAAAQEAAA8AAAAAAAAAAQAgAAAAIgAAAGRycy9k&#10;b3ducmV2LnhtbFBLAQIUABQAAAAIAIdO4kA8od4YCAIAAEcEAAAOAAAAAAAAAAEAIAAAACEBAABk&#10;cnMvZTJvRG9jLnhtbFBLBQYAAAAABgAGAFkBAACbBQAAAAA=&#10;">
              <v:fill on="t" focussize="0,0"/>
              <v:stroke weight="1pt" color="#000000" miterlimit="8" joinstyle="miter"/>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50CBC"/>
    <w:multiLevelType w:val="singleLevel"/>
    <w:tmpl w:val="8AC50CBC"/>
    <w:lvl w:ilvl="0" w:tentative="0">
      <w:start w:val="1"/>
      <w:numFmt w:val="lowerLetter"/>
      <w:suff w:val="space"/>
      <w:lvlText w:val="%1."/>
      <w:lvlJc w:val="left"/>
    </w:lvl>
  </w:abstractNum>
  <w:abstractNum w:abstractNumId="1">
    <w:nsid w:val="BDC41131"/>
    <w:multiLevelType w:val="singleLevel"/>
    <w:tmpl w:val="BDC41131"/>
    <w:lvl w:ilvl="0" w:tentative="0">
      <w:start w:val="1"/>
      <w:numFmt w:val="decimal"/>
      <w:suff w:val="space"/>
      <w:lvlText w:val="%1."/>
      <w:lvlJc w:val="left"/>
      <w:pPr>
        <w:ind w:left="-479"/>
      </w:pPr>
    </w:lvl>
  </w:abstractNum>
  <w:abstractNum w:abstractNumId="2">
    <w:nsid w:val="211D02E0"/>
    <w:multiLevelType w:val="multilevel"/>
    <w:tmpl w:val="211D02E0"/>
    <w:lvl w:ilvl="0" w:tentative="0">
      <w:start w:val="1"/>
      <w:numFmt w:val="decimal"/>
      <w:lvlText w:val="%1."/>
      <w:lvlJc w:val="left"/>
      <w:pPr>
        <w:ind w:left="718" w:hanging="360"/>
      </w:pPr>
    </w:lvl>
    <w:lvl w:ilvl="1" w:tentative="0">
      <w:start w:val="1"/>
      <w:numFmt w:val="lowerLetter"/>
      <w:lvlText w:val="%2."/>
      <w:lvlJc w:val="left"/>
      <w:pPr>
        <w:ind w:left="1438" w:hanging="360"/>
      </w:pPr>
    </w:lvl>
    <w:lvl w:ilvl="2" w:tentative="0">
      <w:start w:val="1"/>
      <w:numFmt w:val="lowerRoman"/>
      <w:lvlText w:val="%3."/>
      <w:lvlJc w:val="right"/>
      <w:pPr>
        <w:ind w:left="2158" w:hanging="180"/>
      </w:pPr>
    </w:lvl>
    <w:lvl w:ilvl="3" w:tentative="0">
      <w:start w:val="1"/>
      <w:numFmt w:val="decimal"/>
      <w:lvlText w:val="%4."/>
      <w:lvlJc w:val="left"/>
      <w:pPr>
        <w:ind w:left="2878" w:hanging="360"/>
      </w:pPr>
    </w:lvl>
    <w:lvl w:ilvl="4" w:tentative="0">
      <w:start w:val="1"/>
      <w:numFmt w:val="lowerLetter"/>
      <w:lvlText w:val="%5."/>
      <w:lvlJc w:val="left"/>
      <w:pPr>
        <w:ind w:left="3598" w:hanging="360"/>
      </w:pPr>
    </w:lvl>
    <w:lvl w:ilvl="5" w:tentative="0">
      <w:start w:val="1"/>
      <w:numFmt w:val="lowerRoman"/>
      <w:lvlText w:val="%6."/>
      <w:lvlJc w:val="right"/>
      <w:pPr>
        <w:ind w:left="4318" w:hanging="180"/>
      </w:pPr>
    </w:lvl>
    <w:lvl w:ilvl="6" w:tentative="0">
      <w:start w:val="1"/>
      <w:numFmt w:val="decimal"/>
      <w:lvlText w:val="%7."/>
      <w:lvlJc w:val="left"/>
      <w:pPr>
        <w:ind w:left="5038" w:hanging="360"/>
      </w:pPr>
    </w:lvl>
    <w:lvl w:ilvl="7" w:tentative="0">
      <w:start w:val="1"/>
      <w:numFmt w:val="lowerLetter"/>
      <w:lvlText w:val="%8."/>
      <w:lvlJc w:val="left"/>
      <w:pPr>
        <w:ind w:left="5758" w:hanging="360"/>
      </w:pPr>
    </w:lvl>
    <w:lvl w:ilvl="8" w:tentative="0">
      <w:start w:val="1"/>
      <w:numFmt w:val="lowerRoman"/>
      <w:lvlText w:val="%9."/>
      <w:lvlJc w:val="right"/>
      <w:pPr>
        <w:ind w:left="6478" w:hanging="180"/>
      </w:pPr>
    </w:lvl>
  </w:abstractNum>
  <w:abstractNum w:abstractNumId="3">
    <w:nsid w:val="28296B71"/>
    <w:multiLevelType w:val="multilevel"/>
    <w:tmpl w:val="28296B71"/>
    <w:lvl w:ilvl="0" w:tentative="0">
      <w:start w:val="1"/>
      <w:numFmt w:val="lowerLetter"/>
      <w:lvlText w:val="%1)"/>
      <w:lvlJc w:val="left"/>
      <w:pPr>
        <w:ind w:left="1078" w:hanging="360"/>
      </w:pPr>
      <w:rPr>
        <w:rFonts w:hint="default"/>
      </w:rPr>
    </w:lvl>
    <w:lvl w:ilvl="1" w:tentative="0">
      <w:start w:val="1"/>
      <w:numFmt w:val="lowerLetter"/>
      <w:lvlText w:val="%2."/>
      <w:lvlJc w:val="left"/>
      <w:pPr>
        <w:ind w:left="1798" w:hanging="360"/>
      </w:pPr>
    </w:lvl>
    <w:lvl w:ilvl="2" w:tentative="0">
      <w:start w:val="1"/>
      <w:numFmt w:val="lowerRoman"/>
      <w:lvlText w:val="%3."/>
      <w:lvlJc w:val="right"/>
      <w:pPr>
        <w:ind w:left="2518" w:hanging="180"/>
      </w:pPr>
    </w:lvl>
    <w:lvl w:ilvl="3" w:tentative="0">
      <w:start w:val="1"/>
      <w:numFmt w:val="decimal"/>
      <w:lvlText w:val="%4."/>
      <w:lvlJc w:val="left"/>
      <w:pPr>
        <w:ind w:left="3238" w:hanging="360"/>
      </w:pPr>
    </w:lvl>
    <w:lvl w:ilvl="4" w:tentative="0">
      <w:start w:val="1"/>
      <w:numFmt w:val="lowerLetter"/>
      <w:lvlText w:val="%5."/>
      <w:lvlJc w:val="left"/>
      <w:pPr>
        <w:ind w:left="3958" w:hanging="360"/>
      </w:pPr>
    </w:lvl>
    <w:lvl w:ilvl="5" w:tentative="0">
      <w:start w:val="1"/>
      <w:numFmt w:val="lowerRoman"/>
      <w:lvlText w:val="%6."/>
      <w:lvlJc w:val="right"/>
      <w:pPr>
        <w:ind w:left="4678" w:hanging="180"/>
      </w:pPr>
    </w:lvl>
    <w:lvl w:ilvl="6" w:tentative="0">
      <w:start w:val="1"/>
      <w:numFmt w:val="decimal"/>
      <w:lvlText w:val="%7."/>
      <w:lvlJc w:val="left"/>
      <w:pPr>
        <w:ind w:left="5398" w:hanging="360"/>
      </w:pPr>
    </w:lvl>
    <w:lvl w:ilvl="7" w:tentative="0">
      <w:start w:val="1"/>
      <w:numFmt w:val="lowerLetter"/>
      <w:lvlText w:val="%8."/>
      <w:lvlJc w:val="left"/>
      <w:pPr>
        <w:ind w:left="6118" w:hanging="360"/>
      </w:pPr>
    </w:lvl>
    <w:lvl w:ilvl="8" w:tentative="0">
      <w:start w:val="1"/>
      <w:numFmt w:val="lowerRoman"/>
      <w:lvlText w:val="%9."/>
      <w:lvlJc w:val="right"/>
      <w:pPr>
        <w:ind w:left="6838" w:hanging="180"/>
      </w:pPr>
    </w:lvl>
  </w:abstractNum>
  <w:abstractNum w:abstractNumId="4">
    <w:nsid w:val="4296454F"/>
    <w:multiLevelType w:val="multilevel"/>
    <w:tmpl w:val="4296454F"/>
    <w:lvl w:ilvl="0" w:tentative="0">
      <w:start w:val="1"/>
      <w:numFmt w:val="lowerLetter"/>
      <w:lvlText w:val="%1)"/>
      <w:lvlJc w:val="left"/>
      <w:pPr>
        <w:ind w:left="1078" w:hanging="360"/>
      </w:pPr>
      <w:rPr>
        <w:rFonts w:hint="default"/>
      </w:rPr>
    </w:lvl>
    <w:lvl w:ilvl="1" w:tentative="0">
      <w:start w:val="1"/>
      <w:numFmt w:val="lowerLetter"/>
      <w:lvlText w:val="%2."/>
      <w:lvlJc w:val="left"/>
      <w:pPr>
        <w:ind w:left="1798" w:hanging="360"/>
      </w:pPr>
    </w:lvl>
    <w:lvl w:ilvl="2" w:tentative="0">
      <w:start w:val="1"/>
      <w:numFmt w:val="lowerRoman"/>
      <w:lvlText w:val="%3."/>
      <w:lvlJc w:val="right"/>
      <w:pPr>
        <w:ind w:left="2518" w:hanging="180"/>
      </w:pPr>
    </w:lvl>
    <w:lvl w:ilvl="3" w:tentative="0">
      <w:start w:val="1"/>
      <w:numFmt w:val="decimal"/>
      <w:lvlText w:val="%4."/>
      <w:lvlJc w:val="left"/>
      <w:pPr>
        <w:ind w:left="3238" w:hanging="360"/>
      </w:pPr>
    </w:lvl>
    <w:lvl w:ilvl="4" w:tentative="0">
      <w:start w:val="1"/>
      <w:numFmt w:val="lowerLetter"/>
      <w:lvlText w:val="%5."/>
      <w:lvlJc w:val="left"/>
      <w:pPr>
        <w:ind w:left="3958" w:hanging="360"/>
      </w:pPr>
    </w:lvl>
    <w:lvl w:ilvl="5" w:tentative="0">
      <w:start w:val="1"/>
      <w:numFmt w:val="lowerRoman"/>
      <w:lvlText w:val="%6."/>
      <w:lvlJc w:val="right"/>
      <w:pPr>
        <w:ind w:left="4678" w:hanging="180"/>
      </w:pPr>
    </w:lvl>
    <w:lvl w:ilvl="6" w:tentative="0">
      <w:start w:val="1"/>
      <w:numFmt w:val="decimal"/>
      <w:lvlText w:val="%7."/>
      <w:lvlJc w:val="left"/>
      <w:pPr>
        <w:ind w:left="5398" w:hanging="360"/>
      </w:pPr>
    </w:lvl>
    <w:lvl w:ilvl="7" w:tentative="0">
      <w:start w:val="1"/>
      <w:numFmt w:val="lowerLetter"/>
      <w:lvlText w:val="%8."/>
      <w:lvlJc w:val="left"/>
      <w:pPr>
        <w:ind w:left="6118" w:hanging="360"/>
      </w:pPr>
    </w:lvl>
    <w:lvl w:ilvl="8" w:tentative="0">
      <w:start w:val="1"/>
      <w:numFmt w:val="lowerRoman"/>
      <w:lvlText w:val="%9."/>
      <w:lvlJc w:val="right"/>
      <w:pPr>
        <w:ind w:left="6838" w:hanging="180"/>
      </w:pPr>
    </w:lvl>
  </w:abstractNum>
  <w:abstractNum w:abstractNumId="5">
    <w:nsid w:val="52E44913"/>
    <w:multiLevelType w:val="multilevel"/>
    <w:tmpl w:val="52E44913"/>
    <w:lvl w:ilvl="0" w:tentative="0">
      <w:start w:val="1"/>
      <w:numFmt w:val="upperLetter"/>
      <w:lvlText w:val="%1."/>
      <w:lvlJc w:val="left"/>
      <w:pPr>
        <w:ind w:left="358" w:hanging="360"/>
      </w:pPr>
      <w:rPr>
        <w:rFonts w:hint="default"/>
      </w:rPr>
    </w:lvl>
    <w:lvl w:ilvl="1" w:tentative="0">
      <w:start w:val="1"/>
      <w:numFmt w:val="lowerLetter"/>
      <w:lvlText w:val="%2."/>
      <w:lvlJc w:val="left"/>
      <w:pPr>
        <w:ind w:left="1078" w:hanging="360"/>
      </w:pPr>
    </w:lvl>
    <w:lvl w:ilvl="2" w:tentative="0">
      <w:start w:val="1"/>
      <w:numFmt w:val="lowerRoman"/>
      <w:lvlText w:val="%3."/>
      <w:lvlJc w:val="right"/>
      <w:pPr>
        <w:ind w:left="1798" w:hanging="180"/>
      </w:pPr>
    </w:lvl>
    <w:lvl w:ilvl="3" w:tentative="0">
      <w:start w:val="1"/>
      <w:numFmt w:val="decimal"/>
      <w:lvlText w:val="%4."/>
      <w:lvlJc w:val="left"/>
      <w:pPr>
        <w:ind w:left="2518" w:hanging="360"/>
      </w:pPr>
    </w:lvl>
    <w:lvl w:ilvl="4" w:tentative="0">
      <w:start w:val="1"/>
      <w:numFmt w:val="lowerLetter"/>
      <w:lvlText w:val="%5."/>
      <w:lvlJc w:val="left"/>
      <w:pPr>
        <w:ind w:left="3238" w:hanging="360"/>
      </w:pPr>
    </w:lvl>
    <w:lvl w:ilvl="5" w:tentative="0">
      <w:start w:val="1"/>
      <w:numFmt w:val="lowerRoman"/>
      <w:lvlText w:val="%6."/>
      <w:lvlJc w:val="right"/>
      <w:pPr>
        <w:ind w:left="3958" w:hanging="180"/>
      </w:pPr>
    </w:lvl>
    <w:lvl w:ilvl="6" w:tentative="0">
      <w:start w:val="1"/>
      <w:numFmt w:val="decimal"/>
      <w:lvlText w:val="%7."/>
      <w:lvlJc w:val="left"/>
      <w:pPr>
        <w:ind w:left="4678" w:hanging="360"/>
      </w:pPr>
    </w:lvl>
    <w:lvl w:ilvl="7" w:tentative="0">
      <w:start w:val="1"/>
      <w:numFmt w:val="lowerLetter"/>
      <w:lvlText w:val="%8."/>
      <w:lvlJc w:val="left"/>
      <w:pPr>
        <w:ind w:left="5398" w:hanging="360"/>
      </w:pPr>
    </w:lvl>
    <w:lvl w:ilvl="8" w:tentative="0">
      <w:start w:val="1"/>
      <w:numFmt w:val="lowerRoman"/>
      <w:lvlText w:val="%9."/>
      <w:lvlJc w:val="right"/>
      <w:pPr>
        <w:ind w:left="6118" w:hanging="180"/>
      </w:pPr>
    </w:lvl>
  </w:abstractNum>
  <w:abstractNum w:abstractNumId="6">
    <w:nsid w:val="6CEE2B30"/>
    <w:multiLevelType w:val="multilevel"/>
    <w:tmpl w:val="6CEE2B30"/>
    <w:lvl w:ilvl="0" w:tentative="0">
      <w:start w:val="1"/>
      <w:numFmt w:val="lowerLetter"/>
      <w:lvlText w:val="%1)"/>
      <w:lvlJc w:val="left"/>
      <w:pPr>
        <w:ind w:left="1353" w:hanging="360"/>
      </w:pPr>
    </w:lvl>
    <w:lvl w:ilvl="1" w:tentative="0">
      <w:start w:val="1"/>
      <w:numFmt w:val="lowerLetter"/>
      <w:lvlText w:val="%2."/>
      <w:lvlJc w:val="left"/>
      <w:pPr>
        <w:ind w:left="2509" w:hanging="360"/>
      </w:pPr>
    </w:lvl>
    <w:lvl w:ilvl="2" w:tentative="0">
      <w:start w:val="1"/>
      <w:numFmt w:val="lowerRoman"/>
      <w:lvlText w:val="%3."/>
      <w:lvlJc w:val="right"/>
      <w:pPr>
        <w:ind w:left="3229" w:hanging="180"/>
      </w:pPr>
    </w:lvl>
    <w:lvl w:ilvl="3" w:tentative="0">
      <w:start w:val="1"/>
      <w:numFmt w:val="decimal"/>
      <w:lvlText w:val="%4."/>
      <w:lvlJc w:val="left"/>
      <w:pPr>
        <w:ind w:left="3949" w:hanging="360"/>
      </w:pPr>
    </w:lvl>
    <w:lvl w:ilvl="4" w:tentative="0">
      <w:start w:val="1"/>
      <w:numFmt w:val="lowerLetter"/>
      <w:lvlText w:val="%5."/>
      <w:lvlJc w:val="left"/>
      <w:pPr>
        <w:ind w:left="4669" w:hanging="360"/>
      </w:pPr>
    </w:lvl>
    <w:lvl w:ilvl="5" w:tentative="0">
      <w:start w:val="1"/>
      <w:numFmt w:val="lowerRoman"/>
      <w:lvlText w:val="%6."/>
      <w:lvlJc w:val="right"/>
      <w:pPr>
        <w:ind w:left="5389" w:hanging="180"/>
      </w:pPr>
    </w:lvl>
    <w:lvl w:ilvl="6" w:tentative="0">
      <w:start w:val="1"/>
      <w:numFmt w:val="decimal"/>
      <w:lvlText w:val="%7."/>
      <w:lvlJc w:val="left"/>
      <w:pPr>
        <w:ind w:left="6109" w:hanging="360"/>
      </w:pPr>
    </w:lvl>
    <w:lvl w:ilvl="7" w:tentative="0">
      <w:start w:val="1"/>
      <w:numFmt w:val="lowerLetter"/>
      <w:lvlText w:val="%8."/>
      <w:lvlJc w:val="left"/>
      <w:pPr>
        <w:ind w:left="6829" w:hanging="360"/>
      </w:pPr>
    </w:lvl>
    <w:lvl w:ilvl="8" w:tentative="0">
      <w:start w:val="1"/>
      <w:numFmt w:val="lowerRoman"/>
      <w:lvlText w:val="%9."/>
      <w:lvlJc w:val="right"/>
      <w:pPr>
        <w:ind w:left="7549" w:hanging="180"/>
      </w:pPr>
    </w:lvl>
  </w:abstractNum>
  <w:abstractNum w:abstractNumId="7">
    <w:nsid w:val="6DFD5454"/>
    <w:multiLevelType w:val="multilevel"/>
    <w:tmpl w:val="6DFD5454"/>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5"/>
  </w:num>
  <w:num w:numId="2">
    <w:abstractNumId w:val="1"/>
  </w:num>
  <w:num w:numId="3">
    <w:abstractNumId w:val="0"/>
  </w:num>
  <w:num w:numId="4">
    <w:abstractNumId w:val="2"/>
  </w:num>
  <w:num w:numId="5">
    <w:abstractNumId w:val="4"/>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A2E"/>
    <w:rsid w:val="0005458F"/>
    <w:rsid w:val="000804B1"/>
    <w:rsid w:val="00225EF5"/>
    <w:rsid w:val="00300A2E"/>
    <w:rsid w:val="00805051"/>
    <w:rsid w:val="00836A1D"/>
    <w:rsid w:val="009F5FA7"/>
    <w:rsid w:val="00B12DD3"/>
    <w:rsid w:val="00C153CA"/>
    <w:rsid w:val="00E379E3"/>
    <w:rsid w:val="380C3A71"/>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n-US" w:bidi="ar-SA"/>
    </w:rPr>
  </w:style>
  <w:style w:type="paragraph" w:styleId="2">
    <w:name w:val="heading 1"/>
    <w:basedOn w:val="1"/>
    <w:next w:val="1"/>
    <w:qFormat/>
    <w:uiPriority w:val="9"/>
    <w:pPr>
      <w:keepNext/>
      <w:spacing w:before="240" w:after="60"/>
    </w:pPr>
    <w:rPr>
      <w:rFonts w:ascii="Arial" w:hAnsi="Arial" w:cs="Arial"/>
      <w:b/>
      <w:bCs/>
      <w:kern w:val="32"/>
      <w:sz w:val="32"/>
      <w:szCs w:val="32"/>
    </w:rPr>
  </w:style>
  <w:style w:type="paragraph" w:styleId="3">
    <w:name w:val="heading 2"/>
    <w:basedOn w:val="1"/>
    <w:next w:val="1"/>
    <w:semiHidden/>
    <w:unhideWhenUsed/>
    <w:qFormat/>
    <w:uiPriority w:val="9"/>
    <w:pPr>
      <w:keepNext/>
      <w:spacing w:before="240" w:after="60"/>
      <w:outlineLvl w:val="1"/>
    </w:pPr>
    <w:rPr>
      <w:rFonts w:ascii="Cambria" w:hAnsi="Cambria"/>
      <w:b/>
      <w:bCs/>
      <w:i/>
      <w:iCs/>
      <w:sz w:val="28"/>
      <w:szCs w:val="28"/>
    </w:rPr>
  </w:style>
  <w:style w:type="paragraph" w:styleId="4">
    <w:name w:val="heading 3"/>
    <w:basedOn w:val="1"/>
    <w:next w:val="1"/>
    <w:semiHidden/>
    <w:unhideWhenUsed/>
    <w:qFormat/>
    <w:uiPriority w:val="9"/>
    <w:pPr>
      <w:keepNext/>
      <w:spacing w:line="360" w:lineRule="auto"/>
      <w:jc w:val="center"/>
      <w:outlineLvl w:val="2"/>
    </w:pPr>
    <w:rPr>
      <w:b/>
      <w:sz w:val="28"/>
      <w:szCs w:val="20"/>
      <w:lang w:val="lt-LT"/>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jc w:val="center"/>
      <w:outlineLvl w:val="4"/>
    </w:pPr>
    <w:rPr>
      <w:b/>
      <w:sz w:val="22"/>
      <w:szCs w:val="20"/>
      <w:lang w:val="lt-LT"/>
    </w:rPr>
  </w:style>
  <w:style w:type="paragraph" w:styleId="7">
    <w:name w:val="heading 6"/>
    <w:basedOn w:val="1"/>
    <w:next w:val="1"/>
    <w:semiHidden/>
    <w:unhideWhenUsed/>
    <w:qFormat/>
    <w:uiPriority w:val="9"/>
    <w:pPr>
      <w:keepNext/>
      <w:jc w:val="center"/>
      <w:outlineLvl w:val="5"/>
    </w:pPr>
    <w:rPr>
      <w:b/>
      <w:bCs/>
      <w:caps/>
      <w:szCs w:val="20"/>
      <w:lang w:val="lt-LT"/>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uiPriority w:val="0"/>
    <w:rPr>
      <w:rFonts w:ascii="Segoe UI" w:hAnsi="Segoe UI" w:cs="Segoe UI"/>
      <w:sz w:val="18"/>
      <w:szCs w:val="18"/>
    </w:rPr>
  </w:style>
  <w:style w:type="paragraph" w:styleId="11">
    <w:name w:val="Body Text"/>
    <w:basedOn w:val="1"/>
    <w:uiPriority w:val="0"/>
    <w:pPr>
      <w:spacing w:after="120"/>
    </w:pPr>
  </w:style>
  <w:style w:type="paragraph" w:styleId="12">
    <w:name w:val="Body Text 2"/>
    <w:basedOn w:val="1"/>
    <w:uiPriority w:val="0"/>
    <w:pPr>
      <w:jc w:val="both"/>
    </w:pPr>
    <w:rPr>
      <w:rFonts w:ascii="TimesLT" w:hAnsi="TimesLT"/>
      <w:szCs w:val="20"/>
      <w:lang w:val="lt-LT"/>
    </w:rPr>
  </w:style>
  <w:style w:type="paragraph" w:styleId="13">
    <w:name w:val="Body Text Indent"/>
    <w:basedOn w:val="1"/>
    <w:uiPriority w:val="0"/>
    <w:pPr>
      <w:spacing w:after="120"/>
      <w:ind w:left="283"/>
    </w:pPr>
  </w:style>
  <w:style w:type="character" w:styleId="14">
    <w:name w:val="annotation reference"/>
    <w:uiPriority w:val="0"/>
    <w:rPr>
      <w:w w:val="100"/>
      <w:position w:val="-1"/>
      <w:sz w:val="16"/>
      <w:szCs w:val="16"/>
      <w:vertAlign w:val="baseline"/>
      <w:cs w:val="0"/>
    </w:rPr>
  </w:style>
  <w:style w:type="paragraph" w:styleId="15">
    <w:name w:val="annotation text"/>
    <w:basedOn w:val="1"/>
    <w:uiPriority w:val="0"/>
    <w:rPr>
      <w:sz w:val="20"/>
      <w:szCs w:val="20"/>
    </w:rPr>
  </w:style>
  <w:style w:type="paragraph" w:styleId="16">
    <w:name w:val="annotation subject"/>
    <w:basedOn w:val="15"/>
    <w:next w:val="15"/>
    <w:uiPriority w:val="0"/>
    <w:rPr>
      <w:b/>
      <w:bCs/>
    </w:rPr>
  </w:style>
  <w:style w:type="paragraph" w:styleId="17">
    <w:name w:val="footer"/>
    <w:basedOn w:val="1"/>
    <w:uiPriority w:val="0"/>
    <w:pPr>
      <w:tabs>
        <w:tab w:val="center" w:pos="4153"/>
        <w:tab w:val="right" w:pos="8306"/>
      </w:tabs>
    </w:pPr>
    <w:rPr>
      <w:szCs w:val="20"/>
      <w:lang w:val="lt-LT"/>
    </w:rPr>
  </w:style>
  <w:style w:type="character" w:styleId="18">
    <w:name w:val="footnote reference"/>
    <w:uiPriority w:val="0"/>
    <w:rPr>
      <w:w w:val="100"/>
      <w:position w:val="-1"/>
      <w:vertAlign w:val="superscript"/>
      <w:cs w:val="0"/>
    </w:rPr>
  </w:style>
  <w:style w:type="paragraph" w:styleId="19">
    <w:name w:val="footnote text"/>
    <w:basedOn w:val="1"/>
    <w:uiPriority w:val="0"/>
    <w:rPr>
      <w:sz w:val="20"/>
      <w:szCs w:val="20"/>
    </w:rPr>
  </w:style>
  <w:style w:type="paragraph" w:styleId="20">
    <w:name w:val="header"/>
    <w:basedOn w:val="1"/>
    <w:uiPriority w:val="0"/>
    <w:pPr>
      <w:tabs>
        <w:tab w:val="center" w:pos="4680"/>
        <w:tab w:val="right" w:pos="9360"/>
      </w:tabs>
    </w:pPr>
  </w:style>
  <w:style w:type="character" w:styleId="21">
    <w:name w:val="Hyperlink"/>
    <w:uiPriority w:val="0"/>
    <w:rPr>
      <w:color w:val="0000FF"/>
      <w:w w:val="100"/>
      <w:position w:val="-1"/>
      <w:u w:val="single"/>
      <w:vertAlign w:val="baseline"/>
      <w:cs w:val="0"/>
    </w:rPr>
  </w:style>
  <w:style w:type="paragraph" w:styleId="22">
    <w:name w:val="Normal (Web)"/>
    <w:basedOn w:val="1"/>
    <w:uiPriority w:val="0"/>
    <w:pPr>
      <w:spacing w:before="100" w:beforeAutospacing="1" w:after="100" w:afterAutospacing="1"/>
    </w:pPr>
    <w:rPr>
      <w:color w:val="000000"/>
      <w:lang w:val="lt-LT" w:eastAsia="lt-LT"/>
    </w:rPr>
  </w:style>
  <w:style w:type="paragraph" w:styleId="2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4">
    <w:name w:val="Table Grid"/>
    <w:basedOn w:val="9"/>
    <w:uiPriority w:val="0"/>
    <w:pPr>
      <w:suppressAutoHyphens/>
      <w:spacing w:line="1" w:lineRule="atLeast"/>
      <w:ind w:left="-1" w:leftChars="-1" w:hanging="1" w:hangingChars="1"/>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qFormat/>
    <w:uiPriority w:val="10"/>
    <w:pPr>
      <w:jc w:val="center"/>
    </w:pPr>
    <w:rPr>
      <w:b/>
      <w:sz w:val="28"/>
      <w:szCs w:val="20"/>
      <w:lang w:val="lt-LT"/>
    </w:rPr>
  </w:style>
  <w:style w:type="paragraph" w:customStyle="1" w:styleId="26">
    <w:name w:val="Abstract first para"/>
    <w:basedOn w:val="1"/>
    <w:uiPriority w:val="0"/>
    <w:rPr>
      <w:i/>
      <w:iCs/>
    </w:rPr>
  </w:style>
  <w:style w:type="paragraph" w:customStyle="1" w:styleId="27">
    <w:name w:val="Author Names"/>
    <w:basedOn w:val="1"/>
    <w:next w:val="28"/>
    <w:uiPriority w:val="0"/>
    <w:pPr>
      <w:jc w:val="center"/>
    </w:pPr>
    <w:rPr>
      <w:sz w:val="20"/>
      <w:szCs w:val="20"/>
    </w:rPr>
  </w:style>
  <w:style w:type="paragraph" w:customStyle="1" w:styleId="28">
    <w:name w:val="Author Affiliations"/>
    <w:basedOn w:val="1"/>
    <w:next w:val="27"/>
    <w:uiPriority w:val="0"/>
    <w:pPr>
      <w:spacing w:after="240"/>
      <w:jc w:val="center"/>
    </w:pPr>
    <w:rPr>
      <w:i/>
      <w:sz w:val="20"/>
      <w:szCs w:val="20"/>
    </w:rPr>
  </w:style>
  <w:style w:type="character" w:customStyle="1" w:styleId="29">
    <w:name w:val="ct-with-fmlt"/>
    <w:uiPriority w:val="0"/>
    <w:rPr>
      <w:w w:val="100"/>
      <w:position w:val="-1"/>
      <w:shd w:val="clear" w:color="auto" w:fill="FFFFFF"/>
      <w:vertAlign w:val="baseline"/>
      <w:cs w:val="0"/>
    </w:rPr>
  </w:style>
  <w:style w:type="paragraph" w:customStyle="1" w:styleId="30">
    <w:name w:val="AD_leipäteksti"/>
    <w:basedOn w:val="1"/>
    <w:uiPriority w:val="0"/>
    <w:pPr>
      <w:autoSpaceDE w:val="0"/>
      <w:autoSpaceDN w:val="0"/>
      <w:adjustRightInd w:val="0"/>
      <w:spacing w:before="120" w:after="120" w:line="288" w:lineRule="auto"/>
      <w:jc w:val="both"/>
      <w:textAlignment w:val="center"/>
    </w:pPr>
    <w:rPr>
      <w:rFonts w:ascii="Minion Pro" w:hAnsi="Minion Pro" w:eastAsia="Calibri" w:cs="Minion Pro"/>
      <w:color w:val="000000"/>
      <w:sz w:val="20"/>
      <w:szCs w:val="20"/>
      <w:lang w:val="en-GB"/>
    </w:rPr>
  </w:style>
  <w:style w:type="character" w:customStyle="1" w:styleId="31">
    <w:name w:val="AD_leipäteksti Char"/>
    <w:uiPriority w:val="0"/>
    <w:rPr>
      <w:rFonts w:ascii="Minion Pro" w:hAnsi="Minion Pro" w:eastAsia="Calibri" w:cs="Minion Pro"/>
      <w:color w:val="000000"/>
      <w:w w:val="100"/>
      <w:position w:val="-1"/>
      <w:vertAlign w:val="baseline"/>
      <w:cs w:val="0"/>
      <w:lang w:val="en-GB" w:eastAsia="en-US"/>
    </w:rPr>
  </w:style>
  <w:style w:type="character" w:customStyle="1" w:styleId="32">
    <w:name w:val="Footer Char"/>
    <w:uiPriority w:val="0"/>
    <w:rPr>
      <w:w w:val="100"/>
      <w:position w:val="-1"/>
      <w:sz w:val="24"/>
      <w:vertAlign w:val="baseline"/>
      <w:cs w:val="0"/>
      <w:lang w:eastAsia="en-US"/>
    </w:rPr>
  </w:style>
  <w:style w:type="character" w:customStyle="1" w:styleId="33">
    <w:name w:val="Header Char"/>
    <w:uiPriority w:val="0"/>
    <w:rPr>
      <w:w w:val="100"/>
      <w:position w:val="-1"/>
      <w:sz w:val="24"/>
      <w:szCs w:val="24"/>
      <w:vertAlign w:val="baseline"/>
      <w:cs w:val="0"/>
    </w:rPr>
  </w:style>
  <w:style w:type="character" w:customStyle="1" w:styleId="34">
    <w:name w:val="Unresolved Mention"/>
    <w:qFormat/>
    <w:uiPriority w:val="0"/>
    <w:rPr>
      <w:color w:val="605E5C"/>
      <w:w w:val="100"/>
      <w:position w:val="-1"/>
      <w:shd w:val="clear" w:color="auto" w:fill="E1DFDD"/>
      <w:vertAlign w:val="baseline"/>
      <w:cs w:val="0"/>
    </w:rPr>
  </w:style>
  <w:style w:type="character" w:customStyle="1" w:styleId="35">
    <w:name w:val="Comment Text Char"/>
    <w:uiPriority w:val="0"/>
    <w:rPr>
      <w:w w:val="100"/>
      <w:position w:val="-1"/>
      <w:vertAlign w:val="baseline"/>
      <w:cs w:val="0"/>
      <w:lang w:val="en-US" w:eastAsia="en-US"/>
    </w:rPr>
  </w:style>
  <w:style w:type="character" w:customStyle="1" w:styleId="36">
    <w:name w:val="Comment Subject Char"/>
    <w:uiPriority w:val="0"/>
    <w:rPr>
      <w:b/>
      <w:bCs/>
      <w:w w:val="100"/>
      <w:position w:val="-1"/>
      <w:vertAlign w:val="baseline"/>
      <w:cs w:val="0"/>
      <w:lang w:val="en-US" w:eastAsia="en-US"/>
    </w:rPr>
  </w:style>
  <w:style w:type="character" w:customStyle="1" w:styleId="37">
    <w:name w:val="Balloon Text Char"/>
    <w:uiPriority w:val="0"/>
    <w:rPr>
      <w:rFonts w:ascii="Segoe UI" w:hAnsi="Segoe UI" w:cs="Segoe UI"/>
      <w:w w:val="100"/>
      <w:position w:val="-1"/>
      <w:sz w:val="18"/>
      <w:szCs w:val="18"/>
      <w:vertAlign w:val="baseline"/>
      <w:cs w:val="0"/>
      <w:lang w:val="en-US" w:eastAsia="en-US"/>
    </w:rPr>
  </w:style>
  <w:style w:type="character" w:customStyle="1" w:styleId="38">
    <w:name w:val="Heading 2 Char"/>
    <w:qFormat/>
    <w:uiPriority w:val="0"/>
    <w:rPr>
      <w:rFonts w:ascii="Cambria" w:hAnsi="Cambria" w:eastAsia="Times New Roman" w:cs="Times New Roman"/>
      <w:b/>
      <w:bCs/>
      <w:i/>
      <w:iCs/>
      <w:w w:val="100"/>
      <w:position w:val="-1"/>
      <w:sz w:val="28"/>
      <w:szCs w:val="28"/>
      <w:vertAlign w:val="baseline"/>
      <w:cs w:val="0"/>
      <w:lang w:val="en-US" w:eastAsia="en-US"/>
    </w:rPr>
  </w:style>
  <w:style w:type="character" w:customStyle="1" w:styleId="39">
    <w:name w:val="List Paragraph Char"/>
    <w:qFormat/>
    <w:uiPriority w:val="0"/>
    <w:rPr>
      <w:w w:val="100"/>
      <w:position w:val="-1"/>
      <w:vertAlign w:val="baseline"/>
      <w:cs w:val="0"/>
    </w:rPr>
  </w:style>
  <w:style w:type="paragraph" w:styleId="40">
    <w:name w:val="List Paragraph"/>
    <w:basedOn w:val="1"/>
    <w:uiPriority w:val="0"/>
    <w:pPr>
      <w:spacing w:after="200" w:line="276" w:lineRule="auto"/>
      <w:ind w:left="720"/>
      <w:contextualSpacing/>
    </w:pPr>
    <w:rPr>
      <w:sz w:val="20"/>
      <w:szCs w:val="20"/>
      <w:lang w:val="id-ID" w:eastAsia="id-ID"/>
    </w:rPr>
  </w:style>
  <w:style w:type="paragraph" w:customStyle="1" w:styleId="41">
    <w:name w:val="Afiliasi"/>
    <w:basedOn w:val="1"/>
    <w:qFormat/>
    <w:uiPriority w:val="0"/>
    <w:pPr>
      <w:spacing w:before="40" w:after="40"/>
      <w:contextualSpacing/>
      <w:jc w:val="center"/>
    </w:pPr>
    <w:rPr>
      <w:sz w:val="20"/>
      <w:szCs w:val="20"/>
    </w:rPr>
  </w:style>
  <w:style w:type="character" w:customStyle="1" w:styleId="42">
    <w:name w:val="Body Text Char"/>
    <w:qFormat/>
    <w:uiPriority w:val="0"/>
    <w:rPr>
      <w:w w:val="100"/>
      <w:position w:val="-1"/>
      <w:sz w:val="24"/>
      <w:szCs w:val="24"/>
      <w:vertAlign w:val="baseline"/>
      <w:cs w:val="0"/>
      <w:lang w:val="en-US" w:eastAsia="en-US"/>
    </w:rPr>
  </w:style>
  <w:style w:type="table" w:customStyle="1" w:styleId="43">
    <w:name w:val="_Style 42"/>
    <w:basedOn w:val="9"/>
    <w:qFormat/>
    <w:uiPriority w:val="0"/>
  </w:style>
  <w:style w:type="table" w:customStyle="1" w:styleId="44">
    <w:name w:val="_Style 43"/>
    <w:basedOn w:val="9"/>
    <w:qFormat/>
    <w:uiPriority w:val="0"/>
  </w:style>
  <w:style w:type="table" w:customStyle="1" w:styleId="45">
    <w:name w:val="_Style 44"/>
    <w:basedOn w:val="9"/>
    <w:qFormat/>
    <w:uiPriority w:val="0"/>
  </w:style>
  <w:style w:type="table" w:customStyle="1" w:styleId="46">
    <w:name w:val="2"/>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l/fCe+9hw0Uxn/NRZP31SHpYw==">CgMxLjA4AHIhMWJFQmQ1Zllfdl9TTDhNRnNGQVJnYkFLN1dackNtWGNR</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9</Pages>
  <Words>3317</Words>
  <Characters>18911</Characters>
  <Lines>157</Lines>
  <Paragraphs>44</Paragraphs>
  <TotalTime>28</TotalTime>
  <ScaleCrop>false</ScaleCrop>
  <LinksUpToDate>false</LinksUpToDate>
  <CharactersWithSpaces>22184</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2025-04-06T13:35:00Z</dcterms:created>
  <dc:creator>ilona</dc:creator>
  <cp:lastModifiedBy>arekiyo</cp:lastModifiedBy>
  <dcterms:modified xsi:type="dcterms:W3CDTF">2025-04-15T12:00:01Z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D40CF4EA631B4A0C8A737227FA03FAF0_13</vt:lpwstr>
  </property>
</Properties>
</file>