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Face Emotion Detection Berbasis Deep Learning: Tinjauan Metode, Dataset, Tantangan, dan Etika</w:t>
      </w:r>
    </w:p>
    <w:p>
      <w:pPr>
        <w:pStyle w:val="Subtitle"/>
        <w:jc w:val="center"/>
      </w:pPr>
      <w:r>
        <w:t>Paper ringkas dengan 15 sumber akademik</w:t>
      </w:r>
    </w:p>
    <w:p>
      <w:pPr>
        <w:pStyle w:val="Heading1"/>
      </w:pPr>
      <w:r>
        <w:t>Abstrak</w:t>
      </w:r>
    </w:p>
    <w:p>
      <w:r>
        <w:t>Face emotion detection atau facial expression recognition (FER) adalah proses mengenali ekspresi wajah seperti senang, sedih, marah, takut, jijik, terkejut, dan netral dari citra atau video wajah. Teknologi ini berkembang dari pendekatan psikologi berbasis Facial Action Coding System (FACS) menuju metode komputasional berbasis machine learning dan deep learning. Paper ini membahas konsep dasar FER, alur sistem, dataset populer, model deep learning seperti CNN, ResNet, attention network, dan Vision Transformer, serta tantangan teknis dan etis. Kajian menunjukkan bahwa FER berguna untuk human-computer interaction, e-learning, layanan kesehatan, keamanan, dan analisis pengalaman pengguna. Namun, ekspresi wajah tidak selalu merepresentasikan emosi internal secara akurat, sehingga sistem FER harus dipakai secara hati-hati, transparan, dan berbasis persetujuan pengguna.</w:t>
      </w:r>
    </w:p>
    <w:p>
      <w:r>
        <w:rPr>
          <w:b/>
        </w:rPr>
        <w:t xml:space="preserve">Kata kunci: </w:t>
      </w:r>
      <w:r>
        <w:t>face emotion detection, facial expression recognition, CNN, deep learning, AffectNet, FER2013, etika AI.</w:t>
      </w:r>
    </w:p>
    <w:p>
      <w:pPr>
        <w:pStyle w:val="Heading1"/>
      </w:pPr>
      <w:r>
        <w:t>1. Pendahuluan</w:t>
      </w:r>
    </w:p>
    <w:p>
      <w:r>
        <w:t>Affective computing diperkenalkan sebagai bidang yang membuat komputer mampu mengenali, menafsirkan, dan merespons aspek afektif manusia [1]. Salah satu cabangnya adalah face emotion detection, yaitu pengenalan ekspresi wajah secara otomatis. Dalam praktik akademik, istilah yang lebih tepat adalah facial expression recognition karena sistem biasanya mengenali pola visual pada wajah, bukan memastikan kondisi emosi internal seseorang.</w:t>
      </w:r>
    </w:p>
    <w:p>
      <w:r>
        <w:t>Dasar psikologis pengenalan ekspresi wajah banyak dipengaruhi oleh FACS yang mengkodekan gerakan otot wajah menjadi action units [2]. Namun, penelitian modern juga menekankan bahwa hubungan antara ekspresi wajah dan emosi tidak selalu universal atau pasti [3]. Karena itu, face emotion detection sebaiknya dipahami sebagai prediksi ekspresi yang tampak, bukan pembacaan emosi secara absolut.</w:t>
      </w:r>
    </w:p>
    <w:p>
      <w:pPr>
        <w:pStyle w:val="Heading1"/>
      </w:pPr>
      <w:r>
        <w:t>2. Landasan Teori</w:t>
      </w:r>
    </w:p>
    <w:p>
      <w:r>
        <w:t>Sistem FER umumnya bekerja melalui beberapa tahap: deteksi wajah, alignment, ekstraksi fitur, klasifikasi ekspresi, dan evaluasi hasil. Pada pendekatan tradisional, fitur seperti tekstur, landmark, atau local binary patterns sering digunakan bersama classifier seperti SVM. Pada pendekatan modern, convolutional neural network (CNN) mampu mempelajari fitur wajah secara otomatis dari data.</w:t>
      </w:r>
    </w:p>
    <w:p>
      <w:r>
        <w:t>Perkembangan dataset menjadi faktor penting. FER2013 memperkenalkan benchmark citra wajah grayscale 48 x 48 untuk tujuh kelas ekspresi [4]. CK+ menyediakan dataset laboratorium yang banyak digunakan untuk action unit dan ekspresi emosi [5]. Dataset yang lebih realistis seperti RAF-DB [6] dan AffectNet [7] dikembangkan dari citra in-the-wild, sehingga mencakup variasi pose, pencahayaan, usia, dan kualitas gambar. Dataset in-the-wild penting karena sistem yang bagus di laboratorium belum tentu kuat di lingkungan nyata [8].</w:t>
      </w:r>
    </w:p>
    <w:p>
      <w:pPr>
        <w:pStyle w:val="Heading1"/>
      </w:pPr>
      <w:r>
        <w:t>3. Metode Face Emotion Detection</w:t>
      </w:r>
    </w:p>
    <w:p>
      <w:r>
        <w:t>Model CNN menjadi pendekatan dominan karena mampu menangkap pola lokal seperti bentuk mata, alis, hidung, mulut, serta kombinasi spasialnya. Arsitektur seperti ResNet membantu melatih jaringan yang lebih dalam melalui residual learning [11]. Dalam FER, ResNet sering dipakai sebagai backbone karena stabil dan kuat untuk klasifikasi citra.</w:t>
      </w:r>
    </w:p>
    <w:p>
      <w:r>
        <w:t>Selain CNN, metode attention digunakan untuk menekankan area wajah yang relevan. Distract Your Attention Network (DAN), misalnya, menggunakan multi-head cross attention untuk meningkatkan fokus model terhadap bagian ekspresi yang informatif [13]. Vision Transformer juga mulai digunakan karena mampu memproses citra sebagai kumpulan patch dan mempelajari hubungan global antarbagiannya [12]. Meski demikian, transformer biasanya membutuhkan data besar atau pretraining agar performanya stabil.</w:t>
      </w:r>
    </w:p>
    <w:p>
      <w:r>
        <w:t>Pipeline sistem yang umum adalah sebagai berikut: gambar atau video masuk ke modul face detection, wajah dipotong dan disejajarkan, citra dinormalisasi, lalu model klasifikasi menghasilkan probabilitas untuk setiap kelas ekspresi. Output sebaiknya berupa skor probabilitas, bukan label tunggal yang dianggap pasti, karena ekspresi manusia sering ambigu.</w:t>
      </w:r>
    </w:p>
    <w:p>
      <w:pPr>
        <w:pStyle w:val="Heading1"/>
      </w:pPr>
      <w:r>
        <w:t>4. Dataset dan Evaluasi</w:t>
      </w:r>
    </w:p>
    <w:p>
      <w:r>
        <w:t>Dataset menentukan kualitas dan batas kemampuan model. FER2013 cocok untuk baseline karena mudah diakses dan banyak digunakan, tetapi memiliki keterbatasan berupa resolusi rendah dan label yang dapat bising [4]. CK+ relatif bersih, tetapi lebih terkontrol dan kurang merepresentasikan kondisi dunia nyata [5]. RAF-DB menyediakan sekitar 30.000 gambar wajah dari lingkungan tidak terkontrol [6]. AffectNet mengandung lebih dari satu juta citra wajah yang dikumpulkan dari internet, dengan anotasi kategori ekspresi serta valence-arousal [7].</w:t>
      </w:r>
    </w:p>
    <w:tbl>
      <w:tblPr>
        <w:tblStyle w:val="TableGrid"/>
        <w:tblW w:type="dxa" w:w="9360"/>
        <w:tblLook w:firstColumn="1" w:firstRow="1" w:lastColumn="0" w:lastRow="0" w:noHBand="0" w:noVBand="1" w:val="04A0"/>
        <w:tblInd w:w="120" w:type="dxa"/>
      </w:tblPr>
      <w:tblGrid>
        <w:gridCol w:w="1450"/>
        <w:gridCol w:w="2700"/>
        <w:gridCol w:w="2605"/>
        <w:gridCol w:w="2605"/>
      </w:tblGrid>
      <w:tr>
        <w:trPr>
          <w:tblHeader w:val="true"/>
          <w:tblHeader w:val="true"/>
          <w:tblHeader w:val="true"/>
          <w:tblHeader w:val="true"/>
        </w:trPr>
        <w:tc>
          <w:tcPr>
            <w:tcW w:type="dxa" w:w="1450"/>
            <w:vAlign w:val="center"/>
            <w:shd w:fill="F2F4F7"/>
            <w:tcMar>
              <w:top w:w="80" w:type="dxa"/>
              <w:start w:w="120" w:type="dxa"/>
              <w:bottom w:w="80" w:type="dxa"/>
              <w:end w:w="120" w:type="dxa"/>
            </w:tcMar>
          </w:tcPr>
          <w:p>
            <w:pPr>
              <w:spacing w:after="0" w:line="264" w:lineRule="auto"/>
              <w:jc w:val="left"/>
            </w:pPr>
            <w:r/>
            <w:r>
              <w:rPr>
                <w:rFonts w:ascii="Calibri" w:hAnsi="Calibri"/>
                <w:b/>
                <w:sz w:val="18"/>
              </w:rPr>
              <w:t>Dataset</w:t>
            </w:r>
          </w:p>
        </w:tc>
        <w:tc>
          <w:tcPr>
            <w:tcW w:type="dxa" w:w="2700"/>
            <w:vAlign w:val="center"/>
            <w:shd w:fill="F2F4F7"/>
            <w:tcMar>
              <w:top w:w="80" w:type="dxa"/>
              <w:start w:w="120" w:type="dxa"/>
              <w:bottom w:w="80" w:type="dxa"/>
              <w:end w:w="120" w:type="dxa"/>
            </w:tcMar>
          </w:tcPr>
          <w:p>
            <w:pPr>
              <w:spacing w:after="0" w:line="264" w:lineRule="auto"/>
              <w:jc w:val="left"/>
            </w:pPr>
            <w:r/>
            <w:r>
              <w:rPr>
                <w:rFonts w:ascii="Calibri" w:hAnsi="Calibri"/>
                <w:b/>
                <w:sz w:val="18"/>
              </w:rPr>
              <w:t>Karakteristik</w:t>
            </w:r>
          </w:p>
        </w:tc>
        <w:tc>
          <w:tcPr>
            <w:tcW w:type="dxa" w:w="2605"/>
            <w:vAlign w:val="center"/>
            <w:shd w:fill="F2F4F7"/>
            <w:tcMar>
              <w:top w:w="80" w:type="dxa"/>
              <w:start w:w="120" w:type="dxa"/>
              <w:bottom w:w="80" w:type="dxa"/>
              <w:end w:w="120" w:type="dxa"/>
            </w:tcMar>
          </w:tcPr>
          <w:p>
            <w:pPr>
              <w:spacing w:after="0" w:line="264" w:lineRule="auto"/>
              <w:jc w:val="left"/>
            </w:pPr>
            <w:r/>
            <w:r>
              <w:rPr>
                <w:rFonts w:ascii="Calibri" w:hAnsi="Calibri"/>
                <w:b/>
                <w:sz w:val="18"/>
              </w:rPr>
              <w:t>Kelebihan</w:t>
            </w:r>
          </w:p>
        </w:tc>
        <w:tc>
          <w:tcPr>
            <w:tcW w:type="dxa" w:w="2605"/>
            <w:vAlign w:val="center"/>
            <w:shd w:fill="F2F4F7"/>
            <w:tcMar>
              <w:top w:w="80" w:type="dxa"/>
              <w:start w:w="120" w:type="dxa"/>
              <w:bottom w:w="80" w:type="dxa"/>
              <w:end w:w="120" w:type="dxa"/>
            </w:tcMar>
          </w:tcPr>
          <w:p>
            <w:pPr>
              <w:spacing w:after="0" w:line="264" w:lineRule="auto"/>
              <w:jc w:val="left"/>
            </w:pPr>
            <w:r/>
            <w:r>
              <w:rPr>
                <w:rFonts w:ascii="Calibri" w:hAnsi="Calibri"/>
                <w:b/>
                <w:sz w:val="18"/>
              </w:rPr>
              <w:t>Keterbatasan</w:t>
            </w:r>
          </w:p>
        </w:tc>
      </w:tr>
      <w:tr>
        <w:tc>
          <w:tcPr>
            <w:tcW w:type="dxa" w:w="1450"/>
            <w:vAlign w:val="center"/>
            <w:tcMar>
              <w:top w:w="80" w:type="dxa"/>
              <w:start w:w="120" w:type="dxa"/>
              <w:bottom w:w="80" w:type="dxa"/>
              <w:end w:w="120" w:type="dxa"/>
            </w:tcMar>
          </w:tcPr>
          <w:p>
            <w:pPr>
              <w:spacing w:after="0" w:line="264" w:lineRule="auto"/>
              <w:jc w:val="left"/>
            </w:pPr>
            <w:r/>
            <w:r>
              <w:rPr>
                <w:rFonts w:ascii="Calibri" w:hAnsi="Calibri"/>
                <w:b w:val="0"/>
                <w:sz w:val="18"/>
              </w:rPr>
              <w:t>FER2013</w:t>
            </w:r>
          </w:p>
        </w:tc>
        <w:tc>
          <w:tcPr>
            <w:tcW w:type="dxa" w:w="2700"/>
            <w:vAlign w:val="center"/>
            <w:tcMar>
              <w:top w:w="80" w:type="dxa"/>
              <w:start w:w="120" w:type="dxa"/>
              <w:bottom w:w="80" w:type="dxa"/>
              <w:end w:w="120" w:type="dxa"/>
            </w:tcMar>
          </w:tcPr>
          <w:p>
            <w:pPr>
              <w:spacing w:after="0" w:line="264" w:lineRule="auto"/>
              <w:jc w:val="left"/>
            </w:pPr>
            <w:r/>
            <w:r>
              <w:rPr>
                <w:rFonts w:ascii="Calibri" w:hAnsi="Calibri"/>
                <w:b w:val="0"/>
                <w:sz w:val="18"/>
              </w:rPr>
              <w:t>Citra grayscale 48 x 48 dengan tujuh kelas ekspresi.</w:t>
            </w:r>
          </w:p>
        </w:tc>
        <w:tc>
          <w:tcPr>
            <w:tcW w:type="dxa" w:w="2605"/>
            <w:vAlign w:val="center"/>
            <w:tcMar>
              <w:top w:w="80" w:type="dxa"/>
              <w:start w:w="120" w:type="dxa"/>
              <w:bottom w:w="80" w:type="dxa"/>
              <w:end w:w="120" w:type="dxa"/>
            </w:tcMar>
          </w:tcPr>
          <w:p>
            <w:pPr>
              <w:spacing w:after="0" w:line="264" w:lineRule="auto"/>
              <w:jc w:val="left"/>
            </w:pPr>
            <w:r/>
            <w:r>
              <w:rPr>
                <w:rFonts w:ascii="Calibri" w:hAnsi="Calibri"/>
                <w:b w:val="0"/>
                <w:sz w:val="18"/>
              </w:rPr>
              <w:t>Populer sebagai benchmark awal dan mudah direplikasi.</w:t>
            </w:r>
          </w:p>
        </w:tc>
        <w:tc>
          <w:tcPr>
            <w:tcW w:type="dxa" w:w="2605"/>
            <w:vAlign w:val="center"/>
            <w:tcMar>
              <w:top w:w="80" w:type="dxa"/>
              <w:start w:w="120" w:type="dxa"/>
              <w:bottom w:w="80" w:type="dxa"/>
              <w:end w:w="120" w:type="dxa"/>
            </w:tcMar>
          </w:tcPr>
          <w:p>
            <w:pPr>
              <w:spacing w:after="0" w:line="264" w:lineRule="auto"/>
              <w:jc w:val="left"/>
            </w:pPr>
            <w:r/>
            <w:r>
              <w:rPr>
                <w:rFonts w:ascii="Calibri" w:hAnsi="Calibri"/>
                <w:b w:val="0"/>
                <w:sz w:val="18"/>
              </w:rPr>
              <w:t>Resolusi rendah, variasi label, dan ketidakseimbangan kelas.</w:t>
            </w:r>
          </w:p>
        </w:tc>
      </w:tr>
      <w:tr>
        <w:tc>
          <w:tcPr>
            <w:tcW w:type="dxa" w:w="1450"/>
            <w:vAlign w:val="center"/>
            <w:tcMar>
              <w:top w:w="80" w:type="dxa"/>
              <w:start w:w="120" w:type="dxa"/>
              <w:bottom w:w="80" w:type="dxa"/>
              <w:end w:w="120" w:type="dxa"/>
            </w:tcMar>
          </w:tcPr>
          <w:p>
            <w:pPr>
              <w:spacing w:after="0" w:line="264" w:lineRule="auto"/>
              <w:jc w:val="left"/>
            </w:pPr>
            <w:r/>
            <w:r>
              <w:rPr>
                <w:rFonts w:ascii="Calibri" w:hAnsi="Calibri"/>
                <w:b w:val="0"/>
                <w:sz w:val="18"/>
              </w:rPr>
              <w:t>CK+</w:t>
            </w:r>
          </w:p>
        </w:tc>
        <w:tc>
          <w:tcPr>
            <w:tcW w:type="dxa" w:w="2700"/>
            <w:vAlign w:val="center"/>
            <w:tcMar>
              <w:top w:w="80" w:type="dxa"/>
              <w:start w:w="120" w:type="dxa"/>
              <w:bottom w:w="80" w:type="dxa"/>
              <w:end w:w="120" w:type="dxa"/>
            </w:tcMar>
          </w:tcPr>
          <w:p>
            <w:pPr>
              <w:spacing w:after="0" w:line="264" w:lineRule="auto"/>
              <w:jc w:val="left"/>
            </w:pPr>
            <w:r/>
            <w:r>
              <w:rPr>
                <w:rFonts w:ascii="Calibri" w:hAnsi="Calibri"/>
                <w:b w:val="0"/>
                <w:sz w:val="18"/>
              </w:rPr>
              <w:t>Dataset laboratorium untuk ekspresi dan action units.</w:t>
            </w:r>
          </w:p>
        </w:tc>
        <w:tc>
          <w:tcPr>
            <w:tcW w:type="dxa" w:w="2605"/>
            <w:vAlign w:val="center"/>
            <w:tcMar>
              <w:top w:w="80" w:type="dxa"/>
              <w:start w:w="120" w:type="dxa"/>
              <w:bottom w:w="80" w:type="dxa"/>
              <w:end w:w="120" w:type="dxa"/>
            </w:tcMar>
          </w:tcPr>
          <w:p>
            <w:pPr>
              <w:spacing w:after="0" w:line="264" w:lineRule="auto"/>
              <w:jc w:val="left"/>
            </w:pPr>
            <w:r/>
            <w:r>
              <w:rPr>
                <w:rFonts w:ascii="Calibri" w:hAnsi="Calibri"/>
                <w:b w:val="0"/>
                <w:sz w:val="18"/>
              </w:rPr>
              <w:t>Anotasi relatif bersih dan cocok untuk validasi metode dasar.</w:t>
            </w:r>
          </w:p>
        </w:tc>
        <w:tc>
          <w:tcPr>
            <w:tcW w:type="dxa" w:w="2605"/>
            <w:vAlign w:val="center"/>
            <w:tcMar>
              <w:top w:w="80" w:type="dxa"/>
              <w:start w:w="120" w:type="dxa"/>
              <w:bottom w:w="80" w:type="dxa"/>
              <w:end w:w="120" w:type="dxa"/>
            </w:tcMar>
          </w:tcPr>
          <w:p>
            <w:pPr>
              <w:spacing w:after="0" w:line="264" w:lineRule="auto"/>
              <w:jc w:val="left"/>
            </w:pPr>
            <w:r/>
            <w:r>
              <w:rPr>
                <w:rFonts w:ascii="Calibri" w:hAnsi="Calibri"/>
                <w:b w:val="0"/>
                <w:sz w:val="18"/>
              </w:rPr>
              <w:t>Kurang mewakili kondisi dunia nyata yang tidak terkontrol.</w:t>
            </w:r>
          </w:p>
        </w:tc>
      </w:tr>
      <w:tr>
        <w:tc>
          <w:tcPr>
            <w:tcW w:type="dxa" w:w="1450"/>
            <w:vAlign w:val="center"/>
            <w:tcMar>
              <w:top w:w="80" w:type="dxa"/>
              <w:start w:w="120" w:type="dxa"/>
              <w:bottom w:w="80" w:type="dxa"/>
              <w:end w:w="120" w:type="dxa"/>
            </w:tcMar>
          </w:tcPr>
          <w:p>
            <w:pPr>
              <w:spacing w:after="0" w:line="264" w:lineRule="auto"/>
              <w:jc w:val="left"/>
            </w:pPr>
            <w:r/>
            <w:r>
              <w:rPr>
                <w:rFonts w:ascii="Calibri" w:hAnsi="Calibri"/>
                <w:b w:val="0"/>
                <w:sz w:val="18"/>
              </w:rPr>
              <w:t>RAF-DB</w:t>
            </w:r>
          </w:p>
        </w:tc>
        <w:tc>
          <w:tcPr>
            <w:tcW w:type="dxa" w:w="2700"/>
            <w:vAlign w:val="center"/>
            <w:tcMar>
              <w:top w:w="80" w:type="dxa"/>
              <w:start w:w="120" w:type="dxa"/>
              <w:bottom w:w="80" w:type="dxa"/>
              <w:end w:w="120" w:type="dxa"/>
            </w:tcMar>
          </w:tcPr>
          <w:p>
            <w:pPr>
              <w:spacing w:after="0" w:line="264" w:lineRule="auto"/>
              <w:jc w:val="left"/>
            </w:pPr>
            <w:r/>
            <w:r>
              <w:rPr>
                <w:rFonts w:ascii="Calibri" w:hAnsi="Calibri"/>
                <w:b w:val="0"/>
                <w:sz w:val="18"/>
              </w:rPr>
              <w:t>Dataset wajah real-world dari internet dengan ekspresi dasar dan compound.</w:t>
            </w:r>
          </w:p>
        </w:tc>
        <w:tc>
          <w:tcPr>
            <w:tcW w:type="dxa" w:w="2605"/>
            <w:vAlign w:val="center"/>
            <w:tcMar>
              <w:top w:w="80" w:type="dxa"/>
              <w:start w:w="120" w:type="dxa"/>
              <w:bottom w:w="80" w:type="dxa"/>
              <w:end w:w="120" w:type="dxa"/>
            </w:tcMar>
          </w:tcPr>
          <w:p>
            <w:pPr>
              <w:spacing w:after="0" w:line="264" w:lineRule="auto"/>
              <w:jc w:val="left"/>
            </w:pPr>
            <w:r/>
            <w:r>
              <w:rPr>
                <w:rFonts w:ascii="Calibri" w:hAnsi="Calibri"/>
                <w:b w:val="0"/>
                <w:sz w:val="18"/>
              </w:rPr>
              <w:t>Lebih realistis untuk skenario in-the-wild.</w:t>
            </w:r>
          </w:p>
        </w:tc>
        <w:tc>
          <w:tcPr>
            <w:tcW w:type="dxa" w:w="2605"/>
            <w:vAlign w:val="center"/>
            <w:tcMar>
              <w:top w:w="80" w:type="dxa"/>
              <w:start w:w="120" w:type="dxa"/>
              <w:bottom w:w="80" w:type="dxa"/>
              <w:end w:w="120" w:type="dxa"/>
            </w:tcMar>
          </w:tcPr>
          <w:p>
            <w:pPr>
              <w:spacing w:after="0" w:line="264" w:lineRule="auto"/>
              <w:jc w:val="left"/>
            </w:pPr>
            <w:r/>
            <w:r>
              <w:rPr>
                <w:rFonts w:ascii="Calibri" w:hAnsi="Calibri"/>
                <w:b w:val="0"/>
                <w:sz w:val="18"/>
              </w:rPr>
              <w:t>Tetap memiliki bias distribusi dan ambiguitas anotasi.</w:t>
            </w:r>
          </w:p>
        </w:tc>
      </w:tr>
      <w:tr>
        <w:tc>
          <w:tcPr>
            <w:tcW w:type="dxa" w:w="1450"/>
            <w:vAlign w:val="center"/>
            <w:tcMar>
              <w:top w:w="80" w:type="dxa"/>
              <w:start w:w="120" w:type="dxa"/>
              <w:bottom w:w="80" w:type="dxa"/>
              <w:end w:w="120" w:type="dxa"/>
            </w:tcMar>
          </w:tcPr>
          <w:p>
            <w:pPr>
              <w:spacing w:after="0" w:line="264" w:lineRule="auto"/>
              <w:jc w:val="left"/>
            </w:pPr>
            <w:r/>
            <w:r>
              <w:rPr>
                <w:rFonts w:ascii="Calibri" w:hAnsi="Calibri"/>
                <w:b w:val="0"/>
                <w:sz w:val="18"/>
              </w:rPr>
              <w:t>AffectNet</w:t>
            </w:r>
          </w:p>
        </w:tc>
        <w:tc>
          <w:tcPr>
            <w:tcW w:type="dxa" w:w="2700"/>
            <w:vAlign w:val="center"/>
            <w:tcMar>
              <w:top w:w="80" w:type="dxa"/>
              <w:start w:w="120" w:type="dxa"/>
              <w:bottom w:w="80" w:type="dxa"/>
              <w:end w:w="120" w:type="dxa"/>
            </w:tcMar>
          </w:tcPr>
          <w:p>
            <w:pPr>
              <w:spacing w:after="0" w:line="264" w:lineRule="auto"/>
              <w:jc w:val="left"/>
            </w:pPr>
            <w:r/>
            <w:r>
              <w:rPr>
                <w:rFonts w:ascii="Calibri" w:hAnsi="Calibri"/>
                <w:b w:val="0"/>
                <w:sz w:val="18"/>
              </w:rPr>
              <w:t>Dataset besar dengan kategori ekspresi serta valence-arousal.</w:t>
            </w:r>
          </w:p>
        </w:tc>
        <w:tc>
          <w:tcPr>
            <w:tcW w:type="dxa" w:w="2605"/>
            <w:vAlign w:val="center"/>
            <w:tcMar>
              <w:top w:w="80" w:type="dxa"/>
              <w:start w:w="120" w:type="dxa"/>
              <w:bottom w:w="80" w:type="dxa"/>
              <w:end w:w="120" w:type="dxa"/>
            </w:tcMar>
          </w:tcPr>
          <w:p>
            <w:pPr>
              <w:spacing w:after="0" w:line="264" w:lineRule="auto"/>
              <w:jc w:val="left"/>
            </w:pPr>
            <w:r/>
            <w:r>
              <w:rPr>
                <w:rFonts w:ascii="Calibri" w:hAnsi="Calibri"/>
                <w:b w:val="0"/>
                <w:sz w:val="18"/>
              </w:rPr>
              <w:t>Skala besar dan berguna untuk model deep learning.</w:t>
            </w:r>
          </w:p>
        </w:tc>
        <w:tc>
          <w:tcPr>
            <w:tcW w:type="dxa" w:w="2605"/>
            <w:vAlign w:val="center"/>
            <w:tcMar>
              <w:top w:w="80" w:type="dxa"/>
              <w:start w:w="120" w:type="dxa"/>
              <w:bottom w:w="80" w:type="dxa"/>
              <w:end w:w="120" w:type="dxa"/>
            </w:tcMar>
          </w:tcPr>
          <w:p>
            <w:pPr>
              <w:spacing w:after="0" w:line="264" w:lineRule="auto"/>
              <w:jc w:val="left"/>
            </w:pPr>
            <w:r/>
            <w:r>
              <w:rPr>
                <w:rFonts w:ascii="Calibri" w:hAnsi="Calibri"/>
                <w:b w:val="0"/>
                <w:sz w:val="18"/>
              </w:rPr>
              <w:t>Anotasi emosi tetap bersifat subjektif dan kontekstual.</w:t>
            </w:r>
          </w:p>
        </w:tc>
      </w:tr>
    </w:tbl>
    <w:p>
      <w:r>
        <w:t>Evaluasi sistem FER tidak cukup hanya menggunakan akurasi. Karena kelas seperti disgust atau fear sering lebih sedikit dibanding happy atau neutral, metrik seperti precision, recall, F1-score, confusion matrix, dan balanced accuracy perlu digunakan. Pengujian lintas dataset juga penting untuk melihat generalisasi model ketika data uji berasal dari domain berbeda.</w:t>
      </w:r>
    </w:p>
    <w:p>
      <w:pPr>
        <w:pStyle w:val="Heading1"/>
      </w:pPr>
      <w:r>
        <w:t>5. Tantangan</w:t>
      </w:r>
    </w:p>
    <w:p>
      <w:r>
        <w:t>Tantangan teknis utama FER adalah variasi pose, pencahayaan, oklusi seperti masker atau kacamata, ekspresi campuran, perbedaan budaya, dan ketidakseimbangan kelas. Survei deep learning FER menekankan bahwa akurasi sangat dipengaruhi oleh kualitas anotasi dan keragaman data [9][10]. EmotioNet Challenge juga menunjukkan bahwa pengenalan ekspresi di kondisi liar masih sulit diselesaikan secara andal [14].</w:t>
      </w:r>
    </w:p>
    <w:p>
      <w:r>
        <w:t>Tantangan etis tidak kalah penting. Sistem FER dapat menimbulkan masalah privasi karena wajah adalah data biometrik. Selain itu, bias demografis dapat menyebabkan performa berbeda pada kelompok usia, gender, atau etnis tertentu [15]. Lebih jauh, klaim bahwa sistem dapat membaca emosi harus dibatasi karena ekspresi wajah tidak selalu membuktikan keadaan emosional internal seseorang [3].</w:t>
      </w:r>
    </w:p>
    <w:p>
      <w:pPr>
        <w:pStyle w:val="Heading1"/>
      </w:pPr>
      <w:r>
        <w:t>6. Kesimpulan</w:t>
      </w:r>
    </w:p>
    <w:p>
      <w:r>
        <w:t>Face emotion detection berkembang pesat berkat CNN, ResNet, attention mechanism, dan Vision Transformer. Dataset seperti FER2013, CK+, RAF-DB, dan AffectNet menjadi fondasi penting untuk pelatihan dan evaluasi. Namun, FER masih menghadapi tantangan besar pada generalisasi dunia nyata, label ambigu, bias data, privasi, dan validitas interpretasi emosi. Karena itu, sistem FER yang baik harus menyajikan hasil sebagai estimasi probabilistik, diuji pada data beragam, dan diterapkan dengan prinsip transparansi, consent, serta pembatasan penggunaan pada konteks yang tidak merugikan pengguna.</w:t>
      </w:r>
    </w:p>
    <w:p>
      <w:pPr>
        <w:sectPr>
          <w:footerReference w:type="default" r:id="rId9"/>
          <w:pgSz w:w="12240" w:h="15840"/>
          <w:pgMar w:top="1440" w:right="1440" w:bottom="1440" w:left="1440" w:header="708" w:footer="708" w:gutter="0"/>
          <w:cols w:space="720"/>
          <w:docGrid w:linePitch="360"/>
        </w:sectPr>
      </w:pPr>
    </w:p>
    <w:p>
      <w:pPr>
        <w:pStyle w:val="Heading1"/>
      </w:pPr>
      <w:r>
        <w:t>Daftar Pustaka</w:t>
      </w:r>
    </w:p>
    <w:p>
      <w:pPr>
        <w:pStyle w:val="Reference"/>
        <w:ind w:left="504" w:hanging="504"/>
      </w:pPr>
      <w:r>
        <w:rPr>
          <w:b/>
        </w:rPr>
        <w:t xml:space="preserve">[1] Picard, R. W. (1997). </w:t>
      </w:r>
      <w:hyperlink r:id="rId10">
        <w:r>
          <w:rPr>
            <w:color w:val="0563C1"/>
            <w:u w:val="single"/>
          </w:rPr>
          <w:t>Affective Computing</w:t>
        </w:r>
      </w:hyperlink>
      <w:r>
        <w:t>. MIT Press.</w:t>
      </w:r>
    </w:p>
    <w:p>
      <w:pPr>
        <w:pStyle w:val="Reference"/>
        <w:ind w:left="504" w:hanging="504"/>
      </w:pPr>
      <w:r>
        <w:rPr>
          <w:b/>
        </w:rPr>
        <w:t xml:space="preserve">[2] Ekman, P., &amp; Friesen, W. V. (1978). </w:t>
      </w:r>
      <w:hyperlink r:id="rId11">
        <w:r>
          <w:rPr>
            <w:color w:val="0563C1"/>
            <w:u w:val="single"/>
          </w:rPr>
          <w:t>Facial Action Coding System</w:t>
        </w:r>
      </w:hyperlink>
      <w:r>
        <w:t>. Consulting Psychologists Press.</w:t>
      </w:r>
    </w:p>
    <w:p>
      <w:pPr>
        <w:pStyle w:val="Reference"/>
        <w:ind w:left="504" w:hanging="504"/>
      </w:pPr>
      <w:r>
        <w:rPr>
          <w:b/>
        </w:rPr>
        <w:t xml:space="preserve">[3] Barrett, L. F., Adolphs, R., Marsella, S., Martinez, A. M., &amp; Pollak, S. D. (2019). </w:t>
      </w:r>
      <w:hyperlink r:id="rId12">
        <w:r>
          <w:rPr>
            <w:color w:val="0563C1"/>
            <w:u w:val="single"/>
          </w:rPr>
          <w:t>Emotional Expressions Reconsidered</w:t>
        </w:r>
      </w:hyperlink>
      <w:r>
        <w:t>. Psychological Science in the Public Interest.</w:t>
      </w:r>
    </w:p>
    <w:p>
      <w:pPr>
        <w:pStyle w:val="Reference"/>
        <w:ind w:left="504" w:hanging="504"/>
      </w:pPr>
      <w:r>
        <w:rPr>
          <w:b/>
        </w:rPr>
        <w:t xml:space="preserve">[4] Goodfellow, I. J., et al. (2013). </w:t>
      </w:r>
      <w:hyperlink r:id="rId13">
        <w:r>
          <w:rPr>
            <w:color w:val="0563C1"/>
            <w:u w:val="single"/>
          </w:rPr>
          <w:t>Challenges in Representation Learning</w:t>
        </w:r>
      </w:hyperlink>
      <w:r>
        <w:t>. arXiv.</w:t>
      </w:r>
    </w:p>
    <w:p>
      <w:pPr>
        <w:pStyle w:val="Reference"/>
        <w:ind w:left="504" w:hanging="504"/>
      </w:pPr>
      <w:r>
        <w:rPr>
          <w:b/>
        </w:rPr>
        <w:t xml:space="preserve">[5] Lucey, P., et al. (2010). </w:t>
      </w:r>
      <w:hyperlink r:id="rId14">
        <w:r>
          <w:rPr>
            <w:color w:val="0563C1"/>
            <w:u w:val="single"/>
          </w:rPr>
          <w:t>The Extended Cohn-Kanade Dataset (CK+)</w:t>
        </w:r>
      </w:hyperlink>
      <w:r>
        <w:t>. CVPR Workshops.</w:t>
      </w:r>
    </w:p>
    <w:p>
      <w:pPr>
        <w:pStyle w:val="Reference"/>
        <w:ind w:left="504" w:hanging="504"/>
      </w:pPr>
      <w:r>
        <w:rPr>
          <w:b/>
        </w:rPr>
        <w:t xml:space="preserve">[6] Li, S., Deng, W., &amp; Du, J. (2017). </w:t>
      </w:r>
      <w:hyperlink r:id="rId15">
        <w:r>
          <w:rPr>
            <w:color w:val="0563C1"/>
            <w:u w:val="single"/>
          </w:rPr>
          <w:t>Reliable Crowdsourcing and Deep Locality-Preserving Learning for Expression Recognition in the Wild</w:t>
        </w:r>
      </w:hyperlink>
      <w:r>
        <w:t>. CVPR.</w:t>
      </w:r>
    </w:p>
    <w:p>
      <w:pPr>
        <w:pStyle w:val="Reference"/>
        <w:ind w:left="504" w:hanging="504"/>
      </w:pPr>
      <w:r>
        <w:rPr>
          <w:b/>
        </w:rPr>
        <w:t xml:space="preserve">[7] Mollahosseini, A., Hasani, B., &amp; Mahoor, M. H. (2017). </w:t>
      </w:r>
      <w:hyperlink r:id="rId16">
        <w:r>
          <w:rPr>
            <w:color w:val="0563C1"/>
            <w:u w:val="single"/>
          </w:rPr>
          <w:t>AffectNet: A Database for Facial Expression, Valence, and Arousal Computing in the Wild</w:t>
        </w:r>
      </w:hyperlink>
      <w:r>
        <w:t>. arXiv.</w:t>
      </w:r>
    </w:p>
    <w:p>
      <w:pPr>
        <w:pStyle w:val="Reference"/>
        <w:ind w:left="504" w:hanging="504"/>
      </w:pPr>
      <w:r>
        <w:rPr>
          <w:b/>
        </w:rPr>
        <w:t xml:space="preserve">[8] Zafeiriou, S., et al. (2016). </w:t>
      </w:r>
      <w:hyperlink r:id="rId17">
        <w:r>
          <w:rPr>
            <w:color w:val="0563C1"/>
            <w:u w:val="single"/>
          </w:rPr>
          <w:t>Facial Affect In-the-Wild: A Survey and a New Database</w:t>
        </w:r>
      </w:hyperlink>
      <w:r>
        <w:t>. CVPR Workshops.</w:t>
      </w:r>
    </w:p>
    <w:p>
      <w:pPr>
        <w:pStyle w:val="Reference"/>
        <w:ind w:left="504" w:hanging="504"/>
      </w:pPr>
      <w:r>
        <w:rPr>
          <w:b/>
        </w:rPr>
        <w:t xml:space="preserve">[9] Li, S., &amp; Deng, W. (2022). </w:t>
      </w:r>
      <w:hyperlink r:id="rId18">
        <w:r>
          <w:rPr>
            <w:color w:val="0563C1"/>
            <w:u w:val="single"/>
          </w:rPr>
          <w:t>Facial Expression Recognition Based on Deep Learning</w:t>
        </w:r>
      </w:hyperlink>
      <w:r>
        <w:t>. Computer Methods and Programs in Biomedicine.</w:t>
      </w:r>
    </w:p>
    <w:p>
      <w:pPr>
        <w:pStyle w:val="Reference"/>
        <w:ind w:left="504" w:hanging="504"/>
      </w:pPr>
      <w:r>
        <w:rPr>
          <w:b/>
        </w:rPr>
        <w:t xml:space="preserve">[10] Sajjad, M., et al. (2022). </w:t>
      </w:r>
      <w:hyperlink r:id="rId19">
        <w:r>
          <w:rPr>
            <w:color w:val="0563C1"/>
            <w:u w:val="single"/>
          </w:rPr>
          <w:t>Facial Emotion Recognition Using Conventional Machine Learning and Deep Learning Methods</w:t>
        </w:r>
      </w:hyperlink>
      <w:r>
        <w:t>. Information.</w:t>
      </w:r>
    </w:p>
    <w:p>
      <w:pPr>
        <w:pStyle w:val="Reference"/>
        <w:ind w:left="504" w:hanging="504"/>
      </w:pPr>
      <w:r>
        <w:rPr>
          <w:b/>
        </w:rPr>
        <w:t xml:space="preserve">[11] He, K., Zhang, X., Ren, S., &amp; Sun, J. (2016). </w:t>
      </w:r>
      <w:hyperlink r:id="rId20">
        <w:r>
          <w:rPr>
            <w:color w:val="0563C1"/>
            <w:u w:val="single"/>
          </w:rPr>
          <w:t>Deep Residual Learning for Image Recognition</w:t>
        </w:r>
      </w:hyperlink>
      <w:r>
        <w:t>. CVPR.</w:t>
      </w:r>
    </w:p>
    <w:p>
      <w:pPr>
        <w:pStyle w:val="Reference"/>
        <w:ind w:left="504" w:hanging="504"/>
      </w:pPr>
      <w:r>
        <w:rPr>
          <w:b/>
        </w:rPr>
        <w:t xml:space="preserve">[12] Dosovitskiy, A., et al. (2020). </w:t>
      </w:r>
      <w:hyperlink r:id="rId21">
        <w:r>
          <w:rPr>
            <w:color w:val="0563C1"/>
            <w:u w:val="single"/>
          </w:rPr>
          <w:t>An Image is Worth 16x16 Words: Transformers for Image Recognition at Scale</w:t>
        </w:r>
      </w:hyperlink>
      <w:r>
        <w:t>. arXiv.</w:t>
      </w:r>
    </w:p>
    <w:p>
      <w:pPr>
        <w:pStyle w:val="Reference"/>
        <w:ind w:left="504" w:hanging="504"/>
      </w:pPr>
      <w:r>
        <w:rPr>
          <w:b/>
        </w:rPr>
        <w:t xml:space="preserve">[13] Wen, Z., Lin, W., Wang, T., &amp; Xu, G. (2021). </w:t>
      </w:r>
      <w:hyperlink r:id="rId22">
        <w:r>
          <w:rPr>
            <w:color w:val="0563C1"/>
            <w:u w:val="single"/>
          </w:rPr>
          <w:t>Distract Your Attention: Multi-head Cross Attention Network for Facial Expression Recognition</w:t>
        </w:r>
      </w:hyperlink>
      <w:r>
        <w:t>. arXiv.</w:t>
      </w:r>
    </w:p>
    <w:p>
      <w:pPr>
        <w:pStyle w:val="Reference"/>
        <w:ind w:left="504" w:hanging="504"/>
      </w:pPr>
      <w:r>
        <w:rPr>
          <w:b/>
        </w:rPr>
        <w:t xml:space="preserve">[14] Benitez-Quiroz, C. F., Srinivasan, R., &amp; Martinez, A. M. (2017). </w:t>
      </w:r>
      <w:hyperlink r:id="rId23">
        <w:r>
          <w:rPr>
            <w:color w:val="0563C1"/>
            <w:u w:val="single"/>
          </w:rPr>
          <w:t>EmotioNet Challenge: Recognition of Facial Expressions of Emotion in the Wild</w:t>
        </w:r>
      </w:hyperlink>
      <w:r>
        <w:t>. arXiv.</w:t>
      </w:r>
    </w:p>
    <w:p>
      <w:pPr>
        <w:pStyle w:val="Reference"/>
        <w:ind w:left="504" w:hanging="504"/>
      </w:pPr>
      <w:r>
        <w:rPr>
          <w:b/>
        </w:rPr>
        <w:t xml:space="preserve">[15] Domnich, A., Anbarjafari, G., &amp; others (2020). </w:t>
      </w:r>
      <w:hyperlink r:id="rId24">
        <w:r>
          <w:rPr>
            <w:color w:val="0563C1"/>
            <w:u w:val="single"/>
          </w:rPr>
          <w:t>Investigating Bias and Fairness in Facial Expression Recognition</w:t>
        </w:r>
      </w:hyperlink>
      <w:r>
        <w:t>. arXiv.</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Face Emotion Detection | Halaman </w:t>
    </w:r>
    <w:r>
      <w:rPr>
        <w:color w:val="6666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B254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80" w:line="252" w:lineRule="auto"/>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tpress.mit.edu/9780262161701/affective-computing/" TargetMode="External"/><Relationship Id="rId11" Type="http://schemas.openxmlformats.org/officeDocument/2006/relationships/hyperlink" Target="https://openlibrary.org/books/OL19840568M/Facial_action_coding_system" TargetMode="External"/><Relationship Id="rId12" Type="http://schemas.openxmlformats.org/officeDocument/2006/relationships/hyperlink" Target="https://pubmed.ncbi.nlm.nih.gov/31313636/" TargetMode="External"/><Relationship Id="rId13" Type="http://schemas.openxmlformats.org/officeDocument/2006/relationships/hyperlink" Target="https://arxiv.org/abs/1307.0414" TargetMode="External"/><Relationship Id="rId14" Type="http://schemas.openxmlformats.org/officeDocument/2006/relationships/hyperlink" Target="https://www.pitt.edu/~jeffcohn/CVPR2010_CK%2B2.pdf" TargetMode="External"/><Relationship Id="rId15" Type="http://schemas.openxmlformats.org/officeDocument/2006/relationships/hyperlink" Target="https://openaccess.thecvf.com/content_cvpr_2017/html/Li_Reliable_Crowdsourcing_and_CVPR_2017_paper.html" TargetMode="External"/><Relationship Id="rId16" Type="http://schemas.openxmlformats.org/officeDocument/2006/relationships/hyperlink" Target="https://arxiv.org/abs/1708.03985" TargetMode="External"/><Relationship Id="rId17" Type="http://schemas.openxmlformats.org/officeDocument/2006/relationships/hyperlink" Target="https://openaccess.thecvf.com/content_cvpr_2016_workshops/w28/papers/Zafeiriou_Facial_Affect_In-The-Wild_CVPR_2016_paper.pdf" TargetMode="External"/><Relationship Id="rId18" Type="http://schemas.openxmlformats.org/officeDocument/2006/relationships/hyperlink" Target="https://www.sciencedirect.com/science/article/pii/S0169260722000062" TargetMode="External"/><Relationship Id="rId19" Type="http://schemas.openxmlformats.org/officeDocument/2006/relationships/hyperlink" Target="https://www.mdpi.com/2078-2489/13/6/268" TargetMode="External"/><Relationship Id="rId20" Type="http://schemas.openxmlformats.org/officeDocument/2006/relationships/hyperlink" Target="https://openaccess.thecvf.com/content_cvpr_2016/html/He_Deep_Residual_Learning_CVPR_2016_paper.html" TargetMode="External"/><Relationship Id="rId21" Type="http://schemas.openxmlformats.org/officeDocument/2006/relationships/hyperlink" Target="https://arxiv.org/abs/2010.11929" TargetMode="External"/><Relationship Id="rId22" Type="http://schemas.openxmlformats.org/officeDocument/2006/relationships/hyperlink" Target="https://arxiv.org/abs/2109.07270" TargetMode="External"/><Relationship Id="rId23" Type="http://schemas.openxmlformats.org/officeDocument/2006/relationships/hyperlink" Target="https://arxiv.org/abs/1703.01210" TargetMode="External"/><Relationship Id="rId24" Type="http://schemas.openxmlformats.org/officeDocument/2006/relationships/hyperlink" Target="https://arxiv.org/abs/2007.100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 Emotion Detection Berbasis Deep Learning</dc:title>
  <dc:subject>Paper tentang facial expression recognition</dc:subject>
  <dc:creator>Codex</dc:creator>
  <cp:keywords>face emotion detection; facial expression recognition; deep learning; CNN; FER</cp:keywords>
  <dc:description>generated by python-docx</dc:description>
  <cp:lastModifiedBy/>
  <cp:revision>1</cp:revision>
  <dcterms:created xsi:type="dcterms:W3CDTF">2013-12-23T23:15:00Z</dcterms:created>
  <dcterms:modified xsi:type="dcterms:W3CDTF">2013-12-23T23:15:00Z</dcterms:modified>
  <cp:category/>
</cp:coreProperties>
</file>