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0"/>
        <w:gridCol w:w="2720"/>
      </w:tblGrid>
      <w:tr>
        <w:tc>
          <w:tcPr>
            <w:tcW w:type="dxa" w:w="7000"/>
            <w:tcBorders>
              <w:top w:val="none" w:color="FFFFFF" w:sz="0"/>
              <w:left w:val="none" w:color="FFFFFF" w:sz="0"/>
              <w:bottom w:val="none" w:color="FFFFFF" w:sz="0"/>
              <w:right w:val="none" w:color="FFFFFF" w:sz="0"/>
            </w:tcBorders>
            <w:shd w:fill="1A3A6B" w:val="clear"/>
            <w:tcMar>
              <w:top w:type="dxa" w:w="160"/>
              <w:left w:type="dxa" w:w="240"/>
              <w:bottom w:type="dxa" w:w="160"/>
              <w:right w:type="dxa" w:w="120"/>
            </w:tcMar>
            <w:vAlign w:val="center"/>
          </w:tcPr>
          <w:p>
            <w:r>
              <w:rPr>
                <w:rFonts w:ascii="Arial" w:cs="Arial" w:eastAsia="Arial" w:hAnsi="Arial"/>
                <w:color w:val="AABBDD"/>
                <w:spacing w:val="40"/>
                <w:sz w:val="16"/>
                <w:szCs w:val="16"/>
              </w:rPr>
              <w:t xml:space="preserve">EQUITY RESEARCH  |  REAL ESTATE</w:t>
            </w:r>
          </w:p>
          <w:p>
            <w:r>
              <w:rPr>
                <w:rFonts w:ascii="Arial" w:cs="Arial" w:eastAsia="Arial" w:hAnsi="Arial"/>
                <w:b/>
                <w:bCs/>
                <w:color w:val="FFFFFF"/>
                <w:sz w:val="34"/>
                <w:szCs w:val="34"/>
              </w:rPr>
              <w:t xml:space="preserve">REIT Sector Flash Note</w:t>
            </w:r>
          </w:p>
        </w:tc>
        <w:tc>
          <w:tcPr>
            <w:tcW w:type="dxa" w:w="2720"/>
            <w:tcBorders>
              <w:top w:val="none" w:color="FFFFFF" w:sz="0"/>
              <w:left w:val="none" w:color="FFFFFF" w:sz="0"/>
              <w:bottom w:val="none" w:color="FFFFFF" w:sz="0"/>
              <w:right w:val="none" w:color="FFFFFF" w:sz="0"/>
            </w:tcBorders>
            <w:shd w:fill="8B1A1A" w:val="clear"/>
            <w:tcMar>
              <w:top w:type="dxa" w:w="120"/>
              <w:left w:type="dxa" w:w="180"/>
              <w:bottom w:type="dxa" w:w="120"/>
              <w:right w:type="dxa" w:w="180"/>
            </w:tcMar>
            <w:vAlign w:val="center"/>
          </w:tcPr>
          <w:p>
            <w:pPr>
              <w:jc w:val="right"/>
            </w:pPr>
            <w:r>
              <w:rPr>
                <w:rFonts w:ascii="Arial" w:cs="Arial" w:eastAsia="Arial" w:hAnsi="Arial"/>
                <w:b/>
                <w:bCs/>
                <w:color w:val="FFFFFF"/>
                <w:sz w:val="18"/>
                <w:szCs w:val="18"/>
              </w:rPr>
              <w:t xml:space="preserve">March 7, 2026</w:t>
            </w:r>
          </w:p>
          <w:p>
            <w:pPr>
              <w:jc w:val="right"/>
            </w:pPr>
            <w:r>
              <w:rPr>
                <w:rFonts w:ascii="Arial" w:cs="Arial" w:eastAsia="Arial" w:hAnsi="Arial"/>
                <w:color w:val="FFCCCC"/>
                <w:sz w:val="14"/>
                <w:szCs w:val="14"/>
              </w:rPr>
              <w:t xml:space="preserve">NOT FOR DISTRIBUTION</w:t>
            </w:r>
          </w:p>
        </w:tc>
      </w:tr>
    </w:tbl>
    <w:p>
      <w:pPr>
        <w:spacing w:before="60" w:after="60"/>
      </w:pPr>
    </w:p>
    <w:p>
      <w:pPr>
        <w:spacing w:before="160" w:after="80"/>
      </w:pPr>
      <w:r>
        <w:rPr>
          <w:rFonts w:ascii="Arial" w:cs="Arial" w:eastAsia="Arial" w:hAnsi="Arial"/>
          <w:b/>
          <w:bCs/>
          <w:color w:val="1A3A6B"/>
          <w:sz w:val="36"/>
          <w:szCs w:val="36"/>
        </w:rPr>
        <w:t xml:space="preserve">Iran War &amp; REITs: The Rate Channel Is What Matters</w:t>
      </w:r>
    </w:p>
    <w:p>
      <w:pPr>
        <w:spacing w:before="0" w:after="180"/>
      </w:pPr>
      <w:r>
        <w:rPr>
          <w:rFonts w:ascii="Arial" w:cs="Arial" w:eastAsia="Arial" w:hAnsi="Arial"/>
          <w:i/>
          <w:iCs/>
          <w:color w:val="8B1A1A"/>
          <w:sz w:val="22"/>
          <w:szCs w:val="22"/>
        </w:rPr>
        <w:t xml:space="preserve">Oil is the headline. Rates are the mechanism. Subsector dispersion is the opportunity.</w:t>
      </w:r>
    </w:p>
    <w:p>
      <w:pPr>
        <w:pBdr>
          <w:bottom w:val="single" w:color="1A3A6B" w:sz="6" w:space="1"/>
        </w:pBdr>
        <w:spacing w:before="120" w:after="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EAF2FF" w:val="clear"/>
            <w:tcMar>
              <w:top w:type="dxa" w:w="160"/>
              <w:left w:type="dxa" w:w="240"/>
              <w:bottom w:type="dxa" w:w="160"/>
              <w:right w:type="dxa" w:w="240"/>
            </w:tcMar>
          </w:tcPr>
          <w:p>
            <w:pPr>
              <w:spacing w:before="0" w:after="100"/>
            </w:pPr>
            <w:r>
              <w:rPr>
                <w:rFonts w:ascii="Arial" w:cs="Arial" w:eastAsia="Arial" w:hAnsi="Arial"/>
                <w:b/>
                <w:bCs/>
                <w:color w:val="1A3A6B"/>
                <w:spacing w:val="30"/>
                <w:sz w:val="20"/>
                <w:szCs w:val="20"/>
              </w:rPr>
              <w:t xml:space="preserve">KEY TAKEAWAYS</w:t>
            </w:r>
          </w:p>
          <w:p>
            <w:pPr>
              <w:pStyle w:val="ListParagraph"/>
              <w:numPr>
                <w:ilvl w:val="0"/>
                <w:numId w:val="2"/>
              </w:numPr>
              <w:spacing w:before="60" w:after="60"/>
            </w:pPr>
            <w:r>
              <w:rPr>
                <w:rFonts w:ascii="Arial" w:cs="Arial" w:eastAsia="Arial" w:hAnsi="Arial"/>
                <w:color w:val="555555"/>
                <w:sz w:val="20"/>
                <w:szCs w:val="20"/>
              </w:rPr>
              <w:t xml:space="preserve">Oil is not the direct lever for REITs. Across 30 years of monthly data (n=366), the direct oil→REIT excess return coefficient is statistically insignificant across every shock definition.</w:t>
            </w:r>
          </w:p>
          <w:p>
            <w:pPr>
              <w:pStyle w:val="ListParagraph"/>
              <w:numPr>
                <w:ilvl w:val="0"/>
                <w:numId w:val="2"/>
              </w:numPr>
              <w:spacing w:before="60" w:after="60"/>
            </w:pPr>
            <w:r>
              <w:rPr>
                <w:rFonts w:ascii="Arial" w:cs="Arial" w:eastAsia="Arial" w:hAnsi="Arial"/>
                <w:color w:val="555555"/>
                <w:sz w:val="20"/>
                <w:szCs w:val="20"/>
              </w:rPr>
              <w:t xml:space="preserve">Rates are. A 1pp rise in the 10Y is associated with ~3-5% REIT underperformance vs the S&amp;P. This week's move from ~3.90% to ~4.13% is the real headwind.</w:t>
            </w:r>
          </w:p>
          <w:p>
            <w:pPr>
              <w:pStyle w:val="ListParagraph"/>
              <w:numPr>
                <w:ilvl w:val="0"/>
                <w:numId w:val="2"/>
              </w:numPr>
              <w:spacing w:before="60" w:after="60"/>
            </w:pPr>
            <w:r>
              <w:rPr>
                <w:rFonts w:ascii="Arial" w:cs="Arial" w:eastAsia="Arial" w:hAnsi="Arial"/>
                <w:color w:val="555555"/>
                <w:sz w:val="20"/>
                <w:szCs w:val="20"/>
              </w:rPr>
              <w:t xml:space="preserve">The transmission chain is active: Oil shock → inflation expectations → 10Y rises → REITs underperform. The R-sq on oil→10Y strengthens from 8% in the full sample to 32% during extreme shock months.</w:t>
            </w:r>
          </w:p>
          <w:p>
            <w:pPr>
              <w:pStyle w:val="ListParagraph"/>
              <w:numPr>
                <w:ilvl w:val="0"/>
                <w:numId w:val="2"/>
              </w:numPr>
              <w:spacing w:before="60" w:after="60"/>
            </w:pPr>
            <w:r>
              <w:rPr>
                <w:rFonts w:ascii="Arial" w:cs="Arial" w:eastAsia="Arial" w:hAnsi="Arial"/>
                <w:color w:val="555555"/>
                <w:sz w:val="20"/>
                <w:szCs w:val="20"/>
              </w:rPr>
              <w:t xml:space="preserve">Subsector dispersion is the key opportunity. Industrial, Data Centers, and Healthcare are best insulated. Net Lease and Residential face duration headwinds. Hotels are a near-term avoid.</w:t>
            </w:r>
          </w:p>
          <w:p>
            <w:pPr>
              <w:pStyle w:val="ListParagraph"/>
              <w:numPr>
                <w:ilvl w:val="0"/>
                <w:numId w:val="2"/>
              </w:numPr>
              <w:spacing w:before="60" w:after="60"/>
            </w:pPr>
            <w:r>
              <w:rPr>
                <w:rFonts w:ascii="Arial" w:cs="Arial" w:eastAsia="Arial" w:hAnsi="Arial"/>
                <w:color w:val="555555"/>
                <w:sz w:val="20"/>
                <w:szCs w:val="20"/>
              </w:rPr>
              <w:t xml:space="preserve">The tail risk is asymmetric: if oil reaches $100+ and recession fears mount, the 10Y retreats and rate-sensitive REIT sectors could actually benefit from the resulting rate-cut repricing.</w:t>
            </w:r>
          </w:p>
        </w:tc>
      </w:tr>
    </w:tbl>
    <w:p>
      <w:pPr>
        <w:spacing w:before="60" w:after="60"/>
      </w:pPr>
    </w:p>
    <w:p>
      <w:pPr>
        <w:spacing w:before="240" w:after="80"/>
      </w:pPr>
      <w:r>
        <w:rPr>
          <w:rFonts w:ascii="Arial" w:cs="Arial" w:eastAsia="Arial" w:hAnsi="Arial"/>
          <w:b/>
          <w:bCs/>
          <w:color w:val="1A3A6B"/>
          <w:spacing w:val="40"/>
          <w:sz w:val="18"/>
          <w:szCs w:val="18"/>
        </w:rPr>
        <w:t xml:space="preserve">MACRO BACKDROP</w:t>
      </w:r>
    </w:p>
    <w:p>
      <w:pPr>
        <w:spacing w:before="80" w:after="120"/>
      </w:pPr>
      <w:r>
        <w:rPr>
          <w:rFonts w:ascii="Arial" w:cs="Arial" w:eastAsia="Arial" w:hAnsi="Arial"/>
          <w:b w:val="false"/>
          <w:bCs w:val="false"/>
          <w:color w:val="555555"/>
          <w:sz w:val="20"/>
          <w:szCs w:val="20"/>
        </w:rPr>
        <w:t xml:space="preserve">The US-Israel war with Iran (Operation Epic Fury, begun February 28) has effectively closed the Strait of Hormuz to commercial traffic via drone attacks on tankers -- achieving a de facto blockade without a formal naval operation. The conflict is now in day 8 with no near-term resolution visible; Trump has demanded unconditional surrender. The key market variables for REIT investors:</w:t>
      </w:r>
    </w:p>
    <w:p>
      <w:pPr>
        <w:spacing w:before="60"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00"/>
        <w:gridCol w:w="8420"/>
      </w:tblGrid>
      <w:tr>
        <w:tc>
          <w:tcPr>
            <w:tcW w:type="dxa" w:w="13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B8860B"/>
                <w:sz w:val="19"/>
                <w:szCs w:val="19"/>
              </w:rPr>
              <w:t xml:space="preserve">OIL</w:t>
            </w:r>
          </w:p>
        </w:tc>
        <w:tc>
          <w:tcPr>
            <w:tcW w:type="dxa" w:w="842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20"/>
            </w:tcMar>
          </w:tcPr>
          <w:p>
            <w:r>
              <w:rPr>
                <w:rFonts w:ascii="Arial" w:cs="Arial" w:eastAsia="Arial" w:hAnsi="Arial"/>
                <w:color w:val="555555"/>
                <w:sz w:val="19"/>
                <w:szCs w:val="19"/>
              </w:rPr>
              <w:t xml:space="preserve">Brent ~$82/bbl (+12% since Feb 28). WTI ~$75. Goldman base: $76 avg Q2. $100+ scenario if Hormuz stays closed 5+ weeks.</w:t>
            </w:r>
          </w:p>
        </w:tc>
      </w:tr>
    </w:tbl>
    <w:p>
      <w:pPr>
        <w:spacing w:before="40"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00"/>
        <w:gridCol w:w="8420"/>
      </w:tblGrid>
      <w:tr>
        <w:tc>
          <w:tcPr>
            <w:tcW w:type="dxa" w:w="13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8B1A1A"/>
                <w:sz w:val="19"/>
                <w:szCs w:val="19"/>
              </w:rPr>
              <w:t xml:space="preserve">10Y</w:t>
            </w:r>
          </w:p>
        </w:tc>
        <w:tc>
          <w:tcPr>
            <w:tcW w:type="dxa" w:w="842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20"/>
            </w:tcMar>
          </w:tcPr>
          <w:p>
            <w:r>
              <w:rPr>
                <w:rFonts w:ascii="Arial" w:cs="Arial" w:eastAsia="Arial" w:hAnsi="Arial"/>
                <w:color w:val="555555"/>
                <w:sz w:val="19"/>
                <w:szCs w:val="19"/>
              </w:rPr>
              <w:t xml:space="preserve">Rose from ~3.90% pre-war to ~4.13% intraweek peak; currently ~4.06-4.10%. Bond market pricing inflation risk, not safety. Defying the typical geopolitical safe-haven bid.</w:t>
            </w:r>
          </w:p>
        </w:tc>
      </w:tr>
    </w:tbl>
    <w:p>
      <w:pPr>
        <w:spacing w:before="40"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00"/>
        <w:gridCol w:w="8420"/>
      </w:tblGrid>
      <w:tr>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A3A6B"/>
                <w:sz w:val="19"/>
                <w:szCs w:val="19"/>
              </w:rPr>
              <w:t xml:space="preserve">FED</w:t>
            </w:r>
          </w:p>
        </w:tc>
        <w:tc>
          <w:tcPr>
            <w:tcW w:type="dxa" w:w="842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r>
              <w:rPr>
                <w:rFonts w:ascii="Arial" w:cs="Arial" w:eastAsia="Arial" w:hAnsi="Arial"/>
                <w:color w:val="555555"/>
                <w:sz w:val="19"/>
                <w:szCs w:val="19"/>
              </w:rPr>
              <w:t xml:space="preserve">Rate cuts pushed out. Prior consensus: cuts resume H2 2026. Now: cuts likely delayed to Q4 2026 at earliest under base case; potentially 2027 in bear case.</w:t>
            </w:r>
          </w:p>
        </w:tc>
      </w:tr>
    </w:tbl>
    <w:p>
      <w:pPr>
        <w:spacing w:before="40" w:after="80"/>
      </w:pPr>
    </w:p>
    <w:p>
      <w:pPr>
        <w:pBdr>
          <w:bottom w:val="single" w:color="CCCCCC" w:sz="6" w:space="1"/>
        </w:pBdr>
        <w:spacing w:before="120" w:after="120"/>
      </w:pPr>
    </w:p>
    <w:p>
      <w:pPr>
        <w:spacing w:before="240" w:after="80"/>
      </w:pPr>
      <w:r>
        <w:rPr>
          <w:rFonts w:ascii="Arial" w:cs="Arial" w:eastAsia="Arial" w:hAnsi="Arial"/>
          <w:b/>
          <w:bCs/>
          <w:color w:val="1A3A6B"/>
          <w:spacing w:val="40"/>
          <w:sz w:val="18"/>
          <w:szCs w:val="18"/>
        </w:rPr>
        <w:t xml:space="preserve">HISTORICAL FRAMEWORK: WHAT 30 YEARS OF OIL SHOCKS TELL US</w:t>
      </w:r>
    </w:p>
    <w:p>
      <w:pPr>
        <w:pStyle w:val="Heading2"/>
        <w:spacing w:before="240" w:after="100"/>
      </w:pPr>
      <w:r>
        <w:rPr>
          <w:rFonts w:ascii="Arial" w:cs="Arial" w:eastAsia="Arial" w:hAnsi="Arial"/>
          <w:b/>
          <w:bCs/>
          <w:color w:val="1A3A6B"/>
          <w:sz w:val="26"/>
          <w:szCs w:val="26"/>
        </w:rPr>
        <w:t xml:space="preserve">The Core Finding: Oil ≠ REIT Underperformance</w:t>
      </w:r>
    </w:p>
    <w:p>
      <w:pPr>
        <w:spacing w:before="80" w:after="120"/>
      </w:pPr>
      <w:r>
        <w:rPr>
          <w:rFonts w:ascii="Arial" w:cs="Arial" w:eastAsia="Arial" w:hAnsi="Arial"/>
          <w:b w:val="false"/>
          <w:bCs w:val="false"/>
          <w:color w:val="555555"/>
          <w:sz w:val="20"/>
          <w:szCs w:val="20"/>
        </w:rPr>
        <w:t xml:space="preserve">Our regression analysis covers monthly data from 1995-2025 across every major shock definition. The bottom line is unambiguous: </w:t>
      </w:r>
      <w:r>
        <w:rPr>
          <w:rFonts w:ascii="Arial" w:cs="Arial" w:eastAsia="Arial" w:hAnsi="Arial"/>
          <w:b/>
          <w:bCs/>
          <w:color w:val="555555"/>
          <w:sz w:val="20"/>
          <w:szCs w:val="20"/>
        </w:rPr>
        <w:t xml:space="preserve">oil does not drive REIT underperformance vs the S&amp;P, even during major shocks.</w:t>
      </w:r>
      <w:r>
        <w:rPr>
          <w:rFonts w:ascii="Arial" w:cs="Arial" w:eastAsia="Arial" w:hAnsi="Arial"/>
          <w:b w:val="false"/>
          <w:bCs w:val="false"/>
          <w:color w:val="555555"/>
          <w:sz w:val="20"/>
          <w:szCs w:val="20"/>
        </w:rPr>
        <w:t xml:space="preserve"> Oil spikes hit REITs and the broader market approximately equally. There is no meaningful differential impact from the energy channel alone.</w:t>
      </w:r>
    </w:p>
    <w:p>
      <w:pPr>
        <w:spacing w:before="60"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700"/>
        <w:gridCol w:w="2420"/>
      </w:tblGrid>
      <w:tr>
        <w:tc>
          <w:tcPr>
            <w:tcW w:type="dxa" w:w="2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Regime</w:t>
            </w:r>
          </w:p>
        </w:tc>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Oil Coef. on REIT Excess Ret.</w:t>
            </w:r>
          </w:p>
        </w:tc>
        <w:tc>
          <w:tcPr>
            <w:tcW w:type="dxa" w:w="1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p-value</w:t>
            </w:r>
          </w:p>
        </w:tc>
        <w:tc>
          <w:tcPr>
            <w:tcW w:type="dxa" w:w="24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Verdict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55555"/>
                <w:sz w:val="18"/>
                <w:szCs w:val="18"/>
              </w:rPr>
              <w:t xml:space="preserve">Full Sample (n=366)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-0.022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0.567</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Not significant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555555"/>
                <w:sz w:val="18"/>
                <w:szCs w:val="18"/>
              </w:rPr>
              <w:t xml:space="preserve">Oil Shocks &gt;1 SD (n=88)</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-0.051</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0.547</w:t>
            </w:r>
          </w:p>
        </w:tc>
        <w:tc>
          <w:tcPr>
            <w:tcW w:type="dxa" w:w="24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Not significant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55555"/>
                <w:sz w:val="18"/>
                <w:szCs w:val="18"/>
              </w:rPr>
              <w:t xml:space="preserve">Extreme Shocks &gt;1.5 SD (n=29)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+0.031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0.429</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Not significant</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555555"/>
                <w:sz w:val="18"/>
                <w:szCs w:val="18"/>
              </w:rPr>
              <w:t xml:space="preserve">Oil Spikes &gt;+10% (n=46)</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+0.048</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0.582</w:t>
            </w:r>
          </w:p>
        </w:tc>
        <w:tc>
          <w:tcPr>
            <w:tcW w:type="dxa" w:w="24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Not significant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55555"/>
                <w:sz w:val="18"/>
                <w:szCs w:val="18"/>
              </w:rPr>
              <w:t xml:space="preserve">Oil Crashes &lt;-10% (n=35)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+0.178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0.155</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Not significant</w:t>
            </w:r>
          </w:p>
        </w:tc>
      </w:tr>
    </w:tbl>
    <w:p>
      <w:pPr>
        <w:spacing w:before="60" w:after="60"/>
      </w:pPr>
    </w:p>
    <w:p>
      <w:pPr>
        <w:pStyle w:val="Heading2"/>
        <w:spacing w:before="240" w:after="100"/>
      </w:pPr>
      <w:r>
        <w:rPr>
          <w:rFonts w:ascii="Arial" w:cs="Arial" w:eastAsia="Arial" w:hAnsi="Arial"/>
          <w:b/>
          <w:bCs/>
          <w:color w:val="1A3A6B"/>
          <w:sz w:val="26"/>
          <w:szCs w:val="26"/>
        </w:rPr>
        <w:t xml:space="preserve">The Real Mechanism: Rates Drive the Wedge</w:t>
      </w:r>
    </w:p>
    <w:p>
      <w:pPr>
        <w:spacing w:before="80" w:after="120"/>
      </w:pPr>
      <w:r>
        <w:rPr>
          <w:rFonts w:ascii="Arial" w:cs="Arial" w:eastAsia="Arial" w:hAnsi="Arial"/>
          <w:b w:val="false"/>
          <w:bCs w:val="false"/>
          <w:color w:val="555555"/>
          <w:sz w:val="20"/>
          <w:szCs w:val="20"/>
        </w:rPr>
        <w:t xml:space="preserve">A 1 percentage point rise in the 10-year Treasury yield in a given month is associated with approximately </w:t>
      </w:r>
      <w:r>
        <w:rPr>
          <w:rFonts w:ascii="Arial" w:cs="Arial" w:eastAsia="Arial" w:hAnsi="Arial"/>
          <w:b/>
          <w:bCs/>
          <w:color w:val="555555"/>
          <w:sz w:val="20"/>
          <w:szCs w:val="20"/>
        </w:rPr>
        <w:t xml:space="preserve">3-5% REIT underperformance vs the S&amp;P</w:t>
      </w:r>
      <w:r>
        <w:rPr>
          <w:rFonts w:ascii="Arial" w:cs="Arial" w:eastAsia="Arial" w:hAnsi="Arial"/>
          <w:b w:val="false"/>
          <w:bCs w:val="false"/>
          <w:color w:val="555555"/>
          <w:sz w:val="20"/>
          <w:szCs w:val="20"/>
        </w:rPr>
        <w:t xml:space="preserve">. At the extreme shock threshold (1.5 SD oil moves), this coefficient is -14.6 and highly significant (p&lt;0.001). REITs behave like long-duration bonds -- the interest rate channel is the dominant factor in relative performance.</w:t>
      </w:r>
    </w:p>
    <w:p>
      <w:pPr>
        <w:spacing w:before="60" w:after="60"/>
      </w:pPr>
    </w:p>
    <w:p>
      <w:pPr>
        <w:spacing w:before="80" w:after="80"/>
        <w:jc w:val="center"/>
      </w:pPr>
      <w:r>
        <w:drawing>
          <wp:inline distT="0" distB="0" distL="0" distR="0">
            <wp:extent cx="6381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381750" cy="3048000"/>
                    </a:xfrm>
                    <a:prstGeom prst="rect">
                      <a:avLst/>
                    </a:prstGeom>
                  </pic:spPr>
                </pic:pic>
              </a:graphicData>
            </a:graphic>
          </wp:inline>
        </w:drawing>
      </w:r>
    </w:p>
    <w:p>
      <w:pPr>
        <w:spacing w:before="40" w:after="100"/>
        <w:jc w:val="center"/>
      </w:pPr>
      <w:r>
        <w:rPr>
          <w:rFonts w:ascii="Arial" w:cs="Arial" w:eastAsia="Arial" w:hAnsi="Arial"/>
          <w:i/>
          <w:iCs/>
          <w:color w:val="888888"/>
          <w:sz w:val="17"/>
          <w:szCs w:val="17"/>
        </w:rPr>
        <w:t xml:space="preserve">Exhibit 3: The Indirect Channel -- Oil → 10Y Yield (left) and 10Y Yield → REIT Excess Return (right)</w:t>
      </w:r>
    </w:p>
    <w:p>
      <w:pPr>
        <w:spacing w:before="80" w:after="120"/>
      </w:pPr>
      <w:r>
        <w:rPr>
          <w:rFonts w:ascii="Arial" w:cs="Arial" w:eastAsia="Arial" w:hAnsi="Arial"/>
          <w:b w:val="false"/>
          <w:bCs w:val="false"/>
          <w:color w:val="555555"/>
          <w:sz w:val="20"/>
          <w:szCs w:val="20"/>
        </w:rPr>
        <w:t xml:space="preserve">The oil→10Y relationship also strengthens significantly during large shocks: R-sq rises from 8.3% in the full sample to 32.1% during extreme shock months, meaning the current environment -- a genuine large oil shock -- is precisely when this channel is most active.</w:t>
      </w:r>
    </w:p>
    <w:p>
      <w:pPr>
        <w:spacing w:before="60" w:after="60"/>
      </w:pPr>
    </w:p>
    <w:p>
      <w:pPr>
        <w:spacing w:before="80" w:after="120"/>
      </w:pPr>
      <w:r>
        <w:rPr>
          <w:rFonts w:ascii="Arial" w:cs="Arial" w:eastAsia="Arial" w:hAnsi="Arial"/>
          <w:b/>
          <w:bCs/>
          <w:color w:val="555555"/>
          <w:sz w:val="20"/>
          <w:szCs w:val="20"/>
        </w:rPr>
        <w:t xml:space="preserve">Important asymmetry: </w:t>
      </w:r>
      <w:r>
        <w:rPr>
          <w:rFonts w:ascii="Arial" w:cs="Arial" w:eastAsia="Arial" w:hAnsi="Arial"/>
          <w:b w:val="false"/>
          <w:bCs w:val="false"/>
          <w:color w:val="555555"/>
          <w:sz w:val="20"/>
          <w:szCs w:val="20"/>
        </w:rPr>
        <w:t xml:space="preserve">oil crashes (&lt;-10%) produce a significantly different dynamic than oil spikes. Crashes pull rates down, and the rate→REIT channel becomes highly significant (p=0.005, coef=-10.6). This is the tail-risk bull case: if oil surges to $100+ and recession fears take hold, the 10Y retreats sharply and rate-sensitive REIT sectors benefit meaningfully.</w:t>
      </w:r>
    </w:p>
    <w:p>
      <w:pPr>
        <w:pBdr>
          <w:bottom w:val="single" w:color="CCCCCC" w:sz="6" w:space="1"/>
        </w:pBdr>
        <w:spacing w:before="120" w:after="120"/>
      </w:pPr>
    </w:p>
    <w:p>
      <w:pPr>
        <w:spacing w:before="240" w:after="80"/>
      </w:pPr>
      <w:r>
        <w:rPr>
          <w:rFonts w:ascii="Arial" w:cs="Arial" w:eastAsia="Arial" w:hAnsi="Arial"/>
          <w:b/>
          <w:bCs/>
          <w:color w:val="1A3A6B"/>
          <w:spacing w:val="40"/>
          <w:sz w:val="18"/>
          <w:szCs w:val="18"/>
        </w:rPr>
        <w:t xml:space="preserve">SUBSECTOR IMPACT ANALYSIS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60"/>
        <w:gridCol w:w="2000"/>
        <w:gridCol w:w="2000"/>
        <w:gridCol w:w="1960"/>
        <w:gridCol w:w="2000"/>
      </w:tblGrid>
      <w:tr>
        <w:tc>
          <w:tcPr>
            <w:tcW w:type="dxa" w:w="176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Subsector</w:t>
            </w:r>
          </w:p>
        </w:tc>
        <w:tc>
          <w:tcPr>
            <w:tcW w:type="dxa" w:w="200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Rate Sensitivity</w:t>
            </w:r>
          </w:p>
        </w:tc>
        <w:tc>
          <w:tcPr>
            <w:tcW w:type="dxa" w:w="200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Oil/Inflation</w:t>
            </w:r>
          </w:p>
        </w:tc>
        <w:tc>
          <w:tcPr>
            <w:tcW w:type="dxa" w:w="196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Demand Impact</w:t>
            </w:r>
          </w:p>
        </w:tc>
        <w:tc>
          <w:tcPr>
            <w:tcW w:type="dxa" w:w="200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Our View</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55555"/>
                <w:sz w:val="18"/>
                <w:szCs w:val="18"/>
              </w:rPr>
              <w:t xml:space="preserve">Industrial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Supply chain boost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Reshoring accelerates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6B3A"/>
                <w:sz w:val="18"/>
                <w:szCs w:val="18"/>
              </w:rPr>
              <w:t xml:space="preserve">CONSTRUCTIVE</w:t>
            </w:r>
          </w:p>
        </w:tc>
      </w:tr>
      <w:tr>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555555"/>
                <w:sz w:val="18"/>
                <w:szCs w:val="18"/>
              </w:rPr>
              <w:t xml:space="preserve">Data Centers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Moderate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Energy cost (hedged)</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AI demand durable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6B3A"/>
                <w:sz w:val="18"/>
                <w:szCs w:val="18"/>
              </w:rPr>
              <w:t xml:space="preserve">CONSTRUCTIVE</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55555"/>
                <w:sz w:val="18"/>
                <w:szCs w:val="18"/>
              </w:rPr>
              <w:t xml:space="preserve">Healthcare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Minimal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Defensive / resilient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6B3A"/>
                <w:sz w:val="18"/>
                <w:szCs w:val="18"/>
              </w:rPr>
              <w:t xml:space="preserve">POSITIVE</w:t>
            </w:r>
          </w:p>
        </w:tc>
      </w:tr>
      <w:tr>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555555"/>
                <w:sz w:val="18"/>
                <w:szCs w:val="18"/>
              </w:rPr>
              <w:t xml:space="preserve">Self-Storage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Low-Mod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Insulated</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Counter-cyclical</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6B3A"/>
                <w:sz w:val="18"/>
                <w:szCs w:val="18"/>
              </w:rPr>
              <w:t xml:space="preserve">CONSTRUCTIVE</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55555"/>
                <w:sz w:val="18"/>
                <w:szCs w:val="18"/>
              </w:rPr>
              <w:t xml:space="preserve">Strip/Mall Retail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Consumer drag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Gas price pressure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NEUTRAL</w:t>
            </w:r>
          </w:p>
        </w:tc>
      </w:tr>
      <w:tr>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555555"/>
                <w:sz w:val="18"/>
                <w:szCs w:val="18"/>
              </w:rPr>
              <w:t xml:space="preserve">Net Lease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HIGH</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Moderate passthrough</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Contractual / stable</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B8860B"/>
                <w:sz w:val="18"/>
                <w:szCs w:val="18"/>
              </w:rPr>
              <w:t xml:space="preserve">CAUTIOUS</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55555"/>
                <w:sz w:val="18"/>
                <w:szCs w:val="18"/>
              </w:rPr>
              <w:t xml:space="preserve">Residential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Utility cost rise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Near-term demand OK</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B8860B"/>
                <w:sz w:val="18"/>
                <w:szCs w:val="18"/>
              </w:rPr>
              <w:t xml:space="preserve">CAUTIOUS</w:t>
            </w:r>
          </w:p>
        </w:tc>
      </w:tr>
      <w:tr>
        <w:tc>
          <w:tcPr>
            <w:tcW w:type="dxa" w:w="1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555555"/>
                <w:sz w:val="18"/>
                <w:szCs w:val="18"/>
              </w:rPr>
              <w:t xml:space="preserve">Office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Moderate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Energy cost rise</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Already challenged</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1A1A"/>
                <w:sz w:val="18"/>
                <w:szCs w:val="18"/>
              </w:rPr>
              <w:t xml:space="preserve">AVOID</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55555"/>
                <w:sz w:val="18"/>
                <w:szCs w:val="18"/>
              </w:rPr>
              <w:t xml:space="preserve">Hotels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Low-Mod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Direct inflation hit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Travel disruption</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8B1A1A"/>
                <w:sz w:val="18"/>
                <w:szCs w:val="18"/>
              </w:rPr>
              <w:t xml:space="preserve">AVOID</w:t>
            </w:r>
          </w:p>
        </w:tc>
      </w:tr>
    </w:tbl>
    <w:p>
      <w:pPr>
        <w:spacing w:before="60" w:after="60"/>
      </w:pPr>
    </w:p>
    <w:p>
      <w:pPr>
        <w:pStyle w:val="Heading3"/>
        <w:spacing w:before="180" w:after="80"/>
      </w:pPr>
      <w:r>
        <w:rPr>
          <w:rFonts w:ascii="Arial" w:cs="Arial" w:eastAsia="Arial" w:hAnsi="Arial"/>
          <w:b/>
          <w:bCs/>
          <w:color w:val="8B1A1A"/>
          <w:sz w:val="22"/>
          <w:szCs w:val="22"/>
        </w:rPr>
        <w:t xml:space="preserve">Industrial — Best Positioned Relative to Peers, But Still Under Pressure</w:t>
      </w:r>
    </w:p>
    <w:p>
      <w:pPr>
        <w:spacing w:before="80" w:after="120"/>
      </w:pPr>
      <w:r>
        <w:rPr>
          <w:rFonts w:ascii="Arial" w:cs="Arial" w:eastAsia="Arial" w:hAnsi="Arial"/>
          <w:b w:val="false"/>
          <w:bCs w:val="false"/>
          <w:color w:val="555555"/>
          <w:sz w:val="20"/>
          <w:szCs w:val="20"/>
        </w:rPr>
        <w:t xml:space="preserve">To be clear: industrial REITs sold off last week alongside the broader REIT market. PLD closed March 6 at $141.51, down roughly 1.9% on the day; REXR, FR, and TRNO all posted similar losses, and the subsector is lower in absolute terms since February 28. This is not a thesis about industrial REITs going up — it is a thesis about relative outperformance vs. a REIT universe that is all under pressure. The 10Y rate channel that our regression identifies as the primary REIT headwind affects every subsector, and industrials are no exception. What separates them is a demand-side offset that does not exist elsewhere. A functionally closed Strait of Hormuz and oil surging past $100 — WTI hit $119 intraday on March 9, its highest since 2022 — are forcing companies to urgently reprice Asia-Pacific supply chain dependency, accelerating reshoring decisions that drive incremental US warehouse and logistics demand. Historical oil shock episodes support this dynamic: during the 1990 Gulf War and the 2022 Russia-Ukraine surge, industrial names held up materially better than net lease and residential on a relative basis as supply chain disruption narratives accelerated leasing activity. In the current episode, West Coast port-adjacent names (TRNO, FR) are the clearest relative beneficiaries given likely trade flow rerouting, though REXR carries near-term SoCal vacancy headwinds. PLD’s international exposure is a two-sided watch item. The reshoring benefit is a 4-8 quarter NOI story, not a Q1 catalyst — but relative to a REIT universe where the macro headwind is hitting everyone, industrials offer the best structural offset.</w:t>
      </w:r>
    </w:p>
    <w:p>
      <w:pPr>
        <w:pStyle w:val="Heading3"/>
        <w:spacing w:before="180" w:after="80"/>
      </w:pPr>
      <w:r>
        <w:rPr>
          <w:rFonts w:ascii="Arial" w:cs="Arial" w:eastAsia="Arial" w:hAnsi="Arial"/>
          <w:b/>
          <w:bCs/>
          <w:color w:val="8B1A1A"/>
          <w:sz w:val="22"/>
          <w:szCs w:val="22"/>
        </w:rPr>
        <w:t xml:space="preserve">Net Lease — Worst Positioned, and Already Showing It</w:t>
      </w:r>
    </w:p>
    <w:p>
      <w:pPr>
        <w:spacing w:before="80" w:after="120"/>
      </w:pPr>
      <w:r>
        <w:rPr>
          <w:rFonts w:ascii="Arial" w:cs="Arial" w:eastAsia="Arial" w:hAnsi="Arial"/>
          <w:b w:val="false"/>
          <w:bCs w:val="false"/>
          <w:color w:val="555555"/>
          <w:sz w:val="20"/>
          <w:szCs w:val="20"/>
        </w:rPr>
        <w:t xml:space="preserve">Net lease has underperformed the broader REIT index since the conflict began on February 28, and the mechanism is exactly what our regression predicts. NNN entered the conflict near its 52-week high of $44.29 — priced for the rate-cut cycle the market had been expecting in 2026 — and has since pulled back as the 10Y pushed above 4.1% and oil above $100 extended the inflation case against near-term cuts. The structural problem is duration: net lease WALTs of 10+ years with fixed rent escalators mean these securities are effectively marked to the risk-free rate in real time. When the 10Y moves, NAVs move with it. During the 2022 Russia-Ukraine rate shock — the closest historical analog — NNN, O, and ADC underperformed the REIT index by 800-1200bps as the 10Y moved from 1.8% to 4.0%. The current episode compounds that dynamic: Brent crude touching $119 intraday on March 9 and WTI posting its largest single-week gain in futures history means the inflation pressure keeping the Fed sidelined is not going away quickly. NNN’s underlying fundamentals are not the issue — Q4 2025 showed FFO of $0.87 vs. $0.86 estimate and record $900M acquisition volume — but clean fundamentals provide no shelter from rate-driven multiple compression. The entire net lease complex is in the wrong part of the trade until the 10Y definitively rolls over on a ceasefire or demand destruction signal.</w:t>
      </w:r>
    </w:p>
    <w:p>
      <w:pPr>
        <w:pStyle w:val="Heading3"/>
        <w:spacing w:before="180" w:after="80"/>
      </w:pPr>
      <w:r>
        <w:rPr>
          <w:rFonts w:ascii="Arial" w:cs="Arial" w:eastAsia="Arial" w:hAnsi="Arial"/>
          <w:b/>
          <w:bCs/>
          <w:color w:val="8B1A1A"/>
          <w:sz w:val="22"/>
          <w:szCs w:val="22"/>
        </w:rPr>
        <w:t xml:space="preserve">Hotels — Avoid: Dual Hit to Costs and Revenue</w:t>
      </w:r>
    </w:p>
    <w:p>
      <w:pPr>
        <w:spacing w:before="80" w:after="120"/>
      </w:pPr>
      <w:r>
        <w:rPr>
          <w:rFonts w:ascii="Arial" w:cs="Arial" w:eastAsia="Arial" w:hAnsi="Arial"/>
          <w:b w:val="false"/>
          <w:bCs w:val="false"/>
          <w:color w:val="555555"/>
          <w:sz w:val="20"/>
          <w:szCs w:val="20"/>
        </w:rPr>
        <w:t xml:space="preserve">Hotel REITs have sold off more sharply than most REIT subsectors since February 28 — and unlike industrials, where the headwind is primarily macro and shared across the sector, hotels face a simultaneous hit to both sides of the P&amp;L that is unique to this conflict. On costs: WTI rose 35%+ last week (the largest single-week gain in futures history) and crossed $100, pushing energy, transport, and food service costs materially higher across hotel operations. On revenue: Dubai International Airport sustained damage and suspended operations; over 4,000 daily flight cancellations occurred across Gulf state airspace; and major carriers including British Airways, Lufthansa, and Air India all suspended Middle East service. US State Department travel warnings now cover Saudi Arabia, Kuwait, Cyprus, and Lebanon, functionally halting business travel to the affected region. Gateway markets dependent on international inbound traffic — NYC, LA, Miami — face secondary RevPAR pressure that will appear in Q1 2026 results. History is consistent: hotel REITs underperformed the REIT index by the widest margin of any subsector during the Gulf War (1990), post-9/11, and Russia-Ukraine (2022). HST, RHP, and PK all entered 2026 with positive RevPAR momentum that is now at direct risk. Unlike net lease, where the fundamental business continues to collect rent while multiples compress, hotel NOI itself is impaired. That distinction makes this the clearest avoid in the REIT universe for the duration of the conflict.</w:t>
      </w:r>
    </w:p>
    <w:p>
      <w:pPr>
        <w:pBdr>
          <w:bottom w:val="single" w:color="CCCCCC" w:sz="6" w:space="1"/>
        </w:pBdr>
        <w:spacing w:before="120" w:after="120"/>
      </w:pPr>
    </w:p>
    <w:p>
      <w:pPr>
        <w:spacing w:before="240" w:after="80"/>
      </w:pPr>
      <w:r>
        <w:rPr>
          <w:rFonts w:ascii="Arial" w:cs="Arial" w:eastAsia="Arial" w:hAnsi="Arial"/>
          <w:b/>
          <w:bCs/>
          <w:color w:val="1A3A6B"/>
          <w:spacing w:val="40"/>
          <w:sz w:val="18"/>
          <w:szCs w:val="18"/>
        </w:rPr>
        <w:t xml:space="preserve">SCENARIO ANALYSIS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640"/>
        <w:gridCol w:w="2640"/>
        <w:gridCol w:w="2640"/>
      </w:tblGrid>
      <w:tr>
        <w:tc>
          <w:tcPr>
            <w:tcW w:type="dxa" w:w="180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w:r>
          </w:p>
        </w:tc>
        <w:tc>
          <w:tcPr>
            <w:tcW w:type="dxa" w:w="264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Base Case (45%)
~4-6 Week Conflict</w:t>
            </w:r>
          </w:p>
        </w:tc>
        <w:tc>
          <w:tcPr>
            <w:tcW w:type="dxa" w:w="264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Bear Case (35%)
Extended Hormuz Closure</w:t>
            </w:r>
          </w:p>
        </w:tc>
        <w:tc>
          <w:tcPr>
            <w:tcW w:type="dxa" w:w="2640"/>
            <w:tcBorders>
              <w:top w:val="single" w:color="CCCCCC" w:sz="1"/>
              <w:left w:val="single" w:color="CCCCCC" w:sz="1"/>
              <w:bottom w:val="single" w:color="CCCCCC" w:sz="1"/>
              <w:right w:val="single" w:color="CCCCCC" w:sz="1"/>
            </w:tcBorders>
            <w:shd w:fill="1A3A6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Bull Case (20%)
Rapid Ceasefire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55555"/>
                <w:sz w:val="18"/>
                <w:szCs w:val="18"/>
              </w:rPr>
              <w:t xml:space="preserve">Brent Oil</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$80-90/bbl</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$100+/bbl</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~$65-70/bbl</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555555"/>
                <w:sz w:val="18"/>
                <w:szCs w:val="18"/>
              </w:rPr>
              <w:t xml:space="preserve">10Y Yield</w:t>
            </w:r>
          </w:p>
        </w:tc>
        <w:tc>
          <w:tcPr>
            <w:tcW w:type="dxa" w:w="2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4.00-4.25%</w:t>
            </w:r>
          </w:p>
        </w:tc>
        <w:tc>
          <w:tcPr>
            <w:tcW w:type="dxa" w:w="2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4.25-4.75%; then retreats</w:t>
            </w:r>
          </w:p>
        </w:tc>
        <w:tc>
          <w:tcPr>
            <w:tcW w:type="dxa" w:w="2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3.70-3.90%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55555"/>
                <w:sz w:val="18"/>
                <w:szCs w:val="18"/>
              </w:rPr>
              <w:t xml:space="preserve">Fed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Cuts delayed to Q4 2026</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Stagflation risk; cuts on hold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Cuts resume H2 2026</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555555"/>
                <w:sz w:val="18"/>
                <w:szCs w:val="18"/>
              </w:rPr>
              <w:t xml:space="preserve">REIT vs S&amp;P</w:t>
            </w:r>
          </w:p>
        </w:tc>
        <w:tc>
          <w:tcPr>
            <w:tcW w:type="dxa" w:w="2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Slight underperform</w:t>
            </w:r>
          </w:p>
        </w:tc>
        <w:tc>
          <w:tcPr>
            <w:tcW w:type="dxa" w:w="2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Underperform; then outperform</w:t>
            </w:r>
          </w:p>
        </w:tc>
        <w:tc>
          <w:tcPr>
            <w:tcW w:type="dxa" w:w="2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Outperform (+3-5%)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55555"/>
                <w:sz w:val="18"/>
                <w:szCs w:val="18"/>
              </w:rPr>
              <w:t xml:space="preserve">Best Subsectors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Industrial, Data Ctr, HC</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Healthcare, Self-Storage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Net Lease, Residential</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left"/>
            </w:pPr>
            <w:r>
              <w:rPr>
                <w:rFonts w:ascii="Arial" w:cs="Arial" w:eastAsia="Arial" w:hAnsi="Arial"/>
                <w:b/>
                <w:bCs/>
                <w:color w:val="555555"/>
                <w:sz w:val="18"/>
                <w:szCs w:val="18"/>
              </w:rPr>
              <w:t xml:space="preserve">Worst Subsectors</w:t>
            </w:r>
          </w:p>
        </w:tc>
        <w:tc>
          <w:tcPr>
            <w:tcW w:type="dxa" w:w="2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Net Lease, Hotels</w:t>
            </w:r>
          </w:p>
        </w:tc>
        <w:tc>
          <w:tcPr>
            <w:tcW w:type="dxa" w:w="2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Hotels, Office, Retail</w:t>
            </w:r>
          </w:p>
        </w:tc>
        <w:tc>
          <w:tcPr>
            <w:tcW w:type="dxa" w:w="2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Hotels (structural)</w:t>
            </w:r>
          </w:p>
        </w:tc>
      </w:tr>
    </w:tbl>
    <w:p>
      <w:pPr>
        <w:spacing w:before="60" w:after="60"/>
      </w:pPr>
    </w:p>
    <w:p>
      <w:pPr>
        <w:pBdr>
          <w:bottom w:val="single" w:color="CCCCCC" w:sz="6" w:space="1"/>
        </w:pBdr>
        <w:spacing w:before="120" w:after="120"/>
      </w:pPr>
    </w:p>
    <w:p>
      <w:pPr>
        <w:spacing w:before="240" w:after="80"/>
      </w:pPr>
      <w:r>
        <w:rPr>
          <w:rFonts w:ascii="Arial" w:cs="Arial" w:eastAsia="Arial" w:hAnsi="Arial"/>
          <w:b/>
          <w:bCs/>
          <w:color w:val="1A3A6B"/>
          <w:spacing w:val="40"/>
          <w:sz w:val="18"/>
          <w:szCs w:val="18"/>
        </w:rPr>
        <w:t xml:space="preserve">BOTTOM LINE</w:t>
      </w:r>
    </w:p>
    <w:p>
      <w:pPr>
        <w:spacing w:before="80" w:after="120"/>
      </w:pPr>
      <w:r>
        <w:rPr>
          <w:rFonts w:ascii="Arial" w:cs="Arial" w:eastAsia="Arial" w:hAnsi="Arial"/>
          <w:b w:val="false"/>
          <w:bCs w:val="false"/>
          <w:color w:val="555555"/>
          <w:sz w:val="20"/>
          <w:szCs w:val="20"/>
        </w:rPr>
        <w:t xml:space="preserve">The Iran war is a REIT headwind, but the mechanism is rates, not oil. The 10Y's unusual upward move -- defying the traditional geopolitical safe-haven bid -- is the variable to watch. At ~4.1%, the 10Y represents a meaningful but not catastrophic headwind for the sector in aggregate.</w:t>
      </w:r>
    </w:p>
    <w:p>
      <w:pPr>
        <w:spacing w:before="60" w:after="60"/>
      </w:pPr>
    </w:p>
    <w:p>
      <w:pPr>
        <w:spacing w:before="80" w:after="120"/>
      </w:pPr>
      <w:r>
        <w:rPr>
          <w:rFonts w:ascii="Arial" w:cs="Arial" w:eastAsia="Arial" w:hAnsi="Arial"/>
          <w:b/>
          <w:bCs/>
          <w:color w:val="555555"/>
          <w:sz w:val="20"/>
          <w:szCs w:val="20"/>
        </w:rPr>
        <w:t xml:space="preserve">Subsector preference order: </w:t>
      </w:r>
      <w:r>
        <w:rPr>
          <w:rFonts w:ascii="Arial" w:cs="Arial" w:eastAsia="Arial" w:hAnsi="Arial"/>
          <w:b w:val="false"/>
          <w:bCs w:val="false"/>
          <w:color w:val="555555"/>
          <w:sz w:val="20"/>
          <w:szCs w:val="20"/>
        </w:rPr>
        <w:t xml:space="preserve">(1) Industrial and Data Centers as secular stories with the best insulation; (2) Healthcare for defensiveness; (3) Self-Storage as counter-cyclical; (4) Net Lease and Residential on caution given duration exposure; (5) Hotels and Office as avoids. The conflict is likely to resolve within 4-8 weeks on current military trajectory, at which point rate-cut expectations should resume and a more constructive REIT backdrop re-emerges.</w:t>
      </w:r>
    </w:p>
    <w:p>
      <w:pPr>
        <w:spacing w:before="60"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FFF8E1" w:val="clear"/>
            <w:tcMar>
              <w:top w:type="dxa" w:w="140"/>
              <w:left w:type="dxa" w:w="240"/>
              <w:bottom w:type="dxa" w:w="140"/>
              <w:right w:type="dxa" w:w="240"/>
            </w:tcMar>
          </w:tcPr>
          <w:p>
            <w:pPr>
              <w:spacing w:before="0" w:after="80"/>
            </w:pPr>
            <w:r>
              <w:rPr>
                <w:rFonts w:ascii="Arial" w:cs="Arial" w:eastAsia="Arial" w:hAnsi="Arial"/>
                <w:b/>
                <w:bCs/>
                <w:color w:val="B8860B"/>
                <w:spacing w:val="20"/>
                <w:sz w:val="19"/>
                <w:szCs w:val="19"/>
              </w:rPr>
              <w:t xml:space="preserve">TAIL RISK TO MONITOR</w:t>
            </w:r>
          </w:p>
          <w:p>
            <w:pPr>
              <w:spacing w:before="0" w:after="0"/>
            </w:pPr>
            <w:r>
              <w:rPr>
                <w:rFonts w:ascii="Arial" w:cs="Arial" w:eastAsia="Arial" w:hAnsi="Arial"/>
                <w:color w:val="555555"/>
                <w:sz w:val="19"/>
                <w:szCs w:val="19"/>
              </w:rPr>
              <w:t xml:space="preserve">If oil reaches $100+ and recession fears take hold, the dynamic flips. The historical data shows that oil crashes -- the demand-destruction phase of an energy shock -- pull the 10Y down sharply. In that scenario, the sectors currently under pressure from duration risk (net lease, residential) become the beneficiaries. Investors should monitor the oil price level and Fed communication carefully for the inflection signal.</w:t>
            </w:r>
          </w:p>
        </w:tc>
      </w:tr>
    </w:tbl>
    <w:p>
      <w:pPr>
        <w:spacing w:before="60" w:after="60"/>
      </w:pPr>
    </w:p>
    <w:p>
      <w:pPr>
        <w:pBdr>
          <w:bottom w:val="single" w:color="CCCCCC" w:sz="6" w:space="1"/>
        </w:pBdr>
        <w:spacing w:before="120" w:after="120"/>
      </w:pPr>
    </w:p>
    <w:p>
      <w:pPr>
        <w:spacing w:before="100" w:after="60"/>
      </w:pPr>
      <w:r>
        <w:rPr>
          <w:rFonts w:ascii="Arial" w:cs="Arial" w:eastAsia="Arial" w:hAnsi="Arial"/>
          <w:color w:val="999999"/>
          <w:sz w:val="15"/>
          <w:szCs w:val="15"/>
        </w:rPr>
        <w:t xml:space="preserve">This report is prepared for informational purposes only and does not constitute investment advice or a recommendation to buy or sell any security. Historical data sourced from FRED (DCOILWTICO, DTB3, DGS10) and FTSE NAREIT. Regression analysis based on monthly data 1995-2025 (n=366 observations). All market data as of March 6-7, 2026. For institutional investors only.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40" w:after="120"/>
      <w:outlineLvl w:val="1"/>
    </w:pPr>
    <w:rPr>
      <w:rFonts w:ascii="Arial" w:cs="Arial" w:eastAsia="Arial" w:hAnsi="Arial"/>
      <w:b/>
      <w:bCs/>
      <w:color w:val="1A3A6B"/>
      <w:sz w:val="26"/>
      <w:szCs w:val="26"/>
    </w:rPr>
  </w:style>
  <w:style w:type="paragraph" w:styleId="Heading3">
    <w:name w:val="Heading 3"/>
    <w:basedOn w:val="Normal"/>
    <w:next w:val="Normal"/>
    <w:qFormat/>
    <w:pPr>
      <w:spacing w:before="180" w:after="80"/>
      <w:outlineLvl w:val="2"/>
    </w:pPr>
    <w:rPr>
      <w:rFonts w:ascii="Arial" w:cs="Arial" w:eastAsia="Arial" w:hAnsi="Arial"/>
      <w:b/>
      <w:bCs/>
      <w:color w:val="8B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8151ae4df85fef6843c732f5879bc13ab04ff68.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2026-03-08T02:46:30.826Z</dcterms:created>
  <dcterms:modified xsi:type="dcterms:W3CDTF">2026-03-08T02:46:30.827Z</dcterms:modified>
</cp:coreProperties>
</file>

<file path=docProps/custom.xml><?xml version="1.0" encoding="utf-8"?>
<Properties xmlns="http://schemas.openxmlformats.org/officeDocument/2006/custom-properties" xmlns:vt="http://schemas.openxmlformats.org/officeDocument/2006/docPropsVTypes"/>
</file>