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val="false"/>
          <w:bCs w:val="false"/>
          <w:color w:val="AAAAAA"/>
          <w:sz w:val="18"/>
          <w:szCs w:val="18"/>
        </w:rPr>
        <w:t xml:space="preserve">EQUITY RESEARCH  |  REAL ESTATE</w:t>
      </w:r>
    </w:p>
    <w:p>
      <w:pPr>
        <w:spacing w:before="0" w:after="60"/>
      </w:pPr>
      <w:r>
        <w:rPr>
          <w:rFonts w:ascii="Arial" w:cs="Arial" w:eastAsia="Arial" w:hAnsi="Arial"/>
          <w:b/>
          <w:bCs/>
          <w:color w:val="0D1B2A"/>
          <w:sz w:val="40"/>
          <w:szCs w:val="40"/>
        </w:rPr>
        <w:t xml:space="preserve">REIT Sector Flash Note</w:t>
      </w:r>
    </w:p>
    <w:p>
      <w:pPr>
        <w:spacing w:before="0" w:after="40"/>
      </w:pPr>
      <w:r>
        <w:rPr>
          <w:rFonts w:ascii="Arial" w:cs="Arial" w:eastAsia="Arial" w:hAnsi="Arial"/>
          <w:b/>
          <w:bCs/>
          <w:color w:val="1B3A6B"/>
          <w:sz w:val="32"/>
          <w:szCs w:val="32"/>
        </w:rPr>
        <w:t xml:space="preserve">Iran War, Oil Shocks &amp; REITs: The Rate Channel Is What Matters</w:t>
      </w:r>
    </w:p>
    <w:p>
      <w:pPr>
        <w:spacing w:before="0" w:after="40"/>
      </w:pPr>
      <w:r>
        <w:rPr>
          <w:rFonts w:ascii="Arial" w:cs="Arial" w:eastAsia="Arial" w:hAnsi="Arial"/>
          <w:color w:val="4A4A4A"/>
          <w:sz w:val="20"/>
          <w:szCs w:val="20"/>
        </w:rPr>
        <w:t xml:space="preserve">Oil is the headline. Rates are the mechanism. Subsector dispersion is the opportunity.</w:t>
      </w:r>
    </w:p>
    <w:p>
      <w:pPr>
        <w:pBdr>
          <w:bottom w:val="single" w:color="0D1B2A" w:sz="8" w:space="1"/>
        </w:pBdr>
        <w:spacing w:before="0" w:after="40"/>
      </w:pPr>
      <w:r>
        <w:rPr>
          <w:rFonts w:ascii="Arial" w:cs="Arial" w:eastAsia="Arial" w:hAnsi="Arial"/>
          <w:color w:val="4A4A4A"/>
          <w:sz w:val="18"/>
          <w:szCs w:val="18"/>
        </w:rPr>
        <w:t xml:space="preserve">March 9, 2026  |  Market data as of intraday March 9, 2026</w:t>
      </w:r>
    </w:p>
    <w:p>
      <w:pPr>
        <w:shd w:fill="0D1B2A" w:val="clear"/>
        <w:spacing w:before="200" w:after="80"/>
        <w:ind w:left="120"/>
      </w:pPr>
      <w:r>
        <w:rPr>
          <w:rFonts w:ascii="Arial" w:cs="Arial" w:eastAsia="Arial" w:hAnsi="Arial"/>
          <w:b/>
          <w:bCs/>
          <w:color w:val="FFFFFF"/>
          <w:sz w:val="22"/>
          <w:szCs w:val="22"/>
        </w:rPr>
        <w:t xml:space="preserve">KEY TAKEAWAYS</w:t>
      </w:r>
    </w:p>
    <w:p>
      <w:pPr>
        <w:pStyle w:val="ListParagraph"/>
        <w:numPr>
          <w:ilvl w:val="0"/>
          <w:numId w:val="2"/>
        </w:numPr>
        <w:spacing w:before="30" w:after="40"/>
      </w:pPr>
      <w:r>
        <w:rPr>
          <w:rFonts w:ascii="Arial" w:cs="Arial" w:eastAsia="Arial" w:hAnsi="Arial"/>
          <w:color w:val="1A1A1A"/>
          <w:sz w:val="20"/>
          <w:szCs w:val="20"/>
        </w:rPr>
        <w:t xml:space="preserve">Oil does not directly drive REIT underperformance. Across 21 auto-detected shock episodes (3-month trailing oil change &gt;30%, 1996–2023), the average trough-to-peak REIT excess return vs. the S&amp;P is exactly 0.0%. REITs and the S&amp;P get hit in roughly equal measure. There is no reliable directional edge from the energy channel alone.</w:t>
      </w:r>
    </w:p>
    <w:p>
      <w:pPr>
        <w:pStyle w:val="ListParagraph"/>
        <w:numPr>
          <w:ilvl w:val="0"/>
          <w:numId w:val="2"/>
        </w:numPr>
        <w:spacing w:before="30" w:after="40"/>
      </w:pPr>
      <w:r>
        <w:rPr>
          <w:rFonts w:ascii="Arial" w:cs="Arial" w:eastAsia="Arial" w:hAnsi="Arial"/>
          <w:color w:val="1A1A1A"/>
          <w:sz w:val="20"/>
          <w:szCs w:val="20"/>
        </w:rPr>
        <w:t xml:space="preserve">Rates are the mechanism. A 1 pp rise in the 10Y in a given month is associated with ~5% REIT underperformance (p&lt;0.001). The 10Y is now at ~4.20%, up ~30 bps from pre-war levels of ~3.90% and accelerating as stagflation fears build. This is the primary headwind.</w:t>
      </w:r>
    </w:p>
    <w:p>
      <w:pPr>
        <w:pStyle w:val="ListParagraph"/>
        <w:numPr>
          <w:ilvl w:val="0"/>
          <w:numId w:val="2"/>
        </w:numPr>
        <w:spacing w:before="30" w:after="40"/>
      </w:pPr>
      <w:r>
        <w:rPr>
          <w:rFonts w:ascii="Arial" w:cs="Arial" w:eastAsia="Arial" w:hAnsi="Arial"/>
          <w:color w:val="1A1A1A"/>
          <w:sz w:val="20"/>
          <w:szCs w:val="20"/>
        </w:rPr>
        <w:t xml:space="preserve">The transmission chain is confirmed active. Oil → inflation expectations → 10Y rises → REITs underperform. The R² on the oil→10Y regression rises from 8.3% in the full sample to 32.1% during extreme shock months — exactly the regime we are in now.</w:t>
      </w:r>
    </w:p>
    <w:p>
      <w:pPr>
        <w:pStyle w:val="ListParagraph"/>
        <w:numPr>
          <w:ilvl w:val="0"/>
          <w:numId w:val="2"/>
        </w:numPr>
        <w:spacing w:before="30" w:after="40"/>
      </w:pPr>
      <w:r>
        <w:rPr>
          <w:rFonts w:ascii="Arial" w:cs="Arial" w:eastAsia="Arial" w:hAnsi="Arial"/>
          <w:color w:val="1A1A1A"/>
          <w:sz w:val="20"/>
          <w:szCs w:val="20"/>
        </w:rPr>
        <w:t xml:space="preserve">Post-shock recovery favors REITs. Across 21 episodes, REITs outperformed the S&amp;P by +3.1% at 3 months post-peak, +2.4% at 6 months, and +5.6% at 12 months. As oil retreats and rate pressure eases, REITs recover faster.</w:t>
      </w:r>
    </w:p>
    <w:p>
      <w:pPr>
        <w:pStyle w:val="ListParagraph"/>
        <w:numPr>
          <w:ilvl w:val="0"/>
          <w:numId w:val="2"/>
        </w:numPr>
        <w:spacing w:before="30" w:after="40"/>
      </w:pPr>
      <w:r>
        <w:rPr>
          <w:rFonts w:ascii="Arial" w:cs="Arial" w:eastAsia="Arial" w:hAnsi="Arial"/>
          <w:color w:val="1A1A1A"/>
          <w:sz w:val="20"/>
          <w:szCs w:val="20"/>
        </w:rPr>
        <w:t xml:space="preserve">Top 3 most impacted subsectors: Net Lease (most exposed), Hotels (operational hit), Residential (duration + cost). Full analysis below.</w:t>
      </w:r>
    </w:p>
    <w:p>
      <w:pPr>
        <w:shd w:fill="0D1B2A" w:val="clear"/>
        <w:spacing w:before="200" w:after="80"/>
        <w:ind w:left="120"/>
      </w:pPr>
      <w:r>
        <w:rPr>
          <w:rFonts w:ascii="Arial" w:cs="Arial" w:eastAsia="Arial" w:hAnsi="Arial"/>
          <w:b/>
          <w:bCs/>
          <w:color w:val="FFFFFF"/>
          <w:sz w:val="22"/>
          <w:szCs w:val="22"/>
        </w:rPr>
        <w:t xml:space="preserve">MACRO BACKDROP: DAY 10 OF OPERATION EPIC FURY</w:t>
      </w:r>
    </w:p>
    <w:p>
      <w:pPr>
        <w:spacing w:before="60" w:after="80"/>
        <w:ind/>
        <w:jc w:val="left"/>
      </w:pPr>
      <w:r>
        <w:rPr>
          <w:rFonts w:ascii="Arial" w:cs="Arial" w:eastAsia="Arial" w:hAnsi="Arial"/>
          <w:b w:val="false"/>
          <w:bCs w:val="false"/>
          <w:i w:val="false"/>
          <w:iCs w:val="false"/>
          <w:color w:val="1A1A1A"/>
          <w:sz w:val="20"/>
          <w:szCs w:val="20"/>
        </w:rPr>
        <w:t xml:space="preserve">Operation Epic Fury began February 28, 2026 with joint US-Israeli strikes on Iranian leadership and nuclear infrastructure — including the assassination of Supreme Leader Ali Khamenei. Iran retaliated with missile/drone attacks and effected a de facto Strait of Hormuz blockade by threatening any tanker transiting the waterway. The conflict is now in day 10 with no near-term resolution visible; Trump has demanded unconditional surrender while Iran has named Mojtaba Khamenei as the new Supreme Leader. Energy Secretary Wright said over the weekend that traffic through the Strait will resume once Iran's ability to threaten tankers is destroyed — offering the first official timeline signal, but no specific date.</w:t>
      </w:r>
    </w:p>
    <w:p>
      <w:pPr>
        <w:pBdr>
          <w:bottom w:val="single" w:color="1B3A6B" w:sz="4" w:space="1"/>
        </w:pBdr>
        <w:spacing w:before="160" w:after="60"/>
      </w:pPr>
      <w:r>
        <w:rPr>
          <w:rFonts w:ascii="Arial" w:cs="Arial" w:eastAsia="Arial" w:hAnsi="Arial"/>
          <w:b/>
          <w:bCs/>
          <w:color w:val="0D1B2A"/>
          <w:sz w:val="21"/>
          <w:szCs w:val="21"/>
        </w:rPr>
        <w:t xml:space="preserve">Current Market Snapshot (Intraday March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1200"/>
        <w:gridCol w:w="3560"/>
      </w:tblGrid>
      <w:tr>
        <w:tc>
          <w:tcPr>
            <w:tcW w:type="dxa" w:w="1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Asset</w:t>
            </w:r>
          </w:p>
        </w:tc>
        <w:tc>
          <w:tcPr>
            <w:tcW w:type="dxa" w:w="15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Pre-War (Feb 27)</w:t>
            </w:r>
          </w:p>
        </w:tc>
        <w:tc>
          <w:tcPr>
            <w:tcW w:type="dxa" w:w="17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Today (Mar 9)</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c>
          <w:tcPr>
            <w:tcW w:type="dxa" w:w="35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WTI Crude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~$67/bbl</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~$96-$98 (trading)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+~45%</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Intraday high $119.48; pulling back on G7 SPR talk</w:t>
            </w:r>
          </w:p>
        </w:tc>
      </w:tr>
      <w:tr>
        <w:tc>
          <w:tcPr>
            <w:tcW w:type="dxa" w:w="14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Brent Crude</w:t>
            </w:r>
          </w:p>
        </w:tc>
        <w:tc>
          <w:tcPr>
            <w:tcW w:type="dxa" w:w="15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~$70/bbl</w:t>
            </w:r>
          </w:p>
        </w:tc>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~$99-$107 (trading)</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+~50%</w:t>
            </w:r>
          </w:p>
        </w:tc>
        <w:tc>
          <w:tcPr>
            <w:tcW w:type="dxa" w:w="3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Hit $119.50 overnight; 52-wk high shattered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10Y UST Yield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~3.90%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~4.19-4.22%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+29-32 bps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Peaked at 4.22% intraday; defying safe-haven bid</w:t>
            </w:r>
          </w:p>
        </w:tc>
      </w:tr>
      <w:tr>
        <w:tc>
          <w:tcPr>
            <w:tcW w:type="dxa" w:w="14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2Y UST Yield</w:t>
            </w:r>
          </w:p>
        </w:tc>
        <w:tc>
          <w:tcPr>
            <w:tcW w:type="dxa" w:w="15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~3.55%</w:t>
            </w:r>
          </w:p>
        </w:tc>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~3.60%</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 bps</w:t>
            </w:r>
          </w:p>
        </w:tc>
        <w:tc>
          <w:tcPr>
            <w:tcW w:type="dxa" w:w="3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Front end sticky; Fed on hold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S&amp;P 500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~6,885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~6,750-6,810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-1.1% to -2%</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Off lows; down ~2.1% since Feb 28 close</w:t>
            </w:r>
          </w:p>
        </w:tc>
      </w:tr>
      <w:tr>
        <w:tc>
          <w:tcPr>
            <w:tcW w:type="dxa" w:w="14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VNQ (REIT ETF)</w:t>
            </w:r>
          </w:p>
        </w:tc>
        <w:tc>
          <w:tcPr>
            <w:tcW w:type="dxa" w:w="15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~$96.23 (52-wk hi)</w:t>
            </w:r>
          </w:p>
        </w:tc>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~$93.55</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-2.8%</w:t>
            </w:r>
          </w:p>
        </w:tc>
        <w:tc>
          <w:tcPr>
            <w:tcW w:type="dxa" w:w="3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Underperforming S&amp;P by ~0.7% since attack</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VIX</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+~14pts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Highest since April 2025 tariff shock</w:t>
            </w:r>
          </w:p>
        </w:tc>
      </w:tr>
      <w:tr>
        <w:tc>
          <w:tcPr>
            <w:tcW w:type="dxa" w:w="14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 Gasoline</w:t>
            </w:r>
          </w:p>
        </w:tc>
        <w:tc>
          <w:tcPr>
            <w:tcW w:type="dxa" w:w="15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~$3.00/gal</w:t>
            </w:r>
          </w:p>
        </w:tc>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~$3.48/gal</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+16%</w:t>
            </w:r>
          </w:p>
        </w:tc>
        <w:tc>
          <w:tcPr>
            <w:tcW w:type="dxa" w:w="35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AAA data; more increases expected</w:t>
            </w:r>
          </w:p>
        </w:tc>
      </w:tr>
    </w:tbl>
    <w:p>
      <w:pPr>
        <w:shd w:fill="0D1B2A" w:val="clear"/>
        <w:spacing w:before="200" w:after="80"/>
        <w:ind w:left="120"/>
      </w:pPr>
      <w:r>
        <w:rPr>
          <w:rFonts w:ascii="Arial" w:cs="Arial" w:eastAsia="Arial" w:hAnsi="Arial"/>
          <w:b/>
          <w:bCs/>
          <w:color w:val="FFFFFF"/>
          <w:sz w:val="22"/>
          <w:szCs w:val="22"/>
        </w:rPr>
        <w:t xml:space="preserve">MARKET PRICE WALK: FEB 28 → TODAY</w:t>
      </w:r>
    </w:p>
    <w:p>
      <w:pPr>
        <w:pBdr>
          <w:bottom w:val="single" w:color="1B3A6B" w:sz="4" w:space="1"/>
        </w:pBdr>
        <w:spacing w:before="160" w:after="60"/>
      </w:pPr>
      <w:r>
        <w:rPr>
          <w:rFonts w:ascii="Arial" w:cs="Arial" w:eastAsia="Arial" w:hAnsi="Arial"/>
          <w:b/>
          <w:bCs/>
          <w:color w:val="0D1B2A"/>
          <w:sz w:val="21"/>
          <w:szCs w:val="21"/>
        </w:rPr>
        <w:t xml:space="preserve">Day 1 — February 28 (Attack Day)</w:t>
      </w:r>
    </w:p>
    <w:p>
      <w:pPr>
        <w:spacing w:before="60" w:after="80"/>
        <w:ind/>
        <w:jc w:val="left"/>
      </w:pPr>
      <w:r>
        <w:rPr>
          <w:rFonts w:ascii="Arial" w:cs="Arial" w:eastAsia="Arial" w:hAnsi="Arial"/>
          <w:b w:val="false"/>
          <w:bCs w:val="false"/>
          <w:i w:val="false"/>
          <w:iCs w:val="false"/>
          <w:color w:val="1A1A1A"/>
          <w:sz w:val="20"/>
          <w:szCs w:val="20"/>
        </w:rPr>
        <w:t xml:space="preserve">Strikes hit Friday afternoon/evening. Markets closed before full impact was priced. Brent crude jumped from ~$70 to ~$78-$80 on the initial reports — a ~12-13% single-session move, the first shot above its recent range. S&amp;P 500 closed at approximately 6,881 (+0.04%), barely moved as investors initially shrugged off the geopolitical shock, consistent with historical patterns where the S&amp;P has risen 65% of the time following major geopolitical events. REIT sector opened slightly weak but closed roughly flat. The 10Y yield was below 4%, initially catching a mild safe-haven bid.</w:t>
      </w:r>
    </w:p>
    <w:p>
      <w:pPr>
        <w:pBdr>
          <w:bottom w:val="single" w:color="1B3A6B" w:sz="4" w:space="1"/>
        </w:pBdr>
        <w:spacing w:before="160" w:after="60"/>
      </w:pPr>
      <w:r>
        <w:rPr>
          <w:rFonts w:ascii="Arial" w:cs="Arial" w:eastAsia="Arial" w:hAnsi="Arial"/>
          <w:b/>
          <w:bCs/>
          <w:color w:val="0D1B2A"/>
          <w:sz w:val="21"/>
          <w:szCs w:val="21"/>
        </w:rPr>
        <w:t xml:space="preserve">Days 2–3 — March 2–3 (Hormuz Blockade Confirmed)</w:t>
      </w:r>
    </w:p>
    <w:p>
      <w:pPr>
        <w:spacing w:before="60" w:after="80"/>
        <w:ind/>
        <w:jc w:val="left"/>
      </w:pPr>
      <w:r>
        <w:rPr>
          <w:rFonts w:ascii="Arial" w:cs="Arial" w:eastAsia="Arial" w:hAnsi="Arial"/>
          <w:b w:val="false"/>
          <w:bCs w:val="false"/>
          <w:i w:val="false"/>
          <w:iCs w:val="false"/>
          <w:color w:val="1A1A1A"/>
          <w:sz w:val="20"/>
          <w:szCs w:val="20"/>
        </w:rPr>
        <w:t xml:space="preserve">Iran's Revolutionary Guard announced the Strait of Hormuz was effectively closed, threatening any transiting vessel. This was the critical escalation: tanker transits collapsed from ~24/day to ~4/day (Vortexa data). Brent moved through $80 and toward $85-$88. The 10Y broke decisively above 4.0% — hitting 4.06-4.12% — defying the traditional geopolitical safe-haven bid entirely. The ISM manufacturing prices-paid component jumped to 70.5, providing hard data to support the inflation narrative. The Dow fell ~400 points on March 3, recovering from an intraday -1,200 point swing. REITs began underperforming as the rate move became the dominant narrative.</w:t>
      </w:r>
    </w:p>
    <w:p>
      <w:pPr>
        <w:pBdr>
          <w:bottom w:val="single" w:color="1B3A6B" w:sz="4" w:space="1"/>
        </w:pBdr>
        <w:spacing w:before="160" w:after="60"/>
      </w:pPr>
      <w:r>
        <w:rPr>
          <w:rFonts w:ascii="Arial" w:cs="Arial" w:eastAsia="Arial" w:hAnsi="Arial"/>
          <w:b/>
          <w:bCs/>
          <w:color w:val="0D1B2A"/>
          <w:sz w:val="21"/>
          <w:szCs w:val="21"/>
        </w:rPr>
        <w:t xml:space="preserve">Days 4–6 — March 4–6 (Rate Shock Crystallizes)</w:t>
      </w:r>
    </w:p>
    <w:p>
      <w:pPr>
        <w:spacing w:before="60" w:after="80"/>
        <w:ind/>
        <w:jc w:val="left"/>
      </w:pPr>
      <w:r>
        <w:rPr>
          <w:rFonts w:ascii="Arial" w:cs="Arial" w:eastAsia="Arial" w:hAnsi="Arial"/>
          <w:b w:val="false"/>
          <w:bCs w:val="false"/>
          <w:i w:val="false"/>
          <w:iCs w:val="false"/>
          <w:color w:val="1A1A1A"/>
          <w:sz w:val="20"/>
          <w:szCs w:val="20"/>
        </w:rPr>
        <w:t xml:space="preserve">The 10Y pushed to a weekly gain of nearly 20 bps — its strongest weekly rise since April 2025. WTI approached $88-$90/bbl by Friday March 6. The February jobs report landed weak (-92K nonfarm payrolls vs. +55K expected, unemployment 4.4%), simultaneously raising stagflation concerns while pushing Fed cut expectations from H2 2026 out to July-September 2026 at earliest. The S&amp;P 500 closed Friday March 6 at 6,740 (-1.33% on the day, -2.1% on the week — its worst weekly performance in nearly a year). VNQ closed around $93-$94. Net lease and residential REITs were the notable REIT underperformers as duration exposure dominated.</w:t>
      </w:r>
    </w:p>
    <w:p>
      <w:pPr>
        <w:pBdr>
          <w:bottom w:val="single" w:color="1B3A6B" w:sz="4" w:space="1"/>
        </w:pBdr>
        <w:spacing w:before="160" w:after="60"/>
      </w:pPr>
      <w:r>
        <w:rPr>
          <w:rFonts w:ascii="Arial" w:cs="Arial" w:eastAsia="Arial" w:hAnsi="Arial"/>
          <w:b/>
          <w:bCs/>
          <w:color w:val="0D1B2A"/>
          <w:sz w:val="21"/>
          <w:szCs w:val="21"/>
        </w:rPr>
        <w:t xml:space="preserve">Days 8–10 — March 8–9 (Oil Explodes Through $100)</w:t>
      </w:r>
    </w:p>
    <w:p>
      <w:pPr>
        <w:spacing w:before="60" w:after="80"/>
        <w:ind/>
        <w:jc w:val="left"/>
      </w:pPr>
      <w:r>
        <w:rPr>
          <w:rFonts w:ascii="Arial" w:cs="Arial" w:eastAsia="Arial" w:hAnsi="Arial"/>
          <w:b w:val="false"/>
          <w:bCs w:val="false"/>
          <w:i w:val="false"/>
          <w:iCs w:val="false"/>
          <w:color w:val="1A1A1A"/>
          <w:sz w:val="20"/>
          <w:szCs w:val="20"/>
        </w:rPr>
        <w:t xml:space="preserve">Over the weekend of March 8-9, Iraq's output collapsed ~70% from 4.3M bpd to 1.3M bpd (Reuters). Gulf Arab states began cutting production as storage capacity filled with crude unable to transit Hormuz. Saudi Arabia announced output cuts on March 9. WTI surged past $100 Sunday evening for the first time since Russia's 2022 Ukraine invasion — briefly hitting $119.48 intraday Monday — before pulling back to the $96-$98 range as G7 finance ministers discussed a coordinated SPR release. Brent similarly peaked near $119.50 before settling around $99-$107. The 10Y climbed to ~4.19-4.22% — a ~30 bps move from pre-war levels. The S&amp;P 500 fell another ~0.5-1% to start the week. VNQ was quoted at $93.55, down roughly 2.8% from its pre-war 52-week high.</w:t>
      </w:r>
    </w:p>
    <w:p>
      <w:pPr>
        <w:pBdr>
          <w:bottom w:val="single" w:color="1B3A6B" w:sz="4" w:space="1"/>
        </w:pBdr>
        <w:spacing w:before="160" w:after="60"/>
      </w:pPr>
      <w:r>
        <w:rPr>
          <w:rFonts w:ascii="Arial" w:cs="Arial" w:eastAsia="Arial" w:hAnsi="Arial"/>
          <w:b/>
          <w:bCs/>
          <w:color w:val="0D1B2A"/>
          <w:sz w:val="21"/>
          <w:szCs w:val="21"/>
        </w:rPr>
        <w:t xml:space="preserve">REIT Subsector Performance Since Feb 28</w:t>
      </w:r>
    </w:p>
    <w:p>
      <w:pPr>
        <w:spacing w:before="40" w:after="80"/>
        <w:ind/>
        <w:jc w:val="left"/>
      </w:pPr>
      <w:r>
        <w:rPr>
          <w:rFonts w:ascii="Arial" w:cs="Arial" w:eastAsia="Arial" w:hAnsi="Arial"/>
          <w:b w:val="false"/>
          <w:bCs w:val="false"/>
          <w:i w:val="false"/>
          <w:iCs w:val="false"/>
          <w:color w:val="1A1A1A"/>
          <w:sz w:val="20"/>
          <w:szCs w:val="20"/>
        </w:rPr>
        <w:t xml:space="preserve">All subsectors are lower since the attack. The differentiation is degree of pain, not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600"/>
        <w:gridCol w:w="2160"/>
      </w:tblGrid>
      <w:tr>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Subsector</w:t>
            </w:r>
          </w:p>
        </w:tc>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Approx Perf vs Pre-War</w:t>
            </w:r>
          </w:p>
        </w:tc>
        <w:tc>
          <w:tcPr>
            <w:tcW w:type="dxa" w:w="3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Driver</w:t>
            </w:r>
          </w:p>
        </w:tc>
        <w:tc>
          <w:tcPr>
            <w:tcW w:type="dxa" w:w="21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Direction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Hotels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-4% to -6%</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Dual hit: rates + RevPAR damage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WORST</w:t>
            </w:r>
          </w:p>
        </w:tc>
      </w:tr>
      <w:tr>
        <w:tc>
          <w:tcPr>
            <w:tcW w:type="dxa" w:w="16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Net Lease</w:t>
            </w:r>
          </w:p>
        </w:tc>
        <w:tc>
          <w:tcPr>
            <w:tcW w:type="dxa" w:w="20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-3% to -4%</w:t>
            </w:r>
          </w:p>
        </w:tc>
        <w:tc>
          <w:tcPr>
            <w:tcW w:type="dxa" w:w="36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Duration compression; 10Y +30bps</w:t>
            </w:r>
          </w:p>
        </w:tc>
        <w:tc>
          <w:tcPr>
            <w:tcW w:type="dxa" w:w="21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WORST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Residential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-2% to -3%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Rate sensitivity; utility costs rising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Office</w:t>
            </w:r>
          </w:p>
        </w:tc>
        <w:tc>
          <w:tcPr>
            <w:tcW w:type="dxa" w:w="20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8B1A1A"/>
                <w:sz w:val="18"/>
                <w:szCs w:val="18"/>
              </w:rPr>
              <w:t xml:space="preserve">-2% to -3%</w:t>
            </w:r>
          </w:p>
        </w:tc>
        <w:tc>
          <w:tcPr>
            <w:tcW w:type="dxa" w:w="36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Already challenged; rates compound</w:t>
            </w:r>
          </w:p>
        </w:tc>
        <w:tc>
          <w:tcPr>
            <w:tcW w:type="dxa" w:w="21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WEAK</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Strip/Mall Retail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-1% to -2%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Consumer spending pressure; gas prices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NEUTRAL/WEAK</w:t>
            </w:r>
          </w:p>
        </w:tc>
      </w:tr>
      <w:tr>
        <w:tc>
          <w:tcPr>
            <w:tcW w:type="dxa" w:w="16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Industrial</w:t>
            </w:r>
          </w:p>
        </w:tc>
        <w:tc>
          <w:tcPr>
            <w:tcW w:type="dxa" w:w="20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-1.5% to -2%</w:t>
            </w:r>
          </w:p>
        </w:tc>
        <w:tc>
          <w:tcPr>
            <w:tcW w:type="dxa" w:w="36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Rate headwind offset by supply chain thesis</w:t>
            </w:r>
          </w:p>
        </w:tc>
        <w:tc>
          <w:tcPr>
            <w:tcW w:type="dxa" w:w="21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1A5C2E"/>
                <w:sz w:val="18"/>
                <w:szCs w:val="18"/>
              </w:rPr>
              <w:t xml:space="preserve">BEST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Healthcare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-1% to -1.5%</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Defensive; minimal energy/rate sensitivity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A5C2E"/>
                <w:sz w:val="18"/>
                <w:szCs w:val="18"/>
              </w:rPr>
              <w:t xml:space="preserve">BEST</w:t>
            </w:r>
          </w:p>
        </w:tc>
      </w:tr>
      <w:tr>
        <w:tc>
          <w:tcPr>
            <w:tcW w:type="dxa" w:w="16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 Centers</w:t>
            </w:r>
          </w:p>
        </w:tc>
        <w:tc>
          <w:tcPr>
            <w:tcW w:type="dxa" w:w="20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-1.5% to -2%</w:t>
            </w:r>
          </w:p>
        </w:tc>
        <w:tc>
          <w:tcPr>
            <w:tcW w:type="dxa" w:w="36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Energy cost manageable; AI demand durable</w:t>
            </w:r>
          </w:p>
        </w:tc>
        <w:tc>
          <w:tcPr>
            <w:tcW w:type="dxa" w:w="21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1A5C2E"/>
                <w:sz w:val="18"/>
                <w:szCs w:val="18"/>
              </w:rPr>
              <w:t xml:space="preserve">BEST</w:t>
            </w:r>
          </w:p>
        </w:tc>
      </w:tr>
    </w:tbl>
    <w:p>
      <w:pPr>
        <w:shd w:fill="0D1B2A" w:val="clear"/>
        <w:spacing w:before="200" w:after="80"/>
        <w:ind w:left="120"/>
      </w:pPr>
      <w:r>
        <w:rPr>
          <w:rFonts w:ascii="Arial" w:cs="Arial" w:eastAsia="Arial" w:hAnsi="Arial"/>
          <w:b/>
          <w:bCs/>
          <w:color w:val="FFFFFF"/>
          <w:sz w:val="22"/>
          <w:szCs w:val="22"/>
        </w:rPr>
        <w:t xml:space="preserve">HISTORICAL FRAMEWORK: 21 OIL SHOCK EPISODES, 1996–2023</w:t>
      </w:r>
    </w:p>
    <w:p>
      <w:pPr>
        <w:pBdr>
          <w:bottom w:val="single" w:color="1B3A6B" w:sz="4" w:space="1"/>
        </w:pBdr>
        <w:spacing w:before="160" w:after="60"/>
      </w:pPr>
      <w:r>
        <w:rPr>
          <w:rFonts w:ascii="Arial" w:cs="Arial" w:eastAsia="Arial" w:hAnsi="Arial"/>
          <w:b/>
          <w:bCs/>
          <w:color w:val="0D1B2A"/>
          <w:sz w:val="21"/>
          <w:szCs w:val="21"/>
        </w:rPr>
        <w:t xml:space="preserve">Shock Definition</w:t>
      </w:r>
    </w:p>
    <w:p>
      <w:pPr>
        <w:spacing w:before="60" w:after="80"/>
        <w:ind/>
        <w:jc w:val="left"/>
      </w:pPr>
      <w:r>
        <w:rPr>
          <w:rFonts w:ascii="Arial" w:cs="Arial" w:eastAsia="Arial" w:hAnsi="Arial"/>
          <w:b w:val="false"/>
          <w:bCs w:val="false"/>
          <w:i w:val="false"/>
          <w:iCs w:val="false"/>
          <w:color w:val="1A1A1A"/>
          <w:sz w:val="20"/>
          <w:szCs w:val="20"/>
        </w:rPr>
        <w:t xml:space="preserve">All episodes are auto-detected from daily WTI data where the 3-month trailing price change exceeds +30%. We identify 21 such episodes from 1996 to 2023. Returns are computed using exact trough-to-peak daily prices. This is not a broad-based monthly correlation exercise — these are genuine, discrete oil supply shock events, the closest historical analogues to the current Iran-driven disruption.</w:t>
      </w:r>
    </w:p>
    <w:p>
      <w:pPr>
        <w:pBdr>
          <w:bottom w:val="single" w:color="1B3A6B" w:sz="4" w:space="1"/>
        </w:pBdr>
        <w:spacing w:before="160" w:after="60"/>
      </w:pPr>
      <w:r>
        <w:rPr>
          <w:rFonts w:ascii="Arial" w:cs="Arial" w:eastAsia="Arial" w:hAnsi="Arial"/>
          <w:b/>
          <w:bCs/>
          <w:color w:val="0D1B2A"/>
          <w:sz w:val="21"/>
          <w:szCs w:val="21"/>
        </w:rPr>
        <w:t xml:space="preserve">The Core Finding: Oil ≠ REIT Underperformance</w:t>
      </w:r>
    </w:p>
    <w:p>
      <w:pPr>
        <w:spacing w:before="60" w:after="80"/>
        <w:ind/>
        <w:jc w:val="left"/>
      </w:pPr>
      <w:r>
        <w:rPr>
          <w:rFonts w:ascii="Arial" w:cs="Arial" w:eastAsia="Arial" w:hAnsi="Arial"/>
          <w:b w:val="false"/>
          <w:bCs w:val="false"/>
          <w:i w:val="false"/>
          <w:iCs w:val="false"/>
          <w:color w:val="1A1A1A"/>
          <w:sz w:val="20"/>
          <w:szCs w:val="20"/>
        </w:rPr>
        <w:t xml:space="preserve">The most important finding from 21 shock episodes spanning 30 years is this: oil does not reliably move REITs against the S&amp;P. The average trough-to-peak REIT excess return across all shocks is -0.01% — effectively zero. REITs outperformed in 12 of 21 episodes and underperformed in 9. The direction is a coin flip.</w:t>
      </w:r>
    </w:p>
    <w:p>
      <w:pPr>
        <w:spacing w:before="0" w:after="80"/>
        <w:ind/>
        <w:jc w:val="left"/>
      </w:pPr>
      <w:r>
        <w:rPr>
          <w:rFonts w:ascii="Arial" w:cs="Arial" w:eastAsia="Arial" w:hAnsi="Arial"/>
          <w:b w:val="false"/>
          <w:bCs w:val="false"/>
          <w:i w:val="false"/>
          <w:iCs w:val="false"/>
          <w:color w:val="1A1A1A"/>
          <w:sz w:val="20"/>
          <w:szCs w:val="20"/>
        </w:rPr>
        <w:t xml:space="preserve">The regression confirms: the oil coefficient on REIT excess return is statistically insignificant across every shock definition tested.</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Shock Regime</w:t>
            </w:r>
          </w:p>
        </w:tc>
        <w:tc>
          <w:tcPr>
            <w:tcW w:type="dxa" w:w="15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Oil Coef.</w:t>
            </w:r>
          </w:p>
        </w:tc>
        <w:tc>
          <w:tcPr>
            <w:tcW w:type="dxa" w:w="15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p-value</w:t>
            </w:r>
          </w:p>
        </w:tc>
        <w:tc>
          <w:tcPr>
            <w:tcW w:type="dxa" w:w="33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Sample (n=366 months)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-0.022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0.567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18"/>
                <w:szCs w:val="18"/>
              </w:rPr>
              <w:t xml:space="preserve">Not Significant</w:t>
            </w:r>
          </w:p>
        </w:tc>
      </w:tr>
      <w:tr>
        <w:tc>
          <w:tcPr>
            <w:tcW w:type="dxa" w:w="30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Oil Shocks &gt;1 SD (n=88)</w:t>
            </w:r>
          </w:p>
        </w:tc>
        <w:tc>
          <w:tcPr>
            <w:tcW w:type="dxa" w:w="15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-0.051</w:t>
            </w:r>
          </w:p>
        </w:tc>
        <w:tc>
          <w:tcPr>
            <w:tcW w:type="dxa" w:w="15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0.547</w:t>
            </w:r>
          </w:p>
        </w:tc>
        <w:tc>
          <w:tcPr>
            <w:tcW w:type="dxa" w:w="3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4A4A4A"/>
                <w:sz w:val="18"/>
                <w:szCs w:val="18"/>
              </w:rPr>
              <w:t xml:space="preserve">Not Significant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Extreme Shocks &gt;1.5 SD (n=29)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+0.031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0.429</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18"/>
                <w:szCs w:val="18"/>
              </w:rPr>
              <w:t xml:space="preserve">Not Significant</w:t>
            </w:r>
          </w:p>
        </w:tc>
      </w:tr>
      <w:tr>
        <w:tc>
          <w:tcPr>
            <w:tcW w:type="dxa" w:w="30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Oil Spikes &gt;+10% (n=46)</w:t>
            </w:r>
          </w:p>
        </w:tc>
        <w:tc>
          <w:tcPr>
            <w:tcW w:type="dxa" w:w="15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+0.048</w:t>
            </w:r>
          </w:p>
        </w:tc>
        <w:tc>
          <w:tcPr>
            <w:tcW w:type="dxa" w:w="15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0.582</w:t>
            </w:r>
          </w:p>
        </w:tc>
        <w:tc>
          <w:tcPr>
            <w:tcW w:type="dxa" w:w="3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4A4A4A"/>
                <w:sz w:val="18"/>
                <w:szCs w:val="18"/>
              </w:rPr>
              <w:t xml:space="preserve">Not Significant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Oil Crashes &lt;-10% (n=35)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+0.178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0.155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18"/>
                <w:szCs w:val="18"/>
              </w:rPr>
              <w:t xml:space="preserve">Not Significant</w:t>
            </w:r>
          </w:p>
        </w:tc>
      </w:tr>
    </w:tbl>
    <w:p>
      <w:pPr>
        <w:spacing w:before="80" w:after="40"/>
      </w:pPr>
    </w:p>
    <w:p>
      <w:pPr>
        <w:pBdr>
          <w:bottom w:val="single" w:color="1B3A6B" w:sz="4" w:space="1"/>
        </w:pBdr>
        <w:spacing w:before="160" w:after="60"/>
      </w:pPr>
      <w:r>
        <w:rPr>
          <w:rFonts w:ascii="Arial" w:cs="Arial" w:eastAsia="Arial" w:hAnsi="Arial"/>
          <w:b/>
          <w:bCs/>
          <w:color w:val="0D1B2A"/>
          <w:sz w:val="21"/>
          <w:szCs w:val="21"/>
        </w:rPr>
        <w:t xml:space="preserve">The 21 Shock Episodes: Trough-to-Peak Returns</w:t>
      </w:r>
    </w:p>
    <w:p>
      <w:pPr>
        <w:spacing w:before="40" w:after="80"/>
        <w:ind/>
        <w:jc w:val="left"/>
      </w:pPr>
      <w:r>
        <w:rPr>
          <w:rFonts w:ascii="Arial" w:cs="Arial" w:eastAsia="Arial" w:hAnsi="Arial"/>
          <w:b w:val="false"/>
          <w:bCs w:val="false"/>
          <w:i w:val="false"/>
          <w:iCs w:val="false"/>
          <w:color w:val="1A1A1A"/>
          <w:sz w:val="20"/>
          <w:szCs w:val="20"/>
        </w:rPr>
        <w:t xml:space="preserve">The table below shows all 21 detected oil shock episodes. Note the wide dispersion in REIT excess returns — from -17.1% to +16.1% — confirming that factors beyond oil drive relative REIT performance.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360"/>
      </w:tblGrid>
      <w:tr>
        <w:tc>
          <w:tcPr>
            <w:tcW w:type="dxa" w:w="2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Episode</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Oil %</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REIT Ret%</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S&amp;P Ret%</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Excess%</w:t>
            </w:r>
          </w:p>
        </w:tc>
        <w:tc>
          <w:tcPr>
            <w:tcW w:type="dxa" w:w="13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10Y Δ (pp)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1996-01 to 1996-04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+45.1%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+0.99</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1998-06 to 1998-09</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+32.8%</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-10.9%</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-5.3%</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-5.6%</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-0.68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1999-02 to 1999-05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+66.4%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+2.6%</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+0.39</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1999-06 to 2000-03</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+52.1%</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-12.4%</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+4.7%</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-17.1%</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+0.61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2002-01 to 2002-05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+61.9%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+10.5%</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+0.38</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2002-11 to 2003-02</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+50.2%</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-6.2%</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+7.8%</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-0.06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2004-06 to 2004-10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+58.3%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A5C2E"/>
                <w:sz w:val="18"/>
                <w:szCs w:val="18"/>
              </w:rPr>
              <w:t xml:space="preserve">+16.1%</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-0.69</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2004-12 to 2005-04</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+40.7%</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-6.5%</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-5.2%</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+0.30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2005-05 to 2005-08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+43.2%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+3.8%</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+0.11</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2007-08 to 2007-11</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+43.1%</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-9.5%</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-1.7%</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-7.8%</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-0.57</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2008-03 to 2008-07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+45.7%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+0.36</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2009-02 to 2009-06</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+113.6%</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+14.2%</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+13.1%</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+1.13</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2011-02 to 2011-04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+35.2%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+4.1%</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-0.27</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2011-10 to 2012-01</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+36.9%</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+14.2%</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+13.6%</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+0.6%</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+0.19</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2015-03 to 2015-06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+39.2%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-5.4%</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+0.29</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2016-02 to 2016-06</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+95.6%</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+21.2%</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+15.9%</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+5.3%</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+0.08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2018-12 to 2019-04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+44.7%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+18.2%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+16.4%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-0.25</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2020-04 to 2020-08</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+254.7%</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+10.2%</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+19.6%</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-9.5%</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+0.02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2020-11 to 2021-03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+78.7%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-2.1%</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+0.73</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2021-12 to 2022-03</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+88.9%</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-7.6%</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5C2E"/>
                <w:sz w:val="18"/>
                <w:szCs w:val="18"/>
              </w:rPr>
              <w:t xml:space="preserve">+5.1%</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+0.43</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2023-06 to 2023-09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+39.6%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+0.88</w:t>
            </w:r>
          </w:p>
        </w:tc>
      </w:tr>
      <w:tr>
        <w:tc>
          <w:tcPr>
            <w:tcW w:type="dxa" w:w="2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AVERAGE (21 Episodes)</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+65.1%</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+3.6%</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+3.6%</w:t>
            </w:r>
          </w:p>
        </w:tc>
        <w:tc>
          <w:tcPr>
            <w:tcW w:type="dxa" w:w="12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~0.0%</w:t>
            </w:r>
          </w:p>
        </w:tc>
        <w:tc>
          <w:tcPr>
            <w:tcW w:type="dxa" w:w="13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+0.21</w:t>
            </w:r>
          </w:p>
        </w:tc>
      </w:tr>
    </w:tbl>
    <w:p>
      <w:pPr>
        <w:spacing w:before="80" w:after="40"/>
      </w:pPr>
    </w:p>
    <w:p>
      <w:pPr>
        <w:pBdr>
          <w:bottom w:val="single" w:color="1B3A6B" w:sz="4" w:space="1"/>
        </w:pBdr>
        <w:spacing w:before="160" w:after="60"/>
      </w:pPr>
      <w:r>
        <w:rPr>
          <w:rFonts w:ascii="Arial" w:cs="Arial" w:eastAsia="Arial" w:hAnsi="Arial"/>
          <w:b/>
          <w:bCs/>
          <w:color w:val="0D1B2A"/>
          <w:sz w:val="21"/>
          <w:szCs w:val="21"/>
        </w:rPr>
        <w:t xml:space="preserve">The Real Driver: Rates Create the Wedge</w:t>
      </w:r>
    </w:p>
    <w:p>
      <w:pPr>
        <w:spacing w:before="60" w:after="80"/>
        <w:ind/>
        <w:jc w:val="left"/>
      </w:pPr>
      <w:r>
        <w:rPr>
          <w:rFonts w:ascii="Arial" w:cs="Arial" w:eastAsia="Arial" w:hAnsi="Arial"/>
          <w:b w:val="false"/>
          <w:bCs w:val="false"/>
          <w:i w:val="false"/>
          <w:iCs w:val="false"/>
          <w:color w:val="1A1A1A"/>
          <w:sz w:val="20"/>
          <w:szCs w:val="20"/>
        </w:rPr>
        <w:t xml:space="preserve">What actually determines whether REITs outperform or underperform during oil shocks is the 10Y yield move. In months with extreme oil shocks (&gt;1.5 SD), the coefficient on the 10Y change is -14.6 (p&lt;0.001) — a 1 pp rise in the 10Y during an extreme shock month is associated with nearly 15% REIT underperformance vs. the S&amp;P. The oil→10Y R² rises from 8.3% (full sample) to 32.1% (extreme shock months), meaning the rate channel is most active precisely in the current environment.</w:t>
      </w:r>
    </w:p>
    <w:p>
      <w:pPr>
        <w:pBdr>
          <w:bottom w:val="single" w:color="1B3A6B" w:sz="4" w:space="1"/>
        </w:pBdr>
        <w:spacing w:before="160" w:after="60"/>
      </w:pPr>
      <w:r>
        <w:rPr>
          <w:rFonts w:ascii="Arial" w:cs="Arial" w:eastAsia="Arial" w:hAnsi="Arial"/>
          <w:b/>
          <w:bCs/>
          <w:color w:val="0D1B2A"/>
          <w:sz w:val="21"/>
          <w:szCs w:val="21"/>
        </w:rPr>
        <w:t xml:space="preserve">Post-Shock Recovery Strongly Favors REITs</w:t>
      </w:r>
    </w:p>
    <w:p>
      <w:pPr>
        <w:spacing w:before="40" w:after="80"/>
        <w:ind/>
        <w:jc w:val="left"/>
      </w:pPr>
      <w:r>
        <w:rPr>
          <w:rFonts w:ascii="Arial" w:cs="Arial" w:eastAsia="Arial" w:hAnsi="Arial"/>
          <w:b w:val="false"/>
          <w:bCs w:val="false"/>
          <w:i w:val="false"/>
          <w:iCs w:val="false"/>
          <w:color w:val="1A1A1A"/>
          <w:sz w:val="20"/>
          <w:szCs w:val="20"/>
        </w:rPr>
        <w:t xml:space="preserve">Once oil peaks and the inflation impulse fades, the historical record is consistent: REITs outperform the S&amp;P at every recovery horizon.</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600"/>
        <w:gridCol w:w="1460"/>
      </w:tblGrid>
      <w:tr>
        <w:tc>
          <w:tcPr>
            <w:tcW w:type="dxa" w:w="2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Horizon Post-Peak</w:t>
            </w:r>
          </w:p>
        </w:tc>
        <w:tc>
          <w:tcPr>
            <w:tcW w:type="dxa" w:w="17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REIT Cumulative %</w:t>
            </w:r>
          </w:p>
        </w:tc>
        <w:tc>
          <w:tcPr>
            <w:tcW w:type="dxa" w:w="17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S&amp;P Cumulative %</w:t>
            </w:r>
          </w:p>
        </w:tc>
        <w:tc>
          <w:tcPr>
            <w:tcW w:type="dxa" w:w="17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REIT Excess %</w:t>
            </w:r>
          </w:p>
        </w:tc>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Oil % (Post-Peak)</w:t>
            </w:r>
          </w:p>
        </w:tc>
        <w:tc>
          <w:tcPr>
            <w:tcW w:type="dxa" w:w="14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10Y Δ (pp)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 Months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+5.8%</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+2.7%</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A5C2E"/>
                <w:sz w:val="18"/>
                <w:szCs w:val="18"/>
              </w:rPr>
              <w:t xml:space="preserve">+3.1%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-9.9%</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-0.12</w:t>
            </w:r>
          </w:p>
        </w:tc>
      </w:tr>
      <w:tr>
        <w:tc>
          <w:tcPr>
            <w:tcW w:type="dxa" w:w="20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 Months</w:t>
            </w:r>
          </w:p>
        </w:tc>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+7.4%</w:t>
            </w:r>
          </w:p>
        </w:tc>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+5.0%</w:t>
            </w:r>
          </w:p>
        </w:tc>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bCs/>
                <w:color w:val="1A5C2E"/>
                <w:sz w:val="18"/>
                <w:szCs w:val="18"/>
              </w:rPr>
              <w:t xml:space="preserve">+2.4%</w:t>
            </w:r>
          </w:p>
        </w:tc>
        <w:tc>
          <w:tcPr>
            <w:tcW w:type="dxa" w:w="16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-7.0%</w:t>
            </w:r>
          </w:p>
        </w:tc>
        <w:tc>
          <w:tcPr>
            <w:tcW w:type="dxa" w:w="146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12 Months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+11.9%</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1A5C2E"/>
                <w:sz w:val="18"/>
                <w:szCs w:val="18"/>
              </w:rPr>
              <w:t xml:space="preserve">+5.6%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-2.6%</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-0.10</w:t>
            </w:r>
          </w:p>
        </w:tc>
      </w:tr>
    </w:tbl>
    <w:p>
      <w:pPr>
        <w:spacing w:before="60" w:after="80"/>
        <w:ind/>
        <w:jc w:val="left"/>
      </w:pPr>
      <w:r>
        <w:rPr>
          <w:rFonts w:ascii="Arial" w:cs="Arial" w:eastAsia="Arial" w:hAnsi="Arial"/>
          <w:b w:val="false"/>
          <w:bCs w:val="false"/>
          <w:i/>
          <w:iCs/>
          <w:color w:val="4A4A4A"/>
          <w:sz w:val="20"/>
          <w:szCs w:val="20"/>
        </w:rPr>
        <w:t xml:space="preserve">Implication: if/when this oil shock peaks — whether via ceasefire, SPR release, or demand destruction — the REIT recovery trade has historical support across all three time horizons.</w:t>
      </w:r>
    </w:p>
    <w:p>
      <w:pPr>
        <w:shd w:fill="0D1B2A" w:val="clear"/>
        <w:spacing w:before="200" w:after="80"/>
        <w:ind w:left="120"/>
      </w:pPr>
      <w:r>
        <w:rPr>
          <w:rFonts w:ascii="Arial" w:cs="Arial" w:eastAsia="Arial" w:hAnsi="Arial"/>
          <w:b/>
          <w:bCs/>
          <w:color w:val="FFFFFF"/>
          <w:sz w:val="22"/>
          <w:szCs w:val="22"/>
        </w:rPr>
        <w:t xml:space="preserve">SUBSECTOR ANALYSIS: TOP 3 MOST IMPACTED</w:t>
      </w:r>
    </w:p>
    <w:p>
      <w:pPr>
        <w:pBdr>
          <w:bottom w:val="single" w:color="1B3A6B" w:sz="4" w:space="1"/>
        </w:pBdr>
        <w:spacing w:before="160" w:after="60"/>
      </w:pPr>
      <w:r>
        <w:rPr>
          <w:rFonts w:ascii="Arial" w:cs="Arial" w:eastAsia="Arial" w:hAnsi="Arial"/>
          <w:b/>
          <w:bCs/>
          <w:color w:val="0D1B2A"/>
          <w:sz w:val="21"/>
          <w:szCs w:val="21"/>
        </w:rPr>
        <w:t xml:space="preserve">1. Net Lease — Most Rate-Exposed; Already Underperforming (CAUTIOUS)</w:t>
      </w:r>
    </w:p>
    <w:p>
      <w:pPr>
        <w:spacing w:before="60" w:after="80"/>
        <w:ind/>
        <w:jc w:val="left"/>
      </w:pPr>
      <w:r>
        <w:rPr>
          <w:rFonts w:ascii="Arial" w:cs="Arial" w:eastAsia="Arial" w:hAnsi="Arial"/>
          <w:b w:val="false"/>
          <w:bCs w:val="false"/>
          <w:i w:val="false"/>
          <w:iCs w:val="false"/>
          <w:color w:val="1A1A1A"/>
          <w:sz w:val="20"/>
          <w:szCs w:val="20"/>
        </w:rPr>
        <w:t xml:space="preserve">Net lease is the clearest loser in this environment, and the mechanism is exactly what our regression predicts. NNN entered the conflict near its 52-week high of $44.79 (Feb 17), priced for the rate-cut cycle the market had been expecting in H2 2026. With the 10Y now at ~4.20% and rising — up ~30 bps since the strikes — and the Iran war having pushed Fed cut expectations from Q3 out to at minimum July and possibly 2027 in a stagflation scenario, the rate repricing is brutal for duration-sensitive instruments.</w:t>
      </w:r>
    </w:p>
    <w:p>
      <w:pPr>
        <w:spacing w:before="0" w:after="80"/>
        <w:ind/>
        <w:jc w:val="left"/>
      </w:pPr>
      <w:r>
        <w:rPr>
          <w:rFonts w:ascii="Arial" w:cs="Arial" w:eastAsia="Arial" w:hAnsi="Arial"/>
          <w:b w:val="false"/>
          <w:bCs w:val="false"/>
          <w:i w:val="false"/>
          <w:iCs w:val="false"/>
          <w:color w:val="1A1A1A"/>
          <w:sz w:val="20"/>
          <w:szCs w:val="20"/>
        </w:rPr>
        <w:t xml:space="preserve">The structural problem is simple: net lease WALTs of 10+ years with fixed 1.5-2% annual rent escalators are bond proxies. When the 10Y moves, NAVs move in real time. During the 2022 Russia-Ukraine oil shock — the closest historical analog at +88.9% oil trough-to-peak — NNN, O, and ADC underperformed the REIT index by 800-1200 bps as the 10Y moved from 1.8% to 4.0%. The current move is smaller in magnitude but arrives from an already-elevated starting point. The entire net lease complex is in the wrong part of the trade until the 10Y definitively rolls over on a ceasefire or demand destruction signal. NNN's underlying fundamentals remain clean — Q4 2025 FFO of $0.87 beat the $0.86 estimate with record ~$900M acquisition volume — but clean fundamentals provide no shelter from rate-driven multiple compression.</w:t>
      </w:r>
    </w:p>
    <w:p>
      <w:pPr>
        <w:pBdr>
          <w:bottom w:val="single" w:color="1B3A6B" w:sz="4" w:space="1"/>
        </w:pBdr>
        <w:spacing w:before="160" w:after="60"/>
      </w:pPr>
      <w:r>
        <w:rPr>
          <w:rFonts w:ascii="Arial" w:cs="Arial" w:eastAsia="Arial" w:hAnsi="Arial"/>
          <w:b/>
          <w:bCs/>
          <w:color w:val="0D1B2A"/>
          <w:sz w:val="21"/>
          <w:szCs w:val="21"/>
        </w:rPr>
        <w:t xml:space="preserve">2. Hotels — Operational P&amp;L Damage; Not Just Multiple Compression (AVOID)</w:t>
      </w:r>
    </w:p>
    <w:p>
      <w:pPr>
        <w:spacing w:before="60" w:after="80"/>
        <w:ind/>
        <w:jc w:val="left"/>
      </w:pPr>
      <w:r>
        <w:rPr>
          <w:rFonts w:ascii="Arial" w:cs="Arial" w:eastAsia="Arial" w:hAnsi="Arial"/>
          <w:b w:val="false"/>
          <w:bCs w:val="false"/>
          <w:i w:val="false"/>
          <w:iCs w:val="false"/>
          <w:color w:val="1A1A1A"/>
          <w:sz w:val="20"/>
          <w:szCs w:val="20"/>
        </w:rPr>
        <w:t xml:space="preserve">Hotel REITs face a qualitatively different problem than net lease: it is not just rate-driven multiple compression, but direct NOI impairment. On the cost side, WTI surged ~35% in a single week (the largest single-week gain in futures history dating back to 1983), pushing energy, transport, and food service costs sharply higher across hotel operations. On the revenue side, the conflict has produced the largest aviation disruption since COVID: Dubai International Airport was damaged and suspended operations; over 4,000 daily flight cancellations occurred across Gulf state airspace; British Airways, Lufthansa, Air India, Emirates, Qatar Airways, and Cathay Pacific all suspended Middle East service; and US State Department travel warnings now cover Saudi Arabia, Kuwait, Cyprus, and Lebanon.</w:t>
      </w:r>
    </w:p>
    <w:p>
      <w:pPr>
        <w:spacing w:before="0" w:after="80"/>
        <w:ind/>
        <w:jc w:val="left"/>
      </w:pPr>
      <w:r>
        <w:rPr>
          <w:rFonts w:ascii="Arial" w:cs="Arial" w:eastAsia="Arial" w:hAnsi="Arial"/>
          <w:b w:val="false"/>
          <w:bCs w:val="false"/>
          <w:i w:val="false"/>
          <w:iCs w:val="false"/>
          <w:color w:val="1A1A1A"/>
          <w:sz w:val="20"/>
          <w:szCs w:val="20"/>
        </w:rPr>
        <w:t xml:space="preserve">Gateway markets dependent on international inbound traffic — NYC, LA, Miami — face secondary RevPAR pressure that will show up in Q1 2026 results. History is consistent: hotel REITs underperformed the REIT index by the widest margin of any subsector during the Gulf War (1990), post-9/11, and 2022 Ukraine war. HST, RHP, and PK all entered 2026 with positive RevPAR momentum that is now at direct risk. This is the clearest avoid in the REIT universe for the duration of the conflict.</w:t>
      </w:r>
    </w:p>
    <w:p>
      <w:pPr>
        <w:pBdr>
          <w:bottom w:val="single" w:color="1B3A6B" w:sz="4" w:space="1"/>
        </w:pBdr>
        <w:spacing w:before="160" w:after="60"/>
      </w:pPr>
      <w:r>
        <w:rPr>
          <w:rFonts w:ascii="Arial" w:cs="Arial" w:eastAsia="Arial" w:hAnsi="Arial"/>
          <w:b/>
          <w:bCs/>
          <w:color w:val="0D1B2A"/>
          <w:sz w:val="21"/>
          <w:szCs w:val="21"/>
        </w:rPr>
        <w:t xml:space="preserve">3. Residential — Duration Headwind + Tenant Cost Pressure (CAUTIOUS)</w:t>
      </w:r>
    </w:p>
    <w:p>
      <w:pPr>
        <w:spacing w:before="60" w:after="80"/>
        <w:ind/>
        <w:jc w:val="left"/>
      </w:pPr>
      <w:r>
        <w:rPr>
          <w:rFonts w:ascii="Arial" w:cs="Arial" w:eastAsia="Arial" w:hAnsi="Arial"/>
          <w:b w:val="false"/>
          <w:bCs w:val="false"/>
          <w:i w:val="false"/>
          <w:iCs w:val="false"/>
          <w:color w:val="1A1A1A"/>
          <w:sz w:val="20"/>
          <w:szCs w:val="20"/>
        </w:rPr>
        <w:t xml:space="preserve">Residential REITs occupy a middle ground: the headwind is primarily macro/rate-driven (like net lease) but with an added tenant-side stress not present in pure net lease. Rising utility costs — a direct pass-through of energy price inflation — hit both tenant affordability and operating expenses in markets where landlords pay utilities. Multifamily operators in high-utility, high-density markets (NYC, Boston, Chicago) face the sharpest squeeze. The rate channel is also acute: with 10Y yields rising and mortgage rates following, the lock-in effect that has supported multifamily demand (homeowners unable to sell due to low locked-in mortgages) may be partially offset by broader affordability erosion.</w:t>
      </w:r>
    </w:p>
    <w:p>
      <w:pPr>
        <w:spacing w:before="0" w:after="80"/>
        <w:ind/>
        <w:jc w:val="left"/>
      </w:pPr>
      <w:r>
        <w:rPr>
          <w:rFonts w:ascii="Arial" w:cs="Arial" w:eastAsia="Arial" w:hAnsi="Arial"/>
          <w:b w:val="false"/>
          <w:bCs w:val="false"/>
          <w:i w:val="false"/>
          <w:iCs w:val="false"/>
          <w:color w:val="1A1A1A"/>
          <w:sz w:val="20"/>
          <w:szCs w:val="20"/>
        </w:rPr>
        <w:t xml:space="preserve">AVB and EQR are the most direct barometers. Both entered 2026 benefiting from a constructive rate narrative that is now moving against them. In the post-shock recovery scenario (oil retreats, 10Y falls), residential REITs historically join net lease as the primary beneficiaries of rate-cut repricing — making them a better risk/reward once the peak is in.</w:t>
      </w:r>
    </w:p>
    <w:p>
      <w:pPr>
        <w:shd w:fill="0D1B2A" w:val="clear"/>
        <w:spacing w:before="200" w:after="80"/>
        <w:ind w:left="120"/>
      </w:pPr>
      <w:r>
        <w:rPr>
          <w:rFonts w:ascii="Arial" w:cs="Arial" w:eastAsia="Arial" w:hAnsi="Arial"/>
          <w:b/>
          <w:bCs/>
          <w:color w:val="FFFFFF"/>
          <w:sz w:val="22"/>
          <w:szCs w:val="22"/>
        </w:rPr>
        <w:t xml:space="preserve">SCENARIO ANALYSIS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20"/>
        <w:gridCol w:w="2620"/>
        <w:gridCol w:w="2420"/>
      </w:tblGrid>
      <w:tr>
        <w:tc>
          <w:tcPr>
            <w:tcW w:type="dxa" w:w="17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62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 Case (45%)
4–6 Week Conflict</w:t>
            </w:r>
          </w:p>
        </w:tc>
        <w:tc>
          <w:tcPr>
            <w:tcW w:type="dxa" w:w="262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Bear Case (35%)
Extended Hormuz Closure</w:t>
            </w:r>
          </w:p>
        </w:tc>
        <w:tc>
          <w:tcPr>
            <w:tcW w:type="dxa" w:w="242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Bull Case (20%)
Rapid Ceasefire / SPR</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Brent Oil</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$85-95/bbl</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$110-140/bbl</w:t>
            </w:r>
          </w:p>
        </w:tc>
        <w:tc>
          <w:tcPr>
            <w:tcW w:type="dxa" w:w="2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~$65-70/bbl</w:t>
            </w:r>
          </w:p>
        </w:tc>
      </w:tr>
      <w:tr>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10Y Yield</w:t>
            </w:r>
          </w:p>
        </w:tc>
        <w:tc>
          <w:tcPr>
            <w:tcW w:type="dxa" w:w="262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4.10-4.35%</w:t>
            </w:r>
          </w:p>
        </w:tc>
        <w:tc>
          <w:tcPr>
            <w:tcW w:type="dxa" w:w="262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4.35-4.75%; then retreats</w:t>
            </w:r>
          </w:p>
        </w:tc>
        <w:tc>
          <w:tcPr>
            <w:tcW w:type="dxa" w:w="242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3.70-3.90%</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Fed Path</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Cuts delayed to Q3-Q4 2026</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Stagflation; cuts on hold</w:t>
            </w:r>
          </w:p>
        </w:tc>
        <w:tc>
          <w:tcPr>
            <w:tcW w:type="dxa" w:w="2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Cuts resume H2 2026</w:t>
            </w:r>
          </w:p>
        </w:tc>
      </w:tr>
      <w:tr>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REIT vs S&amp;P</w:t>
            </w:r>
          </w:p>
        </w:tc>
        <w:tc>
          <w:tcPr>
            <w:tcW w:type="dxa" w:w="262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Slight underperform; then flat</w:t>
            </w:r>
          </w:p>
        </w:tc>
        <w:tc>
          <w:tcPr>
            <w:tcW w:type="dxa" w:w="262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Underperform; then outperform sharply</w:t>
            </w:r>
          </w:p>
        </w:tc>
        <w:tc>
          <w:tcPr>
            <w:tcW w:type="dxa" w:w="242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5C2E"/>
                <w:sz w:val="18"/>
                <w:szCs w:val="18"/>
              </w:rPr>
              <w:t xml:space="preserve">Outperform +3-5%</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Best Subsectors</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Industrial, Data Centers, Healthcare</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Healthcare, Self-Storage, Data Centers</w:t>
            </w:r>
          </w:p>
        </w:tc>
        <w:tc>
          <w:tcPr>
            <w:tcW w:type="dxa" w:w="24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Net Lease, Residential</w:t>
            </w:r>
          </w:p>
        </w:tc>
      </w:tr>
      <w:tr>
        <w:tc>
          <w:tcPr>
            <w:tcW w:type="dxa" w:w="17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Worst Subsectors</w:t>
            </w:r>
          </w:p>
        </w:tc>
        <w:tc>
          <w:tcPr>
            <w:tcW w:type="dxa" w:w="262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Net Lease, Hotels, Residential</w:t>
            </w:r>
          </w:p>
        </w:tc>
        <w:tc>
          <w:tcPr>
            <w:tcW w:type="dxa" w:w="262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Hotels, Office, Retail</w:t>
            </w:r>
          </w:p>
        </w:tc>
        <w:tc>
          <w:tcPr>
            <w:tcW w:type="dxa" w:w="242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Hotels (structural damage)</w:t>
            </w:r>
          </w:p>
        </w:tc>
      </w:tr>
    </w:tbl>
    <w:p>
      <w:pPr>
        <w:spacing w:before="120" w:after="60"/>
      </w:pPr>
    </w:p>
    <w:p>
      <w:pPr>
        <w:shd w:fill="0D1B2A" w:val="clear"/>
        <w:spacing w:before="200" w:after="80"/>
        <w:ind w:left="120"/>
      </w:pPr>
      <w:r>
        <w:rPr>
          <w:rFonts w:ascii="Arial" w:cs="Arial" w:eastAsia="Arial" w:hAnsi="Arial"/>
          <w:b/>
          <w:bCs/>
          <w:color w:val="FFFFFF"/>
          <w:sz w:val="22"/>
          <w:szCs w:val="22"/>
        </w:rPr>
        <w:t xml:space="preserve">TAIL RISK: THE ASYMMETRIC BULL CASE</w:t>
      </w:r>
    </w:p>
    <w:p>
      <w:pPr>
        <w:spacing w:before="60" w:after="80"/>
        <w:ind/>
        <w:jc w:val="left"/>
      </w:pPr>
      <w:r>
        <w:rPr>
          <w:rFonts w:ascii="Arial" w:cs="Arial" w:eastAsia="Arial" w:hAnsi="Arial"/>
          <w:b w:val="false"/>
          <w:bCs w:val="false"/>
          <w:i w:val="false"/>
          <w:iCs w:val="false"/>
          <w:color w:val="1A1A1A"/>
          <w:sz w:val="20"/>
          <w:szCs w:val="20"/>
        </w:rPr>
        <w:t xml:space="preserve">The data contains an important asymmetry: oil crashes (&lt;-10% monthly moves) exhibit a significantly different dynamic than oil spikes. During crash months, the rate→REIT coefficient is -10.6 (p=0.005). This is the demand destruction tail risk: if oil surges to $140+ and global recession fears take hold, the 10Y retreats sharply as markets price aggressive Fed cuts. In that scenario, the sectors currently most penalized by duration risk (net lease, residential) become the biggest beneficiaries. Monitor the oil price level and ISM/consumer data carefully for the inflection signal.</w:t>
      </w:r>
    </w:p>
    <w:p>
      <w:pPr>
        <w:spacing w:before="0" w:after="80"/>
        <w:ind/>
        <w:jc w:val="left"/>
      </w:pPr>
      <w:r>
        <w:rPr>
          <w:rFonts w:ascii="Arial" w:cs="Arial" w:eastAsia="Arial" w:hAnsi="Arial"/>
          <w:b w:val="false"/>
          <w:bCs w:val="false"/>
          <w:i/>
          <w:iCs/>
          <w:color w:val="4A4A4A"/>
          <w:sz w:val="20"/>
          <w:szCs w:val="20"/>
        </w:rPr>
        <w:t xml:space="preserve">The G7 coordinated SPR release, if executed, would be the near-term trigger for this rotation. No decision has been made as of this writing.</w:t>
      </w:r>
    </w:p>
    <w:p>
      <w:pPr>
        <w:shd w:fill="0D1B2A" w:val="clear"/>
        <w:spacing w:before="200" w:after="80"/>
        <w:ind w:left="120"/>
      </w:pPr>
      <w:r>
        <w:rPr>
          <w:rFonts w:ascii="Arial" w:cs="Arial" w:eastAsia="Arial" w:hAnsi="Arial"/>
          <w:b/>
          <w:bCs/>
          <w:color w:val="FFFFFF"/>
          <w:sz w:val="22"/>
          <w:szCs w:val="22"/>
        </w:rPr>
        <w:t xml:space="preserve">BOTTOM LINE</w:t>
      </w:r>
    </w:p>
    <w:p>
      <w:pPr>
        <w:spacing w:before="80" w:after="60"/>
        <w:ind/>
        <w:jc w:val="left"/>
      </w:pPr>
      <w:r>
        <w:rPr>
          <w:rFonts w:ascii="Arial" w:cs="Arial" w:eastAsia="Arial" w:hAnsi="Arial"/>
          <w:b/>
          <w:bCs/>
          <w:color w:val="0D1B2A"/>
          <w:sz w:val="20"/>
          <w:szCs w:val="20"/>
        </w:rPr>
        <w:t xml:space="preserve">The Iran war is a REIT headwind, but the mechanism is rates, not oil. </w:t>
      </w:r>
      <w:r>
        <w:rPr>
          <w:rFonts w:ascii="Arial" w:cs="Arial" w:eastAsia="Arial" w:hAnsi="Arial"/>
          <w:color w:val="1A1A1A"/>
          <w:sz w:val="20"/>
          <w:szCs w:val="20"/>
        </w:rPr>
        <w:t xml:space="preserve">The 10Y's move from ~3.90% pre-war to ~4.20% today — defying the traditional geopolitical safe-haven bid — is the variable to watch. At ~4.20%, the 10Y represents a meaningful but not catastrophic headwind for the sector in aggregate. All REIT subsectors are lower since February 28, but the dispersion in underlying drivers creates a clear preference order.</w:t>
      </w:r>
    </w:p>
    <w:p>
      <w:pPr>
        <w:spacing w:before="0" w:after="60"/>
        <w:ind/>
        <w:jc w:val="left"/>
      </w:pPr>
      <w:r>
        <w:rPr>
          <w:rFonts w:ascii="Arial" w:cs="Arial" w:eastAsia="Arial" w:hAnsi="Arial"/>
          <w:b/>
          <w:bCs/>
          <w:color w:val="0D1B2A"/>
          <w:sz w:val="20"/>
          <w:szCs w:val="20"/>
        </w:rPr>
        <w:t xml:space="preserve">Subsector preference: </w:t>
      </w:r>
      <w:r>
        <w:rPr>
          <w:rFonts w:ascii="Arial" w:cs="Arial" w:eastAsia="Arial" w:hAnsi="Arial"/>
          <w:color w:val="1A1A1A"/>
          <w:sz w:val="20"/>
          <w:szCs w:val="20"/>
        </w:rPr>
        <w:t xml:space="preserve">(1) Industrial and Data Centers as secular stories with demand-side offsets; (2) Healthcare for defensiveness and insulation from rate and energy moves; (3) Self-Storage as counter-cyclical; (4) Strip/Mall Retail as neutral; (5) Net Lease and Residential on caution — duration exposure is unambiguously negative at current rate levels; (6) Hotels and Office as avoids — hotels for operational P&amp;L damage, office for compounding macro headwinds.</w:t>
      </w:r>
    </w:p>
    <w:p>
      <w:pPr>
        <w:spacing w:before="0" w:after="80"/>
        <w:ind/>
        <w:jc w:val="left"/>
      </w:pPr>
      <w:r>
        <w:rPr>
          <w:rFonts w:ascii="Arial" w:cs="Arial" w:eastAsia="Arial" w:hAnsi="Arial"/>
          <w:b/>
          <w:bCs/>
          <w:color w:val="0D1B2A"/>
          <w:sz w:val="20"/>
          <w:szCs w:val="20"/>
        </w:rPr>
        <w:t xml:space="preserve">Post-shock recovery thesis is intact: </w:t>
      </w:r>
      <w:r>
        <w:rPr>
          <w:rFonts w:ascii="Arial" w:cs="Arial" w:eastAsia="Arial" w:hAnsi="Arial"/>
          <w:color w:val="1A1A1A"/>
          <w:sz w:val="20"/>
          <w:szCs w:val="20"/>
        </w:rPr>
        <w:t xml:space="preserve">once the oil shock peaks — whether via ceasefire, SPR, or demand destruction — the historical record across 21 episodes strongly favors REIT outperformance at 3, 6, and 12 months. That is the trade to position for.</w:t>
      </w:r>
    </w:p>
    <w:p>
      <w:pPr>
        <w:spacing w:before="120" w:after="40"/>
      </w:pPr>
    </w:p>
    <w:p>
      <w:pPr>
        <w:shd w:fill="0D1B2A" w:val="clear"/>
        <w:spacing w:before="200" w:after="80"/>
        <w:ind w:left="120"/>
      </w:pPr>
      <w:r>
        <w:rPr>
          <w:rFonts w:ascii="Arial" w:cs="Arial" w:eastAsia="Arial" w:hAnsi="Arial"/>
          <w:b/>
          <w:bCs/>
          <w:color w:val="FFFFFF"/>
          <w:sz w:val="22"/>
          <w:szCs w:val="22"/>
        </w:rPr>
        <w:t xml:space="preserv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80"/>
        <w:gridCol w:w="4000"/>
      </w:tblGrid>
      <w:tr>
        <w:tc>
          <w:tcPr>
            <w:tcW w:type="dxa" w:w="9360"/>
            <w:gridSpan w:val="3"/>
            <w:tcBorders>
              <w:top w:val="single" w:color="0D1B2A" w:sz="6"/>
              <w:left w:val="single" w:color="0D1B2A" w:sz="4"/>
              <w:bottom w:val="single" w:color="0D1B2A" w:sz="4"/>
              <w:right w:val="single" w:color="0D1B2A" w:sz="4"/>
            </w:tcBorders>
            <w:shd w:fill="EEF2F7" w:val="clear"/>
            <w:tcMar>
              <w:top w:type="dxa" w:w="60"/>
              <w:left w:type="dxa" w:w="120"/>
              <w:bottom w:type="dxa" w:w="60"/>
              <w:right w:type="dxa" w:w="120"/>
            </w:tcMar>
          </w:tcPr>
          <w:p>
            <w:pPr>
              <w:jc w:val="left"/>
            </w:pPr>
            <w:r>
              <w:rPr>
                <w:rFonts w:ascii="Arial" w:cs="Arial" w:eastAsia="Arial" w:hAnsi="Arial"/>
                <w:b/>
                <w:bCs/>
                <w:color w:val="1B3A6B"/>
                <w:sz w:val="18"/>
                <w:szCs w:val="18"/>
              </w:rPr>
              <w:t xml:space="preserve">Oil Prices &amp; Macro Backdrop</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CNBC — WTI tops $100, surges to $119 intraday; largest weekly gain in futures history since 1983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fimppenpjiyb3q1khr-j3">
              <w:r>
                <w:rPr>
                  <w:rStyle w:val="Hyperlink"/>
                  <w:rFonts w:ascii="Arial" w:cs="Arial" w:eastAsia="Arial" w:hAnsi="Arial"/>
                  <w:color w:val="1155CC"/>
                  <w:sz w:val="17"/>
                  <w:szCs w:val="17"/>
                </w:rPr>
                <w:t xml:space="preserve">https://www.cnbc.com/2026/03/08/crude-oil-prices-today-iran-war.html</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2</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OilPrice.com — Brent $107.20 (+15.65%), WTI $103.18 (+14.26%); Goldman warns $140-150 if Hormuz disrupted 30+ days; VIX highest since April 2025</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mt4p-1mcvfjqcsliyt_f-">
              <w:r>
                <w:rPr>
                  <w:rStyle w:val="Hyperlink"/>
                  <w:rFonts w:ascii="Arial" w:cs="Arial" w:eastAsia="Arial" w:hAnsi="Arial"/>
                  <w:color w:val="1155CC"/>
                  <w:sz w:val="17"/>
                  <w:szCs w:val="17"/>
                </w:rPr>
                <w:t xml:space="preserve">https://oilprice.com/Energy/Energy-General/Oil-Prices-Soar-29-as-Iran-Conflict-Threatens-Middle-East-Supply.html</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3</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Axios — Iran war disrupts 20% of global oil supply for 9+ days, 'more than double the previous record set during the Suez Crisis of 1956-57'</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potso_fbkvy5ftq2rnmi8">
              <w:r>
                <w:rPr>
                  <w:rStyle w:val="Hyperlink"/>
                  <w:rFonts w:ascii="Arial" w:cs="Arial" w:eastAsia="Arial" w:hAnsi="Arial"/>
                  <w:color w:val="1155CC"/>
                  <w:sz w:val="17"/>
                  <w:szCs w:val="17"/>
                </w:rPr>
                <w:t xml:space="preserve">https://www.axios.com/2026/03/08/iran-war-oil-market-barrel-cost</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4</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Al Jazeera — Oil soars past $100; Brent +30%+ to $119 intraday; Iraq, UAE, Kuwait cutting production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rfr8yptkd_fstpd3c1n_s">
              <w:r>
                <w:rPr>
                  <w:rStyle w:val="Hyperlink"/>
                  <w:rFonts w:ascii="Arial" w:cs="Arial" w:eastAsia="Arial" w:hAnsi="Arial"/>
                  <w:color w:val="1155CC"/>
                  <w:sz w:val="17"/>
                  <w:szCs w:val="17"/>
                </w:rPr>
                <w:t xml:space="preserve">https://www.aljazeera.com/economy/2026/3/9/oil-soars-past-100-a-barrel-amid-iran-war</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5</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FilmoGaz — Brent $108.75, WTI $108.62 intraday; 52-week range now $58.40-$110.70 (+56% YoY)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6u2mkfag5fvkchvtceydp">
              <w:r>
                <w:rPr>
                  <w:rStyle w:val="Hyperlink"/>
                  <w:rFonts w:ascii="Arial" w:cs="Arial" w:eastAsia="Arial" w:hAnsi="Arial"/>
                  <w:color w:val="1155CC"/>
                  <w:sz w:val="17"/>
                  <w:szCs w:val="17"/>
                </w:rPr>
                <w:t xml:space="preserve">https://www.filmogaz.com/185433</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6</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CNBC — First day WTI +8.4% to $72.74; Iran closes Strait of Hormuz; Brent could hit $120+ (UBS, Barclays)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i7dsw9txtjgppqh75ikt1">
              <w:r>
                <w:rPr>
                  <w:rStyle w:val="Hyperlink"/>
                  <w:rFonts w:ascii="Arial" w:cs="Arial" w:eastAsia="Arial" w:hAnsi="Arial"/>
                  <w:color w:val="1155CC"/>
                  <w:sz w:val="17"/>
                  <w:szCs w:val="17"/>
                </w:rPr>
                <w:t xml:space="preserve">https://www.cnbc.com/2026/03/01/crude-oil-futures-iran.html</w:t>
              </w:r>
            </w:hyperlink>
          </w:p>
        </w:tc>
      </w:tr>
      <w:tr>
        <w:tc>
          <w:tcPr>
            <w:tcW w:type="dxa" w:w="9360"/>
            <w:gridSpan w:val="3"/>
            <w:tcBorders>
              <w:top w:val="single" w:color="0D1B2A" w:sz="6"/>
              <w:left w:val="single" w:color="0D1B2A" w:sz="4"/>
              <w:bottom w:val="single" w:color="0D1B2A" w:sz="4"/>
              <w:right w:val="single" w:color="0D1B2A" w:sz="4"/>
            </w:tcBorders>
            <w:shd w:fill="EEF2F7" w:val="clear"/>
            <w:tcMar>
              <w:top w:type="dxa" w:w="60"/>
              <w:left w:type="dxa" w:w="120"/>
              <w:bottom w:type="dxa" w:w="60"/>
              <w:right w:type="dxa" w:w="120"/>
            </w:tcMar>
          </w:tcPr>
          <w:p>
            <w:pPr>
              <w:jc w:val="left"/>
            </w:pPr>
            <w:r>
              <w:rPr>
                <w:rFonts w:ascii="Arial" w:cs="Arial" w:eastAsia="Arial" w:hAnsi="Arial"/>
                <w:b/>
                <w:bCs/>
                <w:color w:val="1B3A6B"/>
                <w:sz w:val="18"/>
                <w:szCs w:val="18"/>
              </w:rPr>
              <w:t xml:space="preserve">Strait of Hormuz / Shipping</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7</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Euronews — Tanker transits collapsed from 24/day to 4/day (Vortexa); ~200 tankers stranded; WTI ~$74.56 / Brent ~$81.40 early March</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kxjmx1d2kkbv6cugx6drf">
              <w:r>
                <w:rPr>
                  <w:rStyle w:val="Hyperlink"/>
                  <w:rFonts w:ascii="Arial" w:cs="Arial" w:eastAsia="Arial" w:hAnsi="Arial"/>
                  <w:color w:val="1155CC"/>
                  <w:sz w:val="17"/>
                  <w:szCs w:val="17"/>
                </w:rPr>
                <w:t xml:space="preserve">https://www.euronews.com/business/2026/03/05/passage-denied-oil-and-gas-prices-swing-wildly-as-hormuz-crisis-drags-on</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8</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Kpler — ~20% of global seaborne oil through Hormuz (~20.9M bbl/day); 83% shipping reduction; 20% of global LNG</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gkjcaubliwjfzoajwcsl0">
              <w:r>
                <w:rPr>
                  <w:rStyle w:val="Hyperlink"/>
                  <w:rFonts w:ascii="Arial" w:cs="Arial" w:eastAsia="Arial" w:hAnsi="Arial"/>
                  <w:color w:val="1155CC"/>
                  <w:sz w:val="17"/>
                  <w:szCs w:val="17"/>
                </w:rPr>
                <w:t xml:space="preserve">https://www.kpler.com/blog/us-iran-conflict-strait-of-hormuz-crisis-reshapes-global-oil-markets</w:t>
              </w:r>
            </w:hyperlink>
          </w:p>
        </w:tc>
      </w:tr>
      <w:tr>
        <w:tc>
          <w:tcPr>
            <w:tcW w:type="dxa" w:w="9360"/>
            <w:gridSpan w:val="3"/>
            <w:tcBorders>
              <w:top w:val="single" w:color="0D1B2A" w:sz="6"/>
              <w:left w:val="single" w:color="0D1B2A" w:sz="4"/>
              <w:bottom w:val="single" w:color="0D1B2A" w:sz="4"/>
              <w:right w:val="single" w:color="0D1B2A" w:sz="4"/>
            </w:tcBorders>
            <w:shd w:fill="EEF2F7" w:val="clear"/>
            <w:tcMar>
              <w:top w:type="dxa" w:w="60"/>
              <w:left w:type="dxa" w:w="120"/>
              <w:bottom w:type="dxa" w:w="60"/>
              <w:right w:type="dxa" w:w="120"/>
            </w:tcMar>
          </w:tcPr>
          <w:p>
            <w:pPr>
              <w:jc w:val="left"/>
            </w:pPr>
            <w:r>
              <w:rPr>
                <w:rFonts w:ascii="Arial" w:cs="Arial" w:eastAsia="Arial" w:hAnsi="Arial"/>
                <w:b/>
                <w:bCs/>
                <w:color w:val="1B3A6B"/>
                <w:sz w:val="18"/>
                <w:szCs w:val="18"/>
              </w:rPr>
              <w:t xml:space="preserve">Treasury Yields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9</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CNBC — 10Y rises to 4.161%; 30Y 4.771%; 2Y 4 bps higher at 3.60%; inflation and recession fears as WTI tops $100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2wq7otyljjlpqcejddv7k">
              <w:r>
                <w:rPr>
                  <w:rStyle w:val="Hyperlink"/>
                  <w:rFonts w:ascii="Arial" w:cs="Arial" w:eastAsia="Arial" w:hAnsi="Arial"/>
                  <w:color w:val="1155CC"/>
                  <w:sz w:val="17"/>
                  <w:szCs w:val="17"/>
                </w:rPr>
                <w:t xml:space="preserve">https://www.cnbc.com/2026/03/09/us-treasury-yields-investors-monitor-iran-war-and-soaring-oil-price.html</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10</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TradingEconomics — 10Y at 4.16% Friday; weekly gain ~20 bps (strongest since April 2025); WTI near $88; jobs -92K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ieju-bwkknpo_jha0n6df">
              <w:r>
                <w:rPr>
                  <w:rStyle w:val="Hyperlink"/>
                  <w:rFonts w:ascii="Arial" w:cs="Arial" w:eastAsia="Arial" w:hAnsi="Arial"/>
                  <w:color w:val="1155CC"/>
                  <w:sz w:val="17"/>
                  <w:szCs w:val="17"/>
                </w:rPr>
                <w:t xml:space="preserve">https://tradingeconomics.com/united-states/government-bond-yield</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11</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CNBC — 10Y breaks above 4% on March 2; peaked at 4.117%; ISM prices paid jumped to 70.5; defying safe-haven playbook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r_rat-q7cg8fbeqokyvsr">
              <w:r>
                <w:rPr>
                  <w:rStyle w:val="Hyperlink"/>
                  <w:rFonts w:ascii="Arial" w:cs="Arial" w:eastAsia="Arial" w:hAnsi="Arial"/>
                  <w:color w:val="1155CC"/>
                  <w:sz w:val="17"/>
                  <w:szCs w:val="17"/>
                </w:rPr>
                <w:t xml:space="preserve">https://www.cnbc.com/2026/03/03/10-year-treasury-yield-tops-4point06percent-as-surging-oil-prices-from-iran-conflict-raise-inflation-angst.html</w:t>
              </w:r>
            </w:hyperlink>
          </w:p>
        </w:tc>
      </w:tr>
      <w:tr>
        <w:tc>
          <w:tcPr>
            <w:tcW w:type="dxa" w:w="9360"/>
            <w:gridSpan w:val="3"/>
            <w:tcBorders>
              <w:top w:val="single" w:color="0D1B2A" w:sz="6"/>
              <w:left w:val="single" w:color="0D1B2A" w:sz="4"/>
              <w:bottom w:val="single" w:color="0D1B2A" w:sz="4"/>
              <w:right w:val="single" w:color="0D1B2A" w:sz="4"/>
            </w:tcBorders>
            <w:shd w:fill="EEF2F7" w:val="clear"/>
            <w:tcMar>
              <w:top w:type="dxa" w:w="60"/>
              <w:left w:type="dxa" w:w="120"/>
              <w:bottom w:type="dxa" w:w="60"/>
              <w:right w:type="dxa" w:w="120"/>
            </w:tcMar>
          </w:tcPr>
          <w:p>
            <w:pPr>
              <w:jc w:val="left"/>
            </w:pPr>
            <w:r>
              <w:rPr>
                <w:rFonts w:ascii="Arial" w:cs="Arial" w:eastAsia="Arial" w:hAnsi="Arial"/>
                <w:b/>
                <w:bCs/>
                <w:color w:val="1B3A6B"/>
                <w:sz w:val="18"/>
                <w:szCs w:val="18"/>
              </w:rPr>
              <w:t xml:space="preserve">Equities &amp; Broad Market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12</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CNBC — S&amp;P 500 down ~2% WTD Mar 6; Dow -800pts Thursday; Russell 2000 -4%+ since Feb 28; VIX topped 30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wv5bfe-bbeggjid8snkxl">
              <w:r>
                <w:rPr>
                  <w:rStyle w:val="Hyperlink"/>
                  <w:rFonts w:ascii="Arial" w:cs="Arial" w:eastAsia="Arial" w:hAnsi="Arial"/>
                  <w:color w:val="1155CC"/>
                  <w:sz w:val="17"/>
                  <w:szCs w:val="17"/>
                </w:rPr>
                <w:t xml:space="preserve">https://www.cnbc.com/2026/03/08/stock-market-today-live-updates.html</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13</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CNBC — March 9 live: S&amp;P -0.5-1%, Dow -400pts; energy +1%, semis rally; stagflation fears dominant narrative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qbvhduqza4arreafdfzwc">
              <w:r>
                <w:rPr>
                  <w:rStyle w:val="Hyperlink"/>
                  <w:rFonts w:ascii="Arial" w:cs="Arial" w:eastAsia="Arial" w:hAnsi="Arial"/>
                  <w:color w:val="1155CC"/>
                  <w:sz w:val="17"/>
                  <w:szCs w:val="17"/>
                </w:rPr>
                <w:t xml:space="preserve">https://www.cnbc.com/2026/03/08/stock-market-today-live-updates.html</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14</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Benzinga — S&amp;P 500 closed Friday March 6 at 6,740.02 (-1.33%); futures down 1.43% Sunday; WTI $110.17 intraday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j3emuxxeyxqql-9ohtbsy">
              <w:r>
                <w:rPr>
                  <w:rStyle w:val="Hyperlink"/>
                  <w:rFonts w:ascii="Arial" w:cs="Arial" w:eastAsia="Arial" w:hAnsi="Arial"/>
                  <w:color w:val="1155CC"/>
                  <w:sz w:val="17"/>
                  <w:szCs w:val="17"/>
                </w:rPr>
                <w:t xml:space="preserve">https://www.benzinga.com/markets/prediction-markets/26/03/51119998/will-sp-500-open-up-or-down-on-march-9-iran-war-jitters-intensify-as-crude-oil-nears-1</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15</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FilmoGaz — Dow negative YTD; S&amp;P -2.1% on week; NFP -92K; stagflation risk; all three indexes negative for 2026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dcp67latgruzgyglbahgi">
              <w:r>
                <w:rPr>
                  <w:rStyle w:val="Hyperlink"/>
                  <w:rFonts w:ascii="Arial" w:cs="Arial" w:eastAsia="Arial" w:hAnsi="Arial"/>
                  <w:color w:val="1155CC"/>
                  <w:sz w:val="17"/>
                  <w:szCs w:val="17"/>
                </w:rPr>
                <w:t xml:space="preserve">https://www.filmogaz.com/185441</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16</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CNBC — Feb 28 day 1: S&amp;P closed +0.04% at 6,881.62; dip buyers held; Dow -73 pts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qlgqwp9jmpqmb4jr5ccot">
              <w:r>
                <w:rPr>
                  <w:rStyle w:val="Hyperlink"/>
                  <w:rFonts w:ascii="Arial" w:cs="Arial" w:eastAsia="Arial" w:hAnsi="Arial"/>
                  <w:color w:val="1155CC"/>
                  <w:sz w:val="17"/>
                  <w:szCs w:val="17"/>
                </w:rPr>
                <w:t xml:space="preserve">https://www.cnbc.com/2026/03/01/stock-market-today-live-update.html</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17</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Seeking Alpha — S&amp;P 500 closed week at 6,740.02 (-2.0% WoW); Fed cuts pushed to July 29, 2026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s6tqnqq1s5mh4acdynizd">
              <w:r>
                <w:rPr>
                  <w:rStyle w:val="Hyperlink"/>
                  <w:rFonts w:ascii="Arial" w:cs="Arial" w:eastAsia="Arial" w:hAnsi="Arial"/>
                  <w:color w:val="1155CC"/>
                  <w:sz w:val="17"/>
                  <w:szCs w:val="17"/>
                </w:rPr>
                <w:t xml:space="preserve">https://seekingalpha.com/article/4880018-sp500-drops-two-percent-iran-war-sends-oil-prices-up</w:t>
              </w:r>
            </w:hyperlink>
          </w:p>
        </w:tc>
      </w:tr>
      <w:tr>
        <w:tc>
          <w:tcPr>
            <w:tcW w:type="dxa" w:w="9360"/>
            <w:gridSpan w:val="3"/>
            <w:tcBorders>
              <w:top w:val="single" w:color="0D1B2A" w:sz="6"/>
              <w:left w:val="single" w:color="0D1B2A" w:sz="4"/>
              <w:bottom w:val="single" w:color="0D1B2A" w:sz="4"/>
              <w:right w:val="single" w:color="0D1B2A" w:sz="4"/>
            </w:tcBorders>
            <w:shd w:fill="EEF2F7" w:val="clear"/>
            <w:tcMar>
              <w:top w:type="dxa" w:w="60"/>
              <w:left w:type="dxa" w:w="120"/>
              <w:bottom w:type="dxa" w:w="60"/>
              <w:right w:type="dxa" w:w="120"/>
            </w:tcMar>
          </w:tcPr>
          <w:p>
            <w:pPr>
              <w:jc w:val="left"/>
            </w:pPr>
            <w:r>
              <w:rPr>
                <w:rFonts w:ascii="Arial" w:cs="Arial" w:eastAsia="Arial" w:hAnsi="Arial"/>
                <w:b/>
                <w:bCs/>
                <w:color w:val="1B3A6B"/>
                <w:sz w:val="18"/>
                <w:szCs w:val="18"/>
              </w:rPr>
              <w:t xml:space="preserve">REIT Market Data</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18</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Investing.com — VNQ $93.55 as of Mar 9, 2026; 52-week range $76.92-$96.23; P/E 32.28; yield 3.42%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fiyfwdkbmpvbziwxuymns">
              <w:r>
                <w:rPr>
                  <w:rStyle w:val="Hyperlink"/>
                  <w:rFonts w:ascii="Arial" w:cs="Arial" w:eastAsia="Arial" w:hAnsi="Arial"/>
                  <w:color w:val="1155CC"/>
                  <w:sz w:val="17"/>
                  <w:szCs w:val="17"/>
                </w:rPr>
                <w:t xml:space="preserve">https://www.investing.com/etfs/vanguard-reit</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19</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Macrotrends — NNN 52-week high $44.79 (Feb 17, 2026); historical price data</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2ejm9djrzbbjgt35ss2ri">
              <w:r>
                <w:rPr>
                  <w:rStyle w:val="Hyperlink"/>
                  <w:rFonts w:ascii="Arial" w:cs="Arial" w:eastAsia="Arial" w:hAnsi="Arial"/>
                  <w:color w:val="1155CC"/>
                  <w:sz w:val="17"/>
                  <w:szCs w:val="17"/>
                </w:rPr>
                <w:t xml:space="preserve">https://www.macrotrends.net/stocks/charts/NNN/nnn-reit/stock-price-history</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20</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Daily Political — NNN Q4 2025 FFO $0.87 vs $0.86 est; record ~$900M acquisition volume; 2026 AFFO growth target ~3.2%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msjzjq-02cnqdhojwawbu">
              <w:r>
                <w:rPr>
                  <w:rStyle w:val="Hyperlink"/>
                  <w:rFonts w:ascii="Arial" w:cs="Arial" w:eastAsia="Arial" w:hAnsi="Arial"/>
                  <w:color w:val="1155CC"/>
                  <w:sz w:val="17"/>
                  <w:szCs w:val="17"/>
                </w:rPr>
                <w:t xml:space="preserve">https://www.dailypolitical.com/2026/02/13/nnn-reit-nysennn-updates-fy-2026-earnings-guidance.html</w:t>
              </w:r>
            </w:hyperlink>
          </w:p>
        </w:tc>
      </w:tr>
      <w:tr>
        <w:tc>
          <w:tcPr>
            <w:tcW w:type="dxa" w:w="9360"/>
            <w:gridSpan w:val="3"/>
            <w:tcBorders>
              <w:top w:val="single" w:color="0D1B2A" w:sz="6"/>
              <w:left w:val="single" w:color="0D1B2A" w:sz="4"/>
              <w:bottom w:val="single" w:color="0D1B2A" w:sz="4"/>
              <w:right w:val="single" w:color="0D1B2A" w:sz="4"/>
            </w:tcBorders>
            <w:shd w:fill="EEF2F7" w:val="clear"/>
            <w:tcMar>
              <w:top w:type="dxa" w:w="60"/>
              <w:left w:type="dxa" w:w="120"/>
              <w:bottom w:type="dxa" w:w="60"/>
              <w:right w:type="dxa" w:w="120"/>
            </w:tcMar>
          </w:tcPr>
          <w:p>
            <w:pPr>
              <w:jc w:val="left"/>
            </w:pPr>
            <w:r>
              <w:rPr>
                <w:rFonts w:ascii="Arial" w:cs="Arial" w:eastAsia="Arial" w:hAnsi="Arial"/>
                <w:b/>
                <w:bCs/>
                <w:color w:val="1B3A6B"/>
                <w:sz w:val="18"/>
                <w:szCs w:val="18"/>
              </w:rPr>
              <w:t xml:space="preserve">Aviation / Hotels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21</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Wikipedia — 4,000+ daily flight cancellations; Dubai International damaged; BA, Lufthansa, Air India, Cathay, Qatar, Emirates suspended; 8 countries closed airspace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qv4zymbh0qgxg2nfw2ggv">
              <w:r>
                <w:rPr>
                  <w:rStyle w:val="Hyperlink"/>
                  <w:rFonts w:ascii="Arial" w:cs="Arial" w:eastAsia="Arial" w:hAnsi="Arial"/>
                  <w:color w:val="1155CC"/>
                  <w:sz w:val="17"/>
                  <w:szCs w:val="17"/>
                </w:rPr>
                <w:t xml:space="preserve">https://en.wikipedia.org/wiki/Economic_impact_of_the_2026_Iran_war</w:t>
              </w:r>
            </w:hyperlink>
          </w:p>
        </w:tc>
      </w:tr>
      <w:tr>
        <w:tc>
          <w:tcPr>
            <w:tcW w:type="dxa" w:w="9360"/>
            <w:gridSpan w:val="3"/>
            <w:tcBorders>
              <w:top w:val="single" w:color="0D1B2A" w:sz="6"/>
              <w:left w:val="single" w:color="0D1B2A" w:sz="4"/>
              <w:bottom w:val="single" w:color="0D1B2A" w:sz="4"/>
              <w:right w:val="single" w:color="0D1B2A" w:sz="4"/>
            </w:tcBorders>
            <w:shd w:fill="EEF2F7" w:val="clear"/>
            <w:tcMar>
              <w:top w:type="dxa" w:w="60"/>
              <w:left w:type="dxa" w:w="120"/>
              <w:bottom w:type="dxa" w:w="60"/>
              <w:right w:type="dxa" w:w="120"/>
            </w:tcMar>
          </w:tcPr>
          <w:p>
            <w:pPr>
              <w:jc w:val="left"/>
            </w:pPr>
            <w:r>
              <w:rPr>
                <w:rFonts w:ascii="Arial" w:cs="Arial" w:eastAsia="Arial" w:hAnsi="Arial"/>
                <w:b/>
                <w:bCs/>
                <w:color w:val="1B3A6B"/>
                <w:sz w:val="18"/>
                <w:szCs w:val="18"/>
              </w:rPr>
              <w:t xml:space="preserve">Geopolitical Context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22</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Motley Fool — S&amp;P higher 65% of time one year after major geopolitical events; avg +3% return; median +5% at six months (Carson Group, 40+ events since WWII)</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oe5edbyklzgh13nm4nn2i">
              <w:r>
                <w:rPr>
                  <w:rStyle w:val="Hyperlink"/>
                  <w:rFonts w:ascii="Arial" w:cs="Arial" w:eastAsia="Arial" w:hAnsi="Arial"/>
                  <w:color w:val="1155CC"/>
                  <w:sz w:val="17"/>
                  <w:szCs w:val="17"/>
                </w:rPr>
                <w:t xml:space="preserve">https://www.fool.com/investing/2026/03/06/will-the-iran-war-cause-stock-market-crash-history/</w:t>
              </w:r>
            </w:hyperlink>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23</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CNN — Why stocks are acting weird: geopolitical conflict 'rarely has lasting impact on US corporate profits' (David Stubbs, AlphaCore); S&amp;P -0.9% avg 1M after events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hyperlink w:history="1" r:id="rIdiaypjvuas6t_my0iqzke4">
              <w:r>
                <w:rPr>
                  <w:rStyle w:val="Hyperlink"/>
                  <w:rFonts w:ascii="Arial" w:cs="Arial" w:eastAsia="Arial" w:hAnsi="Arial"/>
                  <w:color w:val="1155CC"/>
                  <w:sz w:val="17"/>
                  <w:szCs w:val="17"/>
                </w:rPr>
                <w:t xml:space="preserve">https://www.cnn.com/2026/03/03/investing/us-stocks-iran-turmoil</w:t>
              </w:r>
            </w:hyperlink>
          </w:p>
        </w:tc>
      </w:tr>
      <w:tr>
        <w:tc>
          <w:tcPr>
            <w:tcW w:type="dxa" w:w="9360"/>
            <w:gridSpan w:val="3"/>
            <w:tcBorders>
              <w:top w:val="single" w:color="0D1B2A" w:sz="6"/>
              <w:left w:val="single" w:color="0D1B2A" w:sz="4"/>
              <w:bottom w:val="single" w:color="0D1B2A" w:sz="4"/>
              <w:right w:val="single" w:color="0D1B2A" w:sz="4"/>
            </w:tcBorders>
            <w:shd w:fill="EEF2F7" w:val="clear"/>
            <w:tcMar>
              <w:top w:type="dxa" w:w="60"/>
              <w:left w:type="dxa" w:w="120"/>
              <w:bottom w:type="dxa" w:w="60"/>
              <w:right w:type="dxa" w:w="120"/>
            </w:tcMar>
          </w:tcPr>
          <w:p>
            <w:pPr>
              <w:jc w:val="left"/>
            </w:pPr>
            <w:r>
              <w:rPr>
                <w:rFonts w:ascii="Arial" w:cs="Arial" w:eastAsia="Arial" w:hAnsi="Arial"/>
                <w:b/>
                <w:bCs/>
                <w:color w:val="1B3A6B"/>
                <w:sz w:val="18"/>
                <w:szCs w:val="18"/>
              </w:rPr>
              <w:t xml:space="preserve">Regression Analysis (This Workbook)</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0D1B2A"/>
                <w:sz w:val="18"/>
                <w:szCs w:val="18"/>
              </w:rPr>
              <w:t xml:space="preserve">24</w:t>
            </w:r>
          </w:p>
        </w:tc>
        <w:tc>
          <w:tcPr>
            <w:tcW w:type="dxa" w:w="4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1A1A1A"/>
                <w:sz w:val="18"/>
                <w:szCs w:val="18"/>
              </w:rPr>
              <w:t xml:space="preserve">Oil_REITs_Rates_Analysis.xlsx — Full sample oil coef -0.022 (p=0.567); 10Y coef -5.81 (p&lt;0.001); 1.5 SD shock 10Y coef -14.6 (p&lt;0.001); oil crashes coef -10.6 (p=0.005); oil→10Y R² 8.3% full sample rising to 32.1% extreme shocks; 21 shock episodes 1996–2023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color w:val="4A4A4A"/>
                <w:sz w:val="17"/>
                <w:szCs w:val="17"/>
              </w:rPr>
              <w:t xml:space="preserve">(This workbook)</w:t>
            </w:r>
          </w:p>
        </w:tc>
      </w:tr>
    </w:tbl>
    <w:p>
      <w:pPr>
        <w:pBdr>
          <w:bottom w:val="single" w:color="D9D9D9" w:sz="6" w:space="1"/>
        </w:pBdr>
        <w:spacing w:before="60" w:after="60"/>
      </w:pPr>
    </w:p>
    <w:p>
      <w:pPr>
        <w:spacing w:before="40" w:after="80"/>
        <w:ind/>
        <w:jc w:val="left"/>
      </w:pPr>
      <w:r>
        <w:rPr>
          <w:rFonts w:ascii="Arial" w:cs="Arial" w:eastAsia="Arial" w:hAnsi="Arial"/>
          <w:b w:val="false"/>
          <w:bCs w:val="false"/>
          <w:i/>
          <w:iCs/>
          <w:color w:val="888888"/>
          <w:sz w:val="16"/>
          <w:szCs w:val="16"/>
        </w:rPr>
        <w:t xml:space="preserve">This report is for informational purposes only and does not constitute investment advice or a recommendation to buy or sell any security. Historical regression analysis based on monthly data 1995–2023 (n=366 observations); shock episodes auto-detected from FRED DCOILWTICO daily data. Market data as of intraday March 9, 2026. For institutional investors only. Deutsche Bank does not guarantee the accuracy of market data sourced from third parties.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20" w:after="3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imppenpjiyb3q1khr-j3" Type="http://schemas.openxmlformats.org/officeDocument/2006/relationships/hyperlink" Target="https://www.cnbc.com/2026/03/08/crude-oil-prices-today-iran-war.html" TargetMode="External"/><Relationship Id="rIdmt4p-1mcvfjqcsliyt_f-" Type="http://schemas.openxmlformats.org/officeDocument/2006/relationships/hyperlink" Target="https://oilprice.com/Energy/Energy-General/Oil-Prices-Soar-29-as-Iran-Conflict-Threatens-Middle-East-Supply.html" TargetMode="External"/><Relationship Id="rIdpotso_fbkvy5ftq2rnmi8" Type="http://schemas.openxmlformats.org/officeDocument/2006/relationships/hyperlink" Target="https://www.axios.com/2026/03/08/iran-war-oil-market-barrel-cost" TargetMode="External"/><Relationship Id="rIdrfr8yptkd_fstpd3c1n_s" Type="http://schemas.openxmlformats.org/officeDocument/2006/relationships/hyperlink" Target="https://www.aljazeera.com/economy/2026/3/9/oil-soars-past-100-a-barrel-amid-iran-war" TargetMode="External"/><Relationship Id="rId6u2mkfag5fvkchvtceydp" Type="http://schemas.openxmlformats.org/officeDocument/2006/relationships/hyperlink" Target="https://www.filmogaz.com/185433" TargetMode="External"/><Relationship Id="rIdi7dsw9txtjgppqh75ikt1" Type="http://schemas.openxmlformats.org/officeDocument/2006/relationships/hyperlink" Target="https://www.cnbc.com/2026/03/01/crude-oil-futures-iran.html" TargetMode="External"/><Relationship Id="rIdkxjmx1d2kkbv6cugx6drf" Type="http://schemas.openxmlformats.org/officeDocument/2006/relationships/hyperlink" Target="https://www.euronews.com/business/2026/03/05/passage-denied-oil-and-gas-prices-swing-wildly-as-hormuz-crisis-drags-on" TargetMode="External"/><Relationship Id="rIdgkjcaubliwjfzoajwcsl0" Type="http://schemas.openxmlformats.org/officeDocument/2006/relationships/hyperlink" Target="https://www.kpler.com/blog/us-iran-conflict-strait-of-hormuz-crisis-reshapes-global-oil-markets" TargetMode="External"/><Relationship Id="rId2wq7otyljjlpqcejddv7k" Type="http://schemas.openxmlformats.org/officeDocument/2006/relationships/hyperlink" Target="https://www.cnbc.com/2026/03/09/us-treasury-yields-investors-monitor-iran-war-and-soaring-oil-price.html" TargetMode="External"/><Relationship Id="rIdieju-bwkknpo_jha0n6df" Type="http://schemas.openxmlformats.org/officeDocument/2006/relationships/hyperlink" Target="https://tradingeconomics.com/united-states/government-bond-yield" TargetMode="External"/><Relationship Id="rIdr_rat-q7cg8fbeqokyvsr" Type="http://schemas.openxmlformats.org/officeDocument/2006/relationships/hyperlink" Target="https://www.cnbc.com/2026/03/03/10-year-treasury-yield-tops-4point06percent-as-surging-oil-prices-from-iran-conflict-raise-inflation-angst.html" TargetMode="External"/><Relationship Id="rIdwv5bfe-bbeggjid8snkxl" Type="http://schemas.openxmlformats.org/officeDocument/2006/relationships/hyperlink" Target="https://www.cnbc.com/2026/03/08/stock-market-today-live-updates.html" TargetMode="External"/><Relationship Id="rIdqbvhduqza4arreafdfzwc" Type="http://schemas.openxmlformats.org/officeDocument/2006/relationships/hyperlink" Target="https://www.cnbc.com/2026/03/08/stock-market-today-live-updates.html" TargetMode="External"/><Relationship Id="rIdj3emuxxeyxqql-9ohtbsy" Type="http://schemas.openxmlformats.org/officeDocument/2006/relationships/hyperlink" Target="https://www.benzinga.com/markets/prediction-markets/26/03/51119998/will-sp-500-open-up-or-down-on-march-9-iran-war-jitters-intensify-as-crude-oil-nears-1" TargetMode="External"/><Relationship Id="rIddcp67latgruzgyglbahgi" Type="http://schemas.openxmlformats.org/officeDocument/2006/relationships/hyperlink" Target="https://www.filmogaz.com/185441" TargetMode="External"/><Relationship Id="rIdqlgqwp9jmpqmb4jr5ccot" Type="http://schemas.openxmlformats.org/officeDocument/2006/relationships/hyperlink" Target="https://www.cnbc.com/2026/03/01/stock-market-today-live-update.html" TargetMode="External"/><Relationship Id="rIds6tqnqq1s5mh4acdynizd" Type="http://schemas.openxmlformats.org/officeDocument/2006/relationships/hyperlink" Target="https://seekingalpha.com/article/4880018-sp500-drops-two-percent-iran-war-sends-oil-prices-up" TargetMode="External"/><Relationship Id="rIdfiyfwdkbmpvbziwxuymns" Type="http://schemas.openxmlformats.org/officeDocument/2006/relationships/hyperlink" Target="https://www.investing.com/etfs/vanguard-reit" TargetMode="External"/><Relationship Id="rId2ejm9djrzbbjgt35ss2ri" Type="http://schemas.openxmlformats.org/officeDocument/2006/relationships/hyperlink" Target="https://www.macrotrends.net/stocks/charts/NNN/nnn-reit/stock-price-history" TargetMode="External"/><Relationship Id="rIdmsjzjq-02cnqdhojwawbu" Type="http://schemas.openxmlformats.org/officeDocument/2006/relationships/hyperlink" Target="https://www.dailypolitical.com/2026/02/13/nnn-reit-nysennn-updates-fy-2026-earnings-guidance.html" TargetMode="External"/><Relationship Id="rIdqv4zymbh0qgxg2nfw2ggv" Type="http://schemas.openxmlformats.org/officeDocument/2006/relationships/hyperlink" Target="https://en.wikipedia.org/wiki/Economic_impact_of_the_2026_Iran_war" TargetMode="External"/><Relationship Id="rIdoe5edbyklzgh13nm4nn2i" Type="http://schemas.openxmlformats.org/officeDocument/2006/relationships/hyperlink" Target="https://www.fool.com/investing/2026/03/06/will-the-iran-war-cause-stock-market-crash-history/" TargetMode="External"/><Relationship Id="rIdiaypjvuas6t_my0iqzke4" Type="http://schemas.openxmlformats.org/officeDocument/2006/relationships/hyperlink" Target="https://www.cnn.com/2026/03/03/investing/us-stocks-iran-turmoil" TargetMode="External"/><Relationship Id="rId2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2026-03-09T16:25:29.289Z</dcterms:created>
  <dcterms:modified xsi:type="dcterms:W3CDTF">2026-03-09T16:25:29.290Z</dcterms:modified>
</cp:coreProperties>
</file>

<file path=docProps/custom.xml><?xml version="1.0" encoding="utf-8"?>
<Properties xmlns="http://schemas.openxmlformats.org/officeDocument/2006/custom-properties" xmlns:vt="http://schemas.openxmlformats.org/officeDocument/2006/docPropsVTypes"/>
</file>