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23B30" w:rsidRPr="00063E1D" w:rsidRDefault="00F23B30" w:rsidP="00063E1D">
      <w:pPr>
        <w:pStyle w:val="Default"/>
        <w:jc w:val="both"/>
        <w:rPr>
          <w:rStyle w:val="A20"/>
        </w:rPr>
      </w:pPr>
      <w:r w:rsidRPr="00063E1D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color w:val="auto"/>
          <w:lang w:val="es-ES"/>
        </w:rPr>
      </w:pPr>
    </w:p>
    <w:p w:rsidR="00F23B30" w:rsidRPr="00063E1D" w:rsidRDefault="00F23B30" w:rsidP="00063E1D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sz w:val="24"/>
          <w:szCs w:val="24"/>
          <w:lang w:val="es-ES"/>
        </w:rPr>
      </w:pPr>
    </w:p>
    <w:p w:rsidR="00F23B30" w:rsidRPr="00063E1D" w:rsidRDefault="00F23B30" w:rsidP="00063E1D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063E1D">
        <w:rPr>
          <w:rFonts w:asciiTheme="minorHAnsi" w:hAnsiTheme="minorHAnsi"/>
          <w:b/>
          <w:color w:val="auto"/>
          <w:sz w:val="22"/>
          <w:szCs w:val="22"/>
          <w:lang w:val="es-ES"/>
        </w:rPr>
        <w:t>¿Lo ocurrido puede hacer pensar que Repsol es una compañía opaca o no del todo clara al comunicar sus cuentas?</w:t>
      </w:r>
    </w:p>
    <w:p w:rsidR="00F23B30" w:rsidRPr="00063E1D" w:rsidRDefault="00F23B30" w:rsidP="00063E1D">
      <w:pPr>
        <w:pStyle w:val="Default"/>
        <w:ind w:left="720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  <w:r w:rsidRPr="00063E1D">
        <w:rPr>
          <w:rFonts w:asciiTheme="minorHAnsi" w:hAnsiTheme="minorHAnsi"/>
          <w:color w:val="auto"/>
          <w:sz w:val="22"/>
          <w:szCs w:val="22"/>
          <w:lang w:val="es-ES"/>
        </w:rPr>
        <w:t xml:space="preserve">Repsol considera la transparencia en la información como un principio básico que debe regir su actuación. En concreto, se garantizará que la información que se comunique a los accionistas, a los mercados donde coticen sus acciones y a los entes reguladores de dichos mercados sea veraz y completa. Asimismo, esta información ha de reflejar adecuadamente su situación financiera y el resultado de sus operaciones, al margen de comunicarla cumpliendo los plazos y demás requisitos establecidos en las normas aplicables y principios generales de funcionamiento de los mercados y de buen gobierno que la sociedad tenga asumidos. </w:t>
      </w:r>
      <w:r w:rsidRPr="00063E1D">
        <w:rPr>
          <w:rFonts w:asciiTheme="minorHAnsi" w:eastAsia="Times New Roman" w:hAnsiTheme="minorHAnsi" w:cs="Lucida Sans Unicode"/>
          <w:color w:val="auto"/>
          <w:sz w:val="22"/>
          <w:szCs w:val="22"/>
          <w:lang w:val="es-ES" w:eastAsia="es-ES"/>
        </w:rPr>
        <w:t>Como parte de este compromiso con la transparencia, Repsol es socio fundador de la Iniciativa para la Transparencia de las Industrias Extractivas (ITIE).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F23B30" w:rsidRPr="00063E1D" w:rsidRDefault="00F23B30" w:rsidP="00063E1D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063E1D">
        <w:rPr>
          <w:rFonts w:asciiTheme="minorHAnsi" w:hAnsiTheme="minorHAnsi"/>
          <w:b/>
          <w:color w:val="auto"/>
          <w:sz w:val="22"/>
          <w:szCs w:val="22"/>
          <w:lang w:val="es-ES"/>
        </w:rPr>
        <w:t>¿Qué canales mantiene abiertos para hablar con los accionistas?</w:t>
      </w:r>
    </w:p>
    <w:p w:rsidR="00F23B30" w:rsidRPr="00063E1D" w:rsidRDefault="00F23B30" w:rsidP="00063E1D">
      <w:pPr>
        <w:pStyle w:val="resumen"/>
        <w:shd w:val="clear" w:color="auto" w:fill="FFFFFF"/>
        <w:spacing w:before="0" w:beforeAutospacing="0" w:after="150" w:afterAutospacing="0" w:line="225" w:lineRule="atLeast"/>
        <w:ind w:left="708"/>
        <w:jc w:val="both"/>
        <w:rPr>
          <w:rFonts w:asciiTheme="minorHAnsi" w:hAnsiTheme="minorHAnsi" w:cs="Lucida Sans Unicode"/>
          <w:sz w:val="22"/>
          <w:szCs w:val="22"/>
        </w:rPr>
      </w:pPr>
      <w:r w:rsidRPr="00063E1D">
        <w:rPr>
          <w:rFonts w:asciiTheme="minorHAnsi" w:hAnsiTheme="minorHAnsi" w:cs="Arial"/>
          <w:sz w:val="22"/>
          <w:szCs w:val="22"/>
        </w:rPr>
        <w:t>El principal canal de información mediante el cual comunicamos la evolución y estrategia de la Empresa es la página web específica de </w:t>
      </w:r>
      <w:hyperlink r:id="rId5" w:history="1">
        <w:r w:rsidRPr="00063E1D">
          <w:rPr>
            <w:rStyle w:val="Hyperlink"/>
            <w:rFonts w:asciiTheme="minorHAnsi" w:hAnsiTheme="minorHAnsi" w:cs="Arial"/>
            <w:color w:val="auto"/>
            <w:sz w:val="22"/>
            <w:szCs w:val="22"/>
          </w:rPr>
          <w:t>Información para Accionistas e Inversores</w:t>
        </w:r>
      </w:hyperlink>
      <w:r w:rsidRPr="00063E1D">
        <w:rPr>
          <w:rStyle w:val="apple-converted-space"/>
          <w:rFonts w:asciiTheme="minorHAnsi" w:hAnsiTheme="minorHAnsi" w:cs="Arial"/>
          <w:sz w:val="22"/>
          <w:szCs w:val="22"/>
        </w:rPr>
        <w:t> </w:t>
      </w:r>
      <w:r w:rsidRPr="00063E1D">
        <w:rPr>
          <w:rFonts w:asciiTheme="minorHAnsi" w:hAnsiTheme="minorHAnsi" w:cs="Arial"/>
          <w:sz w:val="22"/>
          <w:szCs w:val="22"/>
        </w:rPr>
        <w:t>disponible en repsol.com, donde pueden encontrar los diversos informes anuales, la Información económico financiera con carácter trimestral o los cierres diarios de mercado, entre otras informaciones. Adicionalmente, Repsol dispone de una Oficina de Información al Accionista (OIA), en la que los accionistas, bien personándose en nuestras oficinas, a través del teléfono gratuito 900 100 100 o mediante correo postal o electrónico, pueden solicitar cuanta información necesiten. 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F23B30" w:rsidRPr="00063E1D" w:rsidRDefault="00F23B30" w:rsidP="00063E1D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F23B30" w:rsidRPr="00063E1D" w:rsidRDefault="00F23B30" w:rsidP="00063E1D">
      <w:pPr>
        <w:pStyle w:val="Pa12"/>
        <w:ind w:left="72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F23B30" w:rsidRPr="00063E1D" w:rsidRDefault="00F23B30" w:rsidP="00063E1D">
      <w:pPr>
        <w:pStyle w:val="Pa12"/>
        <w:spacing w:after="240"/>
        <w:ind w:left="720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lang w:val="es-ES"/>
        </w:rPr>
        <w:t>Además, a través de nuestra página web se ofrecerá actualizada toda la información disponible y se atenderán todas las consultas realizadas a través del correo electrónico.</w:t>
      </w:r>
    </w:p>
    <w:p w:rsidR="00F23B30" w:rsidRPr="00063E1D" w:rsidRDefault="00F23B30" w:rsidP="00063E1D">
      <w:pPr>
        <w:pStyle w:val="Default"/>
        <w:numPr>
          <w:ilvl w:val="0"/>
          <w:numId w:val="7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063E1D">
        <w:rPr>
          <w:rFonts w:asciiTheme="minorHAnsi" w:hAnsiTheme="minorHAnsi"/>
          <w:b/>
          <w:color w:val="auto"/>
          <w:sz w:val="22"/>
          <w:szCs w:val="22"/>
          <w:lang w:val="es-ES"/>
        </w:rPr>
        <w:t>¿Qué mecanismos tienes la Compañía para prevenir la corrupción y hechos similares?</w:t>
      </w:r>
    </w:p>
    <w:p w:rsidR="00F23B30" w:rsidRPr="00063E1D" w:rsidRDefault="00F23B30" w:rsidP="00063E1D">
      <w:pPr>
        <w:shd w:val="clear" w:color="auto" w:fill="FFFFFF"/>
        <w:spacing w:after="150" w:line="240" w:lineRule="auto"/>
        <w:ind w:left="708"/>
        <w:jc w:val="both"/>
        <w:rPr>
          <w:rFonts w:eastAsia="Times New Roman" w:cs="Arial"/>
          <w:lang w:val="es-ES" w:eastAsia="es-ES"/>
        </w:rPr>
      </w:pPr>
      <w:r w:rsidRPr="00063E1D">
        <w:rPr>
          <w:rFonts w:eastAsia="Times New Roman" w:cs="Arial"/>
          <w:lang w:val="es-ES" w:eastAsia="es-ES"/>
        </w:rPr>
        <w:t>La compañía cuenta con mecanismos para prevenir, detectar e investigar los casos de corrupción. Desde la D. de Auditoría y Control se evalúa la eficacia de los sistemas de control de la compañía y se monitorizan modelos de control y cumplimiento a través de sus equipos de proyectos de auditoría, control interno sobre información financiera, auditoría de asociaciones y contratos, auditoría de sistemas, cumplimiento normativo, modelo de prevención de delitos y auditoría on-line.</w:t>
      </w:r>
    </w:p>
    <w:p w:rsidR="00F23B30" w:rsidRPr="00063E1D" w:rsidRDefault="00F23B30" w:rsidP="00063E1D">
      <w:pPr>
        <w:pStyle w:val="Default"/>
        <w:jc w:val="both"/>
        <w:rPr>
          <w:rStyle w:val="A4"/>
          <w:rFonts w:asciiTheme="minorHAnsi" w:hAnsiTheme="minorHAnsi"/>
        </w:rPr>
      </w:pPr>
    </w:p>
    <w:p w:rsidR="00F23B30" w:rsidRPr="00063E1D" w:rsidRDefault="00F23B30" w:rsidP="00063E1D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Este caso, ¿se ha producido porque Repsol aplica políticas menos exigentes en algunos países en los que opera? </w:t>
      </w:r>
    </w:p>
    <w:p w:rsidR="00F23B30" w:rsidRPr="00063E1D" w:rsidRDefault="00F23B30" w:rsidP="00063E1D">
      <w:pPr>
        <w:pStyle w:val="Pa12"/>
        <w:ind w:left="708"/>
        <w:jc w:val="both"/>
        <w:rPr>
          <w:rStyle w:val="A4"/>
        </w:rPr>
      </w:pPr>
      <w:r w:rsidRPr="00063E1D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F23B30" w:rsidRPr="00063E1D" w:rsidRDefault="00F23B30" w:rsidP="00063E1D">
      <w:pPr>
        <w:pStyle w:val="Default"/>
        <w:jc w:val="both"/>
        <w:rPr>
          <w:rFonts w:asciiTheme="minorHAnsi" w:hAnsiTheme="minorHAnsi"/>
          <w:color w:val="auto"/>
          <w:sz w:val="22"/>
          <w:szCs w:val="22"/>
          <w:lang w:val="es-ES"/>
        </w:rPr>
      </w:pPr>
    </w:p>
    <w:p w:rsidR="00F23B30" w:rsidRPr="00063E1D" w:rsidRDefault="00F23B30" w:rsidP="00063E1D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color w:val="auto"/>
          <w:sz w:val="22"/>
          <w:szCs w:val="22"/>
          <w:lang w:val="es-ES"/>
        </w:rPr>
      </w:pPr>
      <w:r w:rsidRPr="00063E1D">
        <w:rPr>
          <w:rFonts w:asciiTheme="minorHAnsi" w:hAnsiTheme="minorHAnsi"/>
          <w:b/>
          <w:color w:val="auto"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F23B30" w:rsidRPr="00063E1D" w:rsidRDefault="00F23B30" w:rsidP="00063E1D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063E1D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063E1D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063E1D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063E1D">
        <w:rPr>
          <w:rFonts w:eastAsia="Times New Roman" w:cs="Arial"/>
          <w:lang w:val="es-ES" w:eastAsia="es-ES"/>
        </w:rPr>
        <w:t xml:space="preserve">modificado en varias ocasiones  para recoger las mejores prácticas en cada momento </w:t>
      </w:r>
      <w:bookmarkStart w:id="0" w:name="_GoBack"/>
      <w:bookmarkEnd w:id="0"/>
      <w:r w:rsidRPr="00063E1D">
        <w:rPr>
          <w:rFonts w:eastAsia="Times New Roman" w:cs="Arial"/>
          <w:lang w:val="es-ES" w:eastAsia="es-ES"/>
        </w:rPr>
        <w:t xml:space="preserve"> así como para adaptarlo a las noveda</w:t>
      </w:r>
      <w:r w:rsidR="00063E1D" w:rsidRPr="00063E1D">
        <w:rPr>
          <w:rFonts w:eastAsia="Times New Roman" w:cs="Arial"/>
          <w:lang w:val="es-ES" w:eastAsia="es-ES"/>
        </w:rPr>
        <w:t>des legislativas</w:t>
      </w:r>
      <w:r w:rsidRPr="00063E1D">
        <w:rPr>
          <w:rFonts w:eastAsia="Times New Roman" w:cs="Arial"/>
          <w:lang w:val="es-ES" w:eastAsia="es-ES"/>
        </w:rPr>
        <w:t>.</w:t>
      </w:r>
    </w:p>
    <w:p w:rsidR="00F23B30" w:rsidRPr="00063E1D" w:rsidRDefault="00F23B30" w:rsidP="00063E1D">
      <w:pPr>
        <w:pStyle w:val="Pa12"/>
        <w:jc w:val="both"/>
        <w:rPr>
          <w:rStyle w:val="A4"/>
          <w:rFonts w:asciiTheme="minorHAnsi" w:hAnsiTheme="minorHAnsi"/>
        </w:rPr>
      </w:pPr>
    </w:p>
    <w:p w:rsidR="00F23B30" w:rsidRPr="00063E1D" w:rsidRDefault="00F23B30" w:rsidP="00063E1D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823BCA" w:rsidRPr="00063E1D" w:rsidRDefault="00823BCA" w:rsidP="00063E1D">
      <w:pPr>
        <w:pStyle w:val="Default"/>
        <w:jc w:val="both"/>
        <w:rPr>
          <w:rStyle w:val="A4"/>
        </w:rPr>
      </w:pPr>
    </w:p>
    <w:p w:rsidR="00823BCA" w:rsidRPr="00063E1D" w:rsidRDefault="00823BCA" w:rsidP="00063E1D">
      <w:pPr>
        <w:pStyle w:val="Default"/>
        <w:jc w:val="both"/>
        <w:rPr>
          <w:rFonts w:asciiTheme="minorHAnsi" w:hAnsiTheme="minorHAnsi" w:cstheme="minorHAnsi"/>
          <w:color w:val="auto"/>
          <w:szCs w:val="22"/>
          <w:lang w:val="es-ES"/>
        </w:rPr>
      </w:pPr>
    </w:p>
    <w:p w:rsidR="00823BCA" w:rsidRPr="00063E1D" w:rsidRDefault="00823BCA" w:rsidP="00063E1D">
      <w:pPr>
        <w:shd w:val="clear" w:color="auto" w:fill="FFFFFF"/>
        <w:spacing w:after="150" w:line="240" w:lineRule="auto"/>
        <w:jc w:val="both"/>
        <w:rPr>
          <w:rFonts w:eastAsia="Times New Roman" w:cs="Arial"/>
          <w:color w:val="5B5554"/>
          <w:sz w:val="18"/>
          <w:szCs w:val="18"/>
          <w:lang w:val="es-ES" w:eastAsia="es-ES"/>
        </w:rPr>
      </w:pPr>
    </w:p>
    <w:p w:rsidR="00823BCA" w:rsidRPr="00063E1D" w:rsidRDefault="00823BCA" w:rsidP="00063E1D">
      <w:pPr>
        <w:shd w:val="clear" w:color="auto" w:fill="FFFFFF"/>
        <w:spacing w:after="150" w:line="240" w:lineRule="auto"/>
        <w:jc w:val="both"/>
        <w:rPr>
          <w:rFonts w:eastAsia="Times New Roman" w:cs="Arial"/>
          <w:color w:val="5B5554"/>
          <w:sz w:val="18"/>
          <w:szCs w:val="18"/>
          <w:lang w:val="es-ES" w:eastAsia="es-ES"/>
        </w:rPr>
      </w:pPr>
    </w:p>
    <w:p w:rsidR="00C128D3" w:rsidRPr="00063E1D" w:rsidRDefault="00C128D3" w:rsidP="00063E1D">
      <w:pPr>
        <w:jc w:val="both"/>
        <w:rPr>
          <w:szCs w:val="20"/>
          <w:lang w:val="es-ES"/>
        </w:rPr>
      </w:pPr>
    </w:p>
    <w:p w:rsidR="00C128D3" w:rsidRPr="00063E1D" w:rsidRDefault="00C128D3" w:rsidP="00063E1D">
      <w:pPr>
        <w:shd w:val="clear" w:color="auto" w:fill="FFFFFF"/>
        <w:spacing w:after="150" w:line="240" w:lineRule="auto"/>
        <w:jc w:val="both"/>
        <w:rPr>
          <w:rFonts w:eastAsia="Times New Roman" w:cs="Arial"/>
          <w:color w:val="5B5554"/>
          <w:sz w:val="18"/>
          <w:szCs w:val="18"/>
          <w:lang w:val="es-ES" w:eastAsia="es-ES"/>
        </w:rPr>
      </w:pPr>
    </w:p>
    <w:p w:rsidR="005E2B46" w:rsidRPr="008C1ED5" w:rsidRDefault="005E2B46" w:rsidP="00063E1D">
      <w:pPr>
        <w:jc w:val="both"/>
        <w:rPr>
          <w:b/>
          <w:color w:val="FF0000"/>
          <w:lang w:val="es-ES"/>
        </w:rPr>
      </w:pPr>
    </w:p>
    <w:sectPr w:rsidR="005E2B46" w:rsidRPr="008C1ED5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2DDC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57A95"/>
    <w:multiLevelType w:val="hybridMultilevel"/>
    <w:tmpl w:val="D654D5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0C68"/>
    <w:rsid w:val="00061E8F"/>
    <w:rsid w:val="00063E1D"/>
    <w:rsid w:val="000A360E"/>
    <w:rsid w:val="000B42D2"/>
    <w:rsid w:val="000D47CA"/>
    <w:rsid w:val="00156706"/>
    <w:rsid w:val="00164A2C"/>
    <w:rsid w:val="00165759"/>
    <w:rsid w:val="001819E5"/>
    <w:rsid w:val="001822F3"/>
    <w:rsid w:val="001838A1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2408F"/>
    <w:rsid w:val="003310A0"/>
    <w:rsid w:val="00371E53"/>
    <w:rsid w:val="003B12A3"/>
    <w:rsid w:val="003C0EC4"/>
    <w:rsid w:val="003D1551"/>
    <w:rsid w:val="00412FCC"/>
    <w:rsid w:val="00432E14"/>
    <w:rsid w:val="00436CED"/>
    <w:rsid w:val="00460771"/>
    <w:rsid w:val="0046120F"/>
    <w:rsid w:val="004B5AD7"/>
    <w:rsid w:val="005142AF"/>
    <w:rsid w:val="00521061"/>
    <w:rsid w:val="00532613"/>
    <w:rsid w:val="00541CA2"/>
    <w:rsid w:val="00561DDA"/>
    <w:rsid w:val="00570B18"/>
    <w:rsid w:val="00583C27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5389F"/>
    <w:rsid w:val="00661E03"/>
    <w:rsid w:val="00694911"/>
    <w:rsid w:val="006A3EEB"/>
    <w:rsid w:val="006A5A14"/>
    <w:rsid w:val="006D535F"/>
    <w:rsid w:val="006F66B5"/>
    <w:rsid w:val="00741C04"/>
    <w:rsid w:val="00755CE1"/>
    <w:rsid w:val="00772EB6"/>
    <w:rsid w:val="00776C72"/>
    <w:rsid w:val="007B5140"/>
    <w:rsid w:val="007F1FBF"/>
    <w:rsid w:val="00816719"/>
    <w:rsid w:val="00823BCA"/>
    <w:rsid w:val="00866091"/>
    <w:rsid w:val="008736C4"/>
    <w:rsid w:val="008B1D23"/>
    <w:rsid w:val="008C1ED5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B2D"/>
    <w:rsid w:val="00B20B7C"/>
    <w:rsid w:val="00B26985"/>
    <w:rsid w:val="00B57B95"/>
    <w:rsid w:val="00B704ED"/>
    <w:rsid w:val="00B73FC6"/>
    <w:rsid w:val="00B91718"/>
    <w:rsid w:val="00BC0F50"/>
    <w:rsid w:val="00BD7EB9"/>
    <w:rsid w:val="00C123E2"/>
    <w:rsid w:val="00C128D3"/>
    <w:rsid w:val="00C41A93"/>
    <w:rsid w:val="00C451D9"/>
    <w:rsid w:val="00C6224A"/>
    <w:rsid w:val="00C646EE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66CBC"/>
    <w:rsid w:val="00E759C8"/>
    <w:rsid w:val="00E774A6"/>
    <w:rsid w:val="00E96DC8"/>
    <w:rsid w:val="00E971B9"/>
    <w:rsid w:val="00EA126F"/>
    <w:rsid w:val="00EC0A32"/>
    <w:rsid w:val="00ED6F4A"/>
    <w:rsid w:val="00EE1062"/>
    <w:rsid w:val="00F23B30"/>
    <w:rsid w:val="00F26FE7"/>
    <w:rsid w:val="00F40276"/>
    <w:rsid w:val="00F57639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8A1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6A3EE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3EE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6A3EE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6A3EE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psol.com/es_es/corporacion/accionistas-inversore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589</Words>
  <Characters>3361</Characters>
  <Application>Microsoft Macintosh Word</Application>
  <DocSecurity>0</DocSecurity>
  <Lines>28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5</cp:revision>
  <dcterms:created xsi:type="dcterms:W3CDTF">2012-09-12T08:53:00Z</dcterms:created>
  <dcterms:modified xsi:type="dcterms:W3CDTF">2013-10-27T19:57:00Z</dcterms:modified>
</cp:coreProperties>
</file>