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A66330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5" style="width:7.15pt;height:882.3pt;margin-top:0;margin-left:0;mso-height-percent:1050;mso-height-relative:page;mso-position-horizontal:center;mso-position-horizontal-relative:lef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5408" o:allowincell="f" fillcolor="white" strokecolor="#31849b"/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width:7.15pt;height:882.3pt;margin-top:0;margin-left:0;mso-height-percent:1050;mso-height-relative:page;mso-position-horizontal:center;mso-position-horizontal-relative:righ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3360" o:allowincell="f" fillcolor="white" strokecolor="#31849b"/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23117" cy="1505140"/>
                <wp:effectExtent l="9525" t="9525" r="6350" b="9525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3117" cy="15051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7" style="width:623.85pt;height:118.5pt;margin-top:0;margin-left:0;mso-height-percent:900;mso-height-relative:top-margin-area;mso-position-horizontal:center;mso-position-horizontal-relative:page;mso-position-vertical:top;mso-position-vertical-relative:top-margin-area;mso-width-percent:1050;mso-width-relative:page;mso-wrap-distance-bottom:0;mso-wrap-distance-left:9pt;mso-wrap-distance-right:9pt;mso-wrap-distance-top:0;mso-wrap-style:square;position:absolute;v-text-anchor:top;visibility:visible;z-index:251661312" o:allowincell="f" fillcolor="#4bacc6" strokecolor="#31849b"/>
            </w:pict>
          </mc:Fallback>
        </mc:AlternateConten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alias w:val="Título"/>
        <w:id w:val="14700071"/>
        <w:placeholder>
          <w:docPart w:val="C8B840E5794E40F3AF7EC5F99436C09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A6633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Política da Segurança da Informação</w:t>
          </w:r>
        </w:p>
      </w:sdtContent>
    </w:sdt>
    <w:sdt>
      <w:sdtPr>
        <w:rPr>
          <w:rFonts w:asciiTheme="majorHAnsi" w:eastAsiaTheme="majorEastAsia" w:hAnsiTheme="majorHAnsi" w:cstheme="majorBidi"/>
          <w:sz w:val="36"/>
          <w:szCs w:val="36"/>
        </w:rPr>
        <w:alias w:val="Subtítulo"/>
        <w:id w:val="14700077"/>
        <w:placeholder>
          <w:docPart w:val="D49657103F1A4F06B68F4F1D40BA7729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A6633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Grupo Edson Queiroz</w:t>
          </w:r>
        </w:p>
      </w:sdtContent>
    </w:sdt>
    <w:p w:rsidR="00A66330">
      <w:pPr>
        <w:pStyle w:val="NoSpacing"/>
        <w:rPr>
          <w:rFonts w:asciiTheme="majorHAnsi" w:eastAsiaTheme="majorEastAsia" w:hAnsiTheme="majorHAnsi" w:cstheme="majorBidi"/>
          <w:sz w:val="36"/>
          <w:szCs w:val="36"/>
        </w:rPr>
      </w:pPr>
    </w:p>
    <w:p w:rsidR="00A66330" w:rsidP="005B04D4">
      <w:pPr>
        <w:pStyle w:val="NoSpacing"/>
        <w:tabs>
          <w:tab w:val="left" w:pos="5580"/>
        </w:tabs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ab/>
      </w:r>
    </w:p>
    <w:p w:rsidR="00A66330">
      <w:pPr>
        <w:pStyle w:val="NoSpacing"/>
      </w:pPr>
    </w:p>
    <w:p w:rsidR="00A66330">
      <w:pPr>
        <w:pStyle w:val="NoSpacing"/>
      </w:pPr>
    </w:p>
    <w:p w:rsidR="00A66330"/>
    <w:p w:rsidR="004F2583" w:rsidP="00EE2776">
      <w:pPr>
        <w:pStyle w:val="Heading4"/>
        <w:spacing w:before="144" w:beforeLines="60" w:after="144" w:afterLines="60" w:line="280" w:lineRule="atLeast"/>
        <w:rPr>
          <w:rFonts w:ascii="Verdana" w:hAnsi="Verdana"/>
          <w:i w:val="0"/>
        </w:rPr>
      </w:pPr>
    </w:p>
    <w:p w:rsidR="004F2583" w:rsidP="004F2583">
      <w:pPr>
        <w:pStyle w:val="Heading4"/>
        <w:tabs>
          <w:tab w:val="left" w:pos="5760"/>
        </w:tabs>
        <w:spacing w:before="144" w:beforeLines="60" w:after="144" w:afterLines="60" w:line="280" w:lineRule="atLeast"/>
        <w:jc w:val="left"/>
      </w:pPr>
      <w:r>
        <w:tab/>
      </w:r>
    </w:p>
    <w:p w:rsidR="001E1B11" w:rsidRPr="00367B4F" w:rsidP="00EE2776">
      <w:pPr>
        <w:pStyle w:val="Heading4"/>
        <w:spacing w:before="144" w:beforeLines="60" w:after="144" w:afterLines="60" w:line="280" w:lineRule="atLeast"/>
        <w:rPr>
          <w:rFonts w:ascii="Verdana" w:hAnsi="Verdana"/>
          <w:i w:val="0"/>
        </w:rPr>
      </w:pPr>
      <w:r>
        <w:rPr>
          <w:rFonts w:asciiTheme="minorHAnsi" w:eastAsiaTheme="majorEastAsia" w:hAnsiTheme="minorHAnsi" w:cstheme="maj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234950</wp:posOffset>
                </wp:positionH>
                <wp:positionV relativeFrom="page">
                  <wp:posOffset>8955874</wp:posOffset>
                </wp:positionV>
                <wp:extent cx="7914862" cy="1505140"/>
                <wp:effectExtent l="0" t="0" r="24130" b="19050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862" cy="15051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8" style="width:623.85pt;height:118.5pt;margin-top:705.2pt;margin-left:18.5pt;mso-height-percent:900;mso-height-relative:top-margin-area;mso-position-horizontal-relative:page;mso-position-vertical-relative:page;mso-width-percent:1050;mso-width-relative:page;mso-wrap-distance-bottom:0;mso-wrap-distance-left:9pt;mso-wrap-distance-right:9pt;mso-wrap-distance-top:0;mso-wrap-style:square;position:absolute;v-text-anchor:top;visibility:visible;z-index:251659264" o:allowincell="f" fillcolor="#4bacc6" strokecolor="#31849b"/>
            </w:pict>
          </mc:Fallback>
        </mc:AlternateContent>
      </w:r>
      <w:r w:rsidRPr="004F2583" w:rsidR="00A66330">
        <w:br w:type="page"/>
      </w:r>
      <w:bookmarkStart w:id="0" w:name="_GoBack"/>
      <w:bookmarkEnd w:id="0"/>
      <w:r w:rsidRPr="00367B4F">
        <w:rPr>
          <w:rFonts w:ascii="Verdana" w:hAnsi="Verdana"/>
          <w:i w:val="0"/>
        </w:rPr>
        <w:t>ÍNDICE</w:t>
      </w:r>
    </w:p>
    <w:p w:rsidR="00B12BCF" w:rsidRPr="00367B4F" w:rsidP="00B12BCF">
      <w:pPr>
        <w:rPr>
          <w:rFonts w:ascii="Verdana" w:hAnsi="Verdana"/>
        </w:rPr>
      </w:pPr>
    </w:p>
    <w:p w:rsidR="00B530B7" w:rsidRPr="00B530B7">
      <w:pPr>
        <w:pStyle w:val="TOC1"/>
        <w:tabs>
          <w:tab w:val="left" w:pos="660"/>
          <w:tab w:val="right" w:leader="dot" w:pos="8495"/>
        </w:tabs>
        <w:rPr>
          <w:rFonts w:ascii="Verdana" w:hAnsi="Verdana" w:eastAsiaTheme="minorEastAsia" w:cstheme="minorBidi"/>
          <w:noProof/>
          <w:sz w:val="20"/>
          <w:szCs w:val="20"/>
          <w:lang w:eastAsia="pt-BR"/>
        </w:rPr>
      </w:pPr>
      <w:r w:rsidRPr="00367B4F">
        <w:rPr>
          <w:rFonts w:ascii="Verdana" w:hAnsi="Verdana"/>
        </w:rPr>
        <w:fldChar w:fldCharType="begin"/>
      </w:r>
      <w:r w:rsidRPr="00367B4F" w:rsidR="00B12BCF">
        <w:rPr>
          <w:rFonts w:ascii="Verdana" w:hAnsi="Verdana"/>
        </w:rPr>
        <w:instrText xml:space="preserve"> TOC \o "1-3" \h \z \u </w:instrText>
      </w:r>
      <w:r w:rsidRPr="00367B4F">
        <w:rPr>
          <w:rFonts w:ascii="Verdana" w:hAnsi="Verdana"/>
        </w:rPr>
        <w:fldChar w:fldCharType="separate"/>
      </w:r>
      <w:hyperlink w:anchor="_Toc328671088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1.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APRESENTAÇÃO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  <w:r w:rsidRPr="00B530B7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B530B7">
          <w:rPr>
            <w:rFonts w:ascii="Verdana" w:hAnsi="Verdana"/>
            <w:noProof/>
            <w:webHidden/>
            <w:sz w:val="20"/>
            <w:szCs w:val="20"/>
          </w:rPr>
          <w:instrText xml:space="preserve"> PAGEREF _Toc328671088 \h </w:instrText>
        </w:r>
        <w:r w:rsidRPr="00B530B7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AC584C">
          <w:rPr>
            <w:rFonts w:ascii="Verdana" w:hAnsi="Verdana"/>
            <w:noProof/>
            <w:webHidden/>
            <w:sz w:val="20"/>
            <w:szCs w:val="20"/>
          </w:rPr>
          <w:t>3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B530B7" w:rsidRPr="00B530B7">
      <w:pPr>
        <w:pStyle w:val="TOC2"/>
        <w:rPr>
          <w:rFonts w:ascii="Verdana" w:hAnsi="Verdana" w:eastAsiaTheme="minorEastAsia" w:cstheme="minorBidi"/>
          <w:noProof/>
          <w:sz w:val="20"/>
          <w:szCs w:val="20"/>
          <w:lang w:eastAsia="pt-BR"/>
        </w:rPr>
      </w:pPr>
      <w:hyperlink w:anchor="_Toc328671089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1.1.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Objetivo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B530B7">
          <w:rPr>
            <w:rFonts w:ascii="Verdana" w:hAnsi="Verdana"/>
            <w:noProof/>
            <w:webHidden/>
            <w:sz w:val="20"/>
            <w:szCs w:val="20"/>
          </w:rPr>
          <w:instrText xml:space="preserve"> PAGEREF _Toc328671089 \h </w:instrText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>
          <w:rPr>
            <w:rFonts w:ascii="Verdana" w:hAnsi="Verdana"/>
            <w:noProof/>
            <w:webHidden/>
            <w:sz w:val="20"/>
            <w:szCs w:val="20"/>
          </w:rPr>
          <w:t>3</w:t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B530B7" w:rsidRPr="00B530B7">
      <w:pPr>
        <w:pStyle w:val="TOC2"/>
        <w:rPr>
          <w:rFonts w:ascii="Verdana" w:hAnsi="Verdana" w:eastAsiaTheme="minorEastAsia" w:cstheme="minorBidi"/>
          <w:noProof/>
          <w:sz w:val="20"/>
          <w:szCs w:val="20"/>
          <w:lang w:eastAsia="pt-BR"/>
        </w:rPr>
      </w:pPr>
      <w:hyperlink w:anchor="_Toc328671090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1.2.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Abrangência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B530B7">
          <w:rPr>
            <w:rFonts w:ascii="Verdana" w:hAnsi="Verdana"/>
            <w:noProof/>
            <w:webHidden/>
            <w:sz w:val="20"/>
            <w:szCs w:val="20"/>
          </w:rPr>
          <w:instrText xml:space="preserve"> PAGEREF _Toc328671090 \h </w:instrText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>
          <w:rPr>
            <w:rFonts w:ascii="Verdana" w:hAnsi="Verdana"/>
            <w:noProof/>
            <w:webHidden/>
            <w:sz w:val="20"/>
            <w:szCs w:val="20"/>
          </w:rPr>
          <w:t>3</w:t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B530B7" w:rsidRPr="00B530B7">
      <w:pPr>
        <w:pStyle w:val="TOC2"/>
        <w:rPr>
          <w:rFonts w:ascii="Verdana" w:hAnsi="Verdana" w:eastAsiaTheme="minorEastAsia" w:cstheme="minorBidi"/>
          <w:noProof/>
          <w:sz w:val="20"/>
          <w:szCs w:val="20"/>
          <w:lang w:eastAsia="pt-BR"/>
        </w:rPr>
      </w:pPr>
      <w:hyperlink w:anchor="_Toc328671091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1.3.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Vigência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B530B7">
          <w:rPr>
            <w:rFonts w:ascii="Verdana" w:hAnsi="Verdana"/>
            <w:noProof/>
            <w:webHidden/>
            <w:sz w:val="20"/>
            <w:szCs w:val="20"/>
          </w:rPr>
          <w:instrText xml:space="preserve"> PAGEREF _Toc328671091 \h </w:instrText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>
          <w:rPr>
            <w:rFonts w:ascii="Verdana" w:hAnsi="Verdana"/>
            <w:noProof/>
            <w:webHidden/>
            <w:sz w:val="20"/>
            <w:szCs w:val="20"/>
          </w:rPr>
          <w:t>3</w:t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B530B7" w:rsidRPr="00B530B7">
      <w:pPr>
        <w:pStyle w:val="TOC2"/>
        <w:rPr>
          <w:rFonts w:ascii="Verdana" w:hAnsi="Verdana" w:eastAsiaTheme="minorEastAsia" w:cstheme="minorBidi"/>
          <w:noProof/>
          <w:sz w:val="20"/>
          <w:szCs w:val="20"/>
          <w:lang w:eastAsia="pt-BR"/>
        </w:rPr>
      </w:pPr>
      <w:hyperlink w:anchor="_Toc328671092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1.4.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Área técnica responsável pela política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B530B7">
          <w:rPr>
            <w:rFonts w:ascii="Verdana" w:hAnsi="Verdana"/>
            <w:noProof/>
            <w:webHidden/>
            <w:sz w:val="20"/>
            <w:szCs w:val="20"/>
          </w:rPr>
          <w:instrText xml:space="preserve"> PAGEREF _Toc328671092 \h </w:instrText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>
          <w:rPr>
            <w:rFonts w:ascii="Verdana" w:hAnsi="Verdana"/>
            <w:noProof/>
            <w:webHidden/>
            <w:sz w:val="20"/>
            <w:szCs w:val="20"/>
          </w:rPr>
          <w:t>3</w:t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B530B7">
      <w:pPr>
        <w:pStyle w:val="TOC2"/>
        <w:rPr>
          <w:rFonts w:ascii="Verdana" w:hAnsi="Verdana"/>
          <w:noProof/>
          <w:sz w:val="20"/>
          <w:szCs w:val="20"/>
        </w:rPr>
      </w:pPr>
      <w:hyperlink w:anchor="_Toc328671093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1.5.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="00F53409">
          <w:rPr>
            <w:rStyle w:val="Hyperlink"/>
            <w:rFonts w:ascii="Verdana" w:hAnsi="Verdana"/>
            <w:noProof/>
            <w:sz w:val="20"/>
            <w:szCs w:val="20"/>
          </w:rPr>
          <w:t>Comitê da Segurança da Informação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B530B7">
          <w:rPr>
            <w:rFonts w:ascii="Verdana" w:hAnsi="Verdana"/>
            <w:noProof/>
            <w:webHidden/>
            <w:sz w:val="20"/>
            <w:szCs w:val="20"/>
          </w:rPr>
          <w:instrText xml:space="preserve"> PAGEREF _Toc328671093 \h </w:instrText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>
          <w:rPr>
            <w:rFonts w:ascii="Verdana" w:hAnsi="Verdana"/>
            <w:noProof/>
            <w:webHidden/>
            <w:sz w:val="20"/>
            <w:szCs w:val="20"/>
          </w:rPr>
          <w:t>3</w:t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F53409" w:rsidP="00F53409">
      <w:pPr>
        <w:pStyle w:val="TOC2"/>
        <w:rPr>
          <w:rFonts w:ascii="Verdana" w:hAnsi="Verdana"/>
          <w:noProof/>
          <w:sz w:val="20"/>
          <w:szCs w:val="20"/>
        </w:rPr>
      </w:pPr>
      <w:hyperlink w:anchor="_Toc328671093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1.</w:t>
        </w:r>
        <w:r>
          <w:rPr>
            <w:rStyle w:val="Hyperlink"/>
            <w:rFonts w:ascii="Verdana" w:hAnsi="Verdana"/>
            <w:noProof/>
            <w:sz w:val="20"/>
            <w:szCs w:val="20"/>
          </w:rPr>
          <w:t>6</w:t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Aprovação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  <w:r w:rsidRPr="00B530B7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B530B7">
          <w:rPr>
            <w:rFonts w:ascii="Verdana" w:hAnsi="Verdana"/>
            <w:noProof/>
            <w:webHidden/>
            <w:sz w:val="20"/>
            <w:szCs w:val="20"/>
          </w:rPr>
          <w:instrText xml:space="preserve"> PAGEREF _Toc328671093 \h </w:instrText>
        </w:r>
        <w:r w:rsidRPr="00B530B7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>
          <w:rPr>
            <w:rFonts w:ascii="Verdana" w:hAnsi="Verdana"/>
            <w:noProof/>
            <w:webHidden/>
            <w:sz w:val="20"/>
            <w:szCs w:val="20"/>
          </w:rPr>
          <w:t>3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B530B7" w:rsidRPr="00B530B7">
      <w:pPr>
        <w:pStyle w:val="TOC1"/>
        <w:tabs>
          <w:tab w:val="left" w:pos="660"/>
          <w:tab w:val="right" w:leader="dot" w:pos="8495"/>
        </w:tabs>
        <w:rPr>
          <w:rFonts w:ascii="Verdana" w:hAnsi="Verdana" w:eastAsiaTheme="minorEastAsia" w:cstheme="minorBidi"/>
          <w:noProof/>
          <w:sz w:val="20"/>
          <w:szCs w:val="20"/>
          <w:lang w:eastAsia="pt-BR"/>
        </w:rPr>
      </w:pPr>
      <w:hyperlink w:anchor="_Toc328671094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2.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CONCEITOS E DEFINIÇÕES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Pr="00B530B7">
          <w:rPr>
            <w:rFonts w:ascii="Verdana" w:hAnsi="Verdana"/>
            <w:noProof/>
            <w:webHidden/>
            <w:sz w:val="20"/>
            <w:szCs w:val="20"/>
          </w:rPr>
          <w:instrText xml:space="preserve"> PAGEREF _Toc328671094 \h </w:instrText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>
          <w:rPr>
            <w:rFonts w:ascii="Verdana" w:hAnsi="Verdana"/>
            <w:noProof/>
            <w:webHidden/>
            <w:sz w:val="20"/>
            <w:szCs w:val="20"/>
          </w:rPr>
          <w:t>4</w:t>
        </w:r>
        <w:r w:rsidRPr="00B530B7" w:rsidR="002A240F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:rsidR="00B530B7" w:rsidRPr="00B530B7">
      <w:pPr>
        <w:pStyle w:val="TOC1"/>
        <w:tabs>
          <w:tab w:val="left" w:pos="660"/>
          <w:tab w:val="right" w:leader="dot" w:pos="8495"/>
        </w:tabs>
        <w:rPr>
          <w:rFonts w:ascii="Verdana" w:hAnsi="Verdana" w:eastAsiaTheme="minorEastAsia" w:cstheme="minorBidi"/>
          <w:noProof/>
          <w:sz w:val="20"/>
          <w:szCs w:val="20"/>
          <w:lang w:eastAsia="pt-BR"/>
        </w:rPr>
      </w:pPr>
      <w:hyperlink w:anchor="_Toc328671095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3.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DOCUMENTOS DE REFERÊNCIA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  <w:r w:rsidR="0023783F">
          <w:rPr>
            <w:rFonts w:ascii="Verdana" w:hAnsi="Verdana"/>
            <w:noProof/>
            <w:webHidden/>
            <w:sz w:val="20"/>
            <w:szCs w:val="20"/>
          </w:rPr>
          <w:t>6</w:t>
        </w:r>
      </w:hyperlink>
    </w:p>
    <w:p w:rsidR="00B530B7" w:rsidRPr="00B530B7">
      <w:pPr>
        <w:pStyle w:val="TOC1"/>
        <w:tabs>
          <w:tab w:val="left" w:pos="660"/>
          <w:tab w:val="right" w:leader="dot" w:pos="8495"/>
        </w:tabs>
        <w:rPr>
          <w:rFonts w:ascii="Verdana" w:hAnsi="Verdana" w:eastAsiaTheme="minorEastAsia" w:cstheme="minorBidi"/>
          <w:noProof/>
          <w:sz w:val="20"/>
          <w:szCs w:val="20"/>
          <w:lang w:eastAsia="pt-BR"/>
        </w:rPr>
      </w:pPr>
      <w:hyperlink w:anchor="_Toc328671096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4.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DIRETRIZES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  <w:r w:rsidR="0023783F">
          <w:rPr>
            <w:rFonts w:ascii="Verdana" w:hAnsi="Verdana"/>
            <w:noProof/>
            <w:webHidden/>
            <w:sz w:val="20"/>
            <w:szCs w:val="20"/>
          </w:rPr>
          <w:t>6</w:t>
        </w:r>
      </w:hyperlink>
    </w:p>
    <w:p w:rsidR="00B530B7" w:rsidRPr="00B530B7">
      <w:pPr>
        <w:pStyle w:val="TOC2"/>
        <w:rPr>
          <w:rFonts w:ascii="Verdana" w:hAnsi="Verdana" w:eastAsiaTheme="minorEastAsia" w:cstheme="minorBidi"/>
          <w:noProof/>
          <w:sz w:val="20"/>
          <w:szCs w:val="20"/>
          <w:lang w:eastAsia="pt-BR"/>
        </w:rPr>
      </w:pPr>
      <w:hyperlink w:anchor="_Toc328671097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4.1.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="00B53770">
          <w:rPr>
            <w:rStyle w:val="Hyperlink"/>
            <w:rFonts w:ascii="Verdana" w:hAnsi="Verdana"/>
            <w:noProof/>
            <w:sz w:val="20"/>
            <w:szCs w:val="20"/>
          </w:rPr>
          <w:t>Gerais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  <w:r w:rsidR="00D03A86">
          <w:rPr>
            <w:rFonts w:ascii="Verdana" w:hAnsi="Verdana"/>
            <w:noProof/>
            <w:webHidden/>
            <w:sz w:val="20"/>
            <w:szCs w:val="20"/>
          </w:rPr>
          <w:t>6</w:t>
        </w:r>
      </w:hyperlink>
    </w:p>
    <w:p w:rsidR="00B530B7">
      <w:pPr>
        <w:pStyle w:val="TOC2"/>
        <w:rPr>
          <w:rFonts w:ascii="Verdana" w:hAnsi="Verdana"/>
          <w:noProof/>
          <w:sz w:val="20"/>
          <w:szCs w:val="20"/>
        </w:rPr>
      </w:pPr>
      <w:hyperlink w:anchor="_Toc328671098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4.2.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="00D87638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>Responsabilidades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</w:hyperlink>
      <w:r w:rsidR="00D03A86">
        <w:rPr>
          <w:rFonts w:ascii="Verdana" w:hAnsi="Verdana"/>
          <w:noProof/>
          <w:sz w:val="20"/>
          <w:szCs w:val="20"/>
        </w:rPr>
        <w:t>9</w:t>
      </w:r>
    </w:p>
    <w:p w:rsidR="00D87638" w:rsidRPr="00B530B7" w:rsidP="00D87638">
      <w:pPr>
        <w:pStyle w:val="TOC2"/>
        <w:rPr>
          <w:rFonts w:ascii="Verdana" w:hAnsi="Verdana" w:eastAsiaTheme="minorEastAsia" w:cstheme="minorBidi"/>
          <w:noProof/>
          <w:sz w:val="20"/>
          <w:szCs w:val="20"/>
          <w:lang w:eastAsia="pt-BR"/>
        </w:rPr>
      </w:pPr>
      <w:hyperlink w:anchor="_Toc328671098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4.</w:t>
        </w:r>
        <w:r>
          <w:rPr>
            <w:rStyle w:val="Hyperlink"/>
            <w:rFonts w:ascii="Verdana" w:hAnsi="Verdana"/>
            <w:noProof/>
            <w:sz w:val="20"/>
            <w:szCs w:val="20"/>
          </w:rPr>
          <w:t>3</w:t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="00222370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>Gestão</w:t>
        </w:r>
        <w:r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 xml:space="preserve"> de Acesso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</w:hyperlink>
      <w:r w:rsidR="00D03A86">
        <w:rPr>
          <w:rFonts w:ascii="Verdana" w:hAnsi="Verdana"/>
          <w:noProof/>
          <w:sz w:val="20"/>
          <w:szCs w:val="20"/>
        </w:rPr>
        <w:t>10</w:t>
      </w:r>
    </w:p>
    <w:p w:rsidR="00B530B7">
      <w:pPr>
        <w:pStyle w:val="TOC2"/>
        <w:rPr>
          <w:rFonts w:ascii="Verdana" w:hAnsi="Verdana"/>
          <w:noProof/>
          <w:sz w:val="20"/>
          <w:szCs w:val="20"/>
        </w:rPr>
      </w:pPr>
      <w:hyperlink w:anchor="_Toc328671099" w:history="1">
        <w:r w:rsidR="00D87638">
          <w:rPr>
            <w:rStyle w:val="Hyperlink"/>
            <w:rFonts w:ascii="Verdana" w:hAnsi="Verdana"/>
            <w:noProof/>
            <w:sz w:val="20"/>
            <w:szCs w:val="20"/>
          </w:rPr>
          <w:t>4.4</w:t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Pr="00222370" w:rsidR="00222370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>Correio Eletrônico(Solução de Colaboração)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</w:hyperlink>
      <w:r w:rsidR="00D03A86">
        <w:rPr>
          <w:rFonts w:ascii="Verdana" w:hAnsi="Verdana"/>
          <w:noProof/>
          <w:sz w:val="20"/>
          <w:szCs w:val="20"/>
        </w:rPr>
        <w:t>11</w:t>
      </w:r>
    </w:p>
    <w:p w:rsidR="004854C6" w:rsidP="004854C6">
      <w:pPr>
        <w:pStyle w:val="TOC2"/>
        <w:rPr>
          <w:rFonts w:ascii="Verdana" w:hAnsi="Verdana"/>
          <w:noProof/>
          <w:sz w:val="20"/>
          <w:szCs w:val="20"/>
        </w:rPr>
      </w:pPr>
      <w:hyperlink w:anchor="_Toc328671098" w:history="1">
        <w:r>
          <w:rPr>
            <w:rStyle w:val="Hyperlink"/>
            <w:rFonts w:ascii="Verdana" w:hAnsi="Verdana"/>
            <w:noProof/>
            <w:sz w:val="20"/>
            <w:szCs w:val="20"/>
          </w:rPr>
          <w:t>4.5</w:t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="006A2CCB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>Internet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</w:hyperlink>
      <w:r w:rsidR="00D03A86">
        <w:rPr>
          <w:rFonts w:ascii="Verdana" w:hAnsi="Verdana"/>
          <w:noProof/>
          <w:sz w:val="20"/>
          <w:szCs w:val="20"/>
        </w:rPr>
        <w:t>11</w:t>
      </w:r>
    </w:p>
    <w:p w:rsidR="004854C6" w:rsidP="004854C6">
      <w:pPr>
        <w:pStyle w:val="TOC2"/>
        <w:rPr>
          <w:rFonts w:ascii="Verdana" w:hAnsi="Verdana"/>
          <w:noProof/>
          <w:sz w:val="20"/>
          <w:szCs w:val="20"/>
        </w:rPr>
      </w:pPr>
      <w:hyperlink w:anchor="_Toc328671098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4.</w:t>
        </w:r>
        <w:r>
          <w:rPr>
            <w:rStyle w:val="Hyperlink"/>
            <w:rFonts w:ascii="Verdana" w:hAnsi="Verdana"/>
            <w:noProof/>
            <w:sz w:val="20"/>
            <w:szCs w:val="20"/>
          </w:rPr>
          <w:t>6</w:t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 w:rsidR="00222370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>Acesso Remoto (VPN)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</w:hyperlink>
      <w:r w:rsidR="00222370">
        <w:rPr>
          <w:rFonts w:ascii="Verdana" w:hAnsi="Verdana"/>
          <w:noProof/>
          <w:sz w:val="20"/>
          <w:szCs w:val="20"/>
        </w:rPr>
        <w:t>11</w:t>
      </w:r>
    </w:p>
    <w:p w:rsidR="000412FA" w:rsidRPr="00B530B7" w:rsidP="000412FA">
      <w:pPr>
        <w:pStyle w:val="TOC2"/>
        <w:rPr>
          <w:rFonts w:ascii="Verdana" w:hAnsi="Verdana" w:eastAsiaTheme="minorEastAsia" w:cstheme="minorBidi"/>
          <w:noProof/>
          <w:sz w:val="20"/>
          <w:szCs w:val="20"/>
          <w:lang w:eastAsia="pt-BR"/>
        </w:rPr>
      </w:pPr>
      <w:hyperlink w:anchor="_Toc328671098" w:history="1"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4.</w:t>
        </w:r>
        <w:r>
          <w:rPr>
            <w:rStyle w:val="Hyperlink"/>
            <w:rFonts w:ascii="Verdana" w:hAnsi="Verdana"/>
            <w:noProof/>
            <w:sz w:val="20"/>
            <w:szCs w:val="20"/>
          </w:rPr>
          <w:t>7</w:t>
        </w:r>
        <w:r w:rsidRPr="00B530B7">
          <w:rPr>
            <w:rStyle w:val="Hyperlink"/>
            <w:rFonts w:ascii="Verdana" w:hAnsi="Verdana"/>
            <w:noProof/>
            <w:sz w:val="20"/>
            <w:szCs w:val="20"/>
          </w:rPr>
          <w:t>.</w:t>
        </w:r>
        <w:r w:rsidRPr="00B530B7"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ab/>
        </w:r>
        <w:r>
          <w:rPr>
            <w:rFonts w:ascii="Verdana" w:hAnsi="Verdana" w:eastAsiaTheme="minorEastAsia" w:cstheme="minorBidi"/>
            <w:noProof/>
            <w:sz w:val="20"/>
            <w:szCs w:val="20"/>
            <w:lang w:eastAsia="pt-BR"/>
          </w:rPr>
          <w:t>Sanções</w:t>
        </w:r>
        <w:r w:rsidRPr="00B530B7">
          <w:rPr>
            <w:rFonts w:ascii="Verdana" w:hAnsi="Verdana"/>
            <w:noProof/>
            <w:webHidden/>
            <w:sz w:val="20"/>
            <w:szCs w:val="20"/>
          </w:rPr>
          <w:tab/>
        </w:r>
      </w:hyperlink>
      <w:r w:rsidR="00D03A86">
        <w:rPr>
          <w:rFonts w:ascii="Verdana" w:hAnsi="Verdana"/>
          <w:noProof/>
          <w:sz w:val="20"/>
          <w:szCs w:val="20"/>
        </w:rPr>
        <w:t>12</w:t>
      </w:r>
    </w:p>
    <w:p w:rsidR="00794844" w:rsidP="00794844">
      <w:pPr>
        <w:pStyle w:val="TOC1"/>
        <w:tabs>
          <w:tab w:val="left" w:pos="6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Verdana" w:hAnsi="Verdana"/>
          <w:noProof/>
          <w:sz w:val="20"/>
          <w:szCs w:val="20"/>
        </w:rPr>
        <w:t>5</w:t>
      </w:r>
      <w:r w:rsidRPr="00360C79">
        <w:t>.</w:t>
      </w:r>
      <w:r w:rsidRPr="00B530B7">
        <w:rPr>
          <w:rFonts w:ascii="Verdana" w:hAnsi="Verdana" w:eastAsiaTheme="minorEastAsia" w:cstheme="minorBidi"/>
          <w:noProof/>
          <w:sz w:val="20"/>
          <w:szCs w:val="20"/>
          <w:lang w:eastAsia="pt-BR"/>
        </w:rPr>
        <w:tab/>
      </w:r>
      <w:r w:rsidR="000412FA">
        <w:t>Exceções</w:t>
      </w:r>
      <w:r w:rsidRPr="00B530B7">
        <w:rPr>
          <w:rFonts w:ascii="Verdana" w:hAnsi="Verdana"/>
          <w:noProof/>
          <w:webHidden/>
          <w:sz w:val="20"/>
          <w:szCs w:val="20"/>
        </w:rPr>
        <w:tab/>
      </w:r>
      <w:r w:rsidR="00D03A86">
        <w:rPr>
          <w:rFonts w:ascii="Verdana" w:hAnsi="Verdana"/>
          <w:noProof/>
          <w:webHidden/>
          <w:sz w:val="20"/>
          <w:szCs w:val="20"/>
        </w:rPr>
        <w:t>12</w:t>
      </w:r>
    </w:p>
    <w:p w:rsidR="00794844" w:rsidRPr="00360C79" w:rsidP="00360C79">
      <w:pPr>
        <w:rPr>
          <w:rFonts w:eastAsiaTheme="minorEastAsia"/>
          <w:lang w:eastAsia="en-US"/>
        </w:rPr>
      </w:pPr>
    </w:p>
    <w:p w:rsidR="00B12BCF" w:rsidRPr="00367B4F">
      <w:pPr>
        <w:rPr>
          <w:rFonts w:ascii="Verdana" w:hAnsi="Verdana"/>
        </w:rPr>
      </w:pPr>
      <w:r w:rsidRPr="00367B4F">
        <w:rPr>
          <w:rFonts w:ascii="Verdana" w:hAnsi="Verdana"/>
        </w:rPr>
        <w:fldChar w:fldCharType="end"/>
      </w:r>
    </w:p>
    <w:p w:rsidR="0089359C" w:rsidRPr="00367B4F" w:rsidP="00EE2776">
      <w:pPr>
        <w:spacing w:before="144" w:beforeLines="60" w:after="144" w:afterLines="60" w:line="280" w:lineRule="atLeast"/>
        <w:jc w:val="both"/>
        <w:rPr>
          <w:rFonts w:ascii="Verdana" w:hAnsi="Verdana"/>
        </w:rPr>
      </w:pPr>
    </w:p>
    <w:p w:rsidR="001E1B11" w:rsidRPr="00367B4F" w:rsidP="001B0E01">
      <w:pPr>
        <w:pStyle w:val="Estilo1"/>
        <w:numPr>
          <w:ilvl w:val="0"/>
          <w:numId w:val="1"/>
        </w:numPr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  <w:outlineLvl w:val="0"/>
      </w:pPr>
      <w:r w:rsidRPr="00367B4F">
        <w:br w:type="page"/>
      </w:r>
      <w:bookmarkStart w:id="1" w:name="_Toc326600083"/>
      <w:bookmarkStart w:id="2" w:name="_Toc328671088"/>
      <w:r w:rsidRPr="00367B4F" w:rsidR="002C2F3B">
        <w:t>APRESENTAÇÃO</w:t>
      </w:r>
      <w:bookmarkEnd w:id="1"/>
      <w:bookmarkEnd w:id="2"/>
    </w:p>
    <w:p w:rsidR="002C2F3B" w:rsidRPr="001B0E01" w:rsidP="001B0E01">
      <w:pPr>
        <w:pStyle w:val="Heading2"/>
        <w:numPr>
          <w:ilvl w:val="1"/>
          <w:numId w:val="1"/>
        </w:numPr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</w:rPr>
      </w:pPr>
      <w:bookmarkStart w:id="3" w:name="_Toc326600084"/>
      <w:bookmarkStart w:id="4" w:name="_Toc328671089"/>
      <w:r w:rsidRPr="001B0E01">
        <w:rPr>
          <w:rFonts w:ascii="Verdana" w:hAnsi="Verdana"/>
          <w:b/>
          <w:sz w:val="20"/>
        </w:rPr>
        <w:t>Objetivo</w:t>
      </w:r>
      <w:bookmarkEnd w:id="3"/>
      <w:bookmarkEnd w:id="4"/>
    </w:p>
    <w:p w:rsidR="00026A9D" w:rsidRPr="001B0E01" w:rsidP="001B0E01">
      <w:pPr>
        <w:pStyle w:val="Default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1B0E01">
        <w:rPr>
          <w:rFonts w:ascii="Verdana" w:hAnsi="Verdana"/>
          <w:sz w:val="20"/>
          <w:szCs w:val="20"/>
        </w:rPr>
        <w:t xml:space="preserve">Esta política tem o objetivo de estabelecer as diretrizes relacionadas à segurança física e lógica das informações do Grupo Edson Queiroz, </w:t>
      </w:r>
      <w:r w:rsidRPr="001B0E01" w:rsidR="0035170B">
        <w:rPr>
          <w:rFonts w:ascii="Verdana" w:hAnsi="Verdana"/>
          <w:sz w:val="20"/>
          <w:szCs w:val="20"/>
        </w:rPr>
        <w:t>e garantir</w:t>
      </w:r>
      <w:r w:rsidRPr="001B0E01">
        <w:rPr>
          <w:rFonts w:ascii="Verdana" w:hAnsi="Verdana"/>
          <w:sz w:val="20"/>
          <w:szCs w:val="20"/>
        </w:rPr>
        <w:t xml:space="preserve"> a confidencialidade,</w:t>
      </w:r>
      <w:r w:rsidRPr="001B0E01" w:rsidR="00206A0A">
        <w:rPr>
          <w:rFonts w:ascii="Verdana" w:hAnsi="Verdana"/>
          <w:sz w:val="20"/>
          <w:szCs w:val="20"/>
        </w:rPr>
        <w:t xml:space="preserve"> integridade, disponibilidade, </w:t>
      </w:r>
      <w:r w:rsidRPr="001B0E01">
        <w:rPr>
          <w:rFonts w:ascii="Verdana" w:hAnsi="Verdana"/>
          <w:sz w:val="20"/>
          <w:szCs w:val="20"/>
        </w:rPr>
        <w:t>autenticidade, responsabilidade</w:t>
      </w:r>
      <w:r w:rsidRPr="001B0E01" w:rsidR="0035170B">
        <w:rPr>
          <w:rFonts w:ascii="Verdana" w:hAnsi="Verdana"/>
          <w:sz w:val="20"/>
          <w:szCs w:val="20"/>
        </w:rPr>
        <w:t xml:space="preserve">, </w:t>
      </w:r>
      <w:r w:rsidRPr="001B0E01" w:rsidR="0035170B">
        <w:rPr>
          <w:rFonts w:ascii="Verdana" w:hAnsi="Verdana"/>
          <w:sz w:val="20"/>
          <w:szCs w:val="20"/>
        </w:rPr>
        <w:t>auditabilidade</w:t>
      </w:r>
      <w:r w:rsidRPr="001B0E01" w:rsidR="0035170B">
        <w:rPr>
          <w:rFonts w:ascii="Verdana" w:hAnsi="Verdana"/>
          <w:sz w:val="20"/>
          <w:szCs w:val="20"/>
        </w:rPr>
        <w:t>, legalidade</w:t>
      </w:r>
      <w:r w:rsidRPr="001B0E01">
        <w:rPr>
          <w:rFonts w:ascii="Verdana" w:hAnsi="Verdana"/>
          <w:sz w:val="20"/>
          <w:szCs w:val="20"/>
        </w:rPr>
        <w:t xml:space="preserve"> e não repúdio</w:t>
      </w:r>
      <w:r w:rsidRPr="001B0E01" w:rsidR="0035170B">
        <w:rPr>
          <w:rFonts w:ascii="Verdana" w:hAnsi="Verdana"/>
          <w:sz w:val="20"/>
          <w:szCs w:val="20"/>
        </w:rPr>
        <w:t>, independente do meio de armazenamento, processamento ou transmissão que seja utilizado</w:t>
      </w:r>
      <w:r w:rsidRPr="001B0E01">
        <w:rPr>
          <w:rFonts w:ascii="Verdana" w:hAnsi="Verdana"/>
          <w:sz w:val="20"/>
          <w:szCs w:val="20"/>
        </w:rPr>
        <w:t xml:space="preserve">. </w:t>
      </w:r>
    </w:p>
    <w:p w:rsidR="002C2F3B" w:rsidRPr="001B0E01" w:rsidP="001B0E01">
      <w:pPr>
        <w:pStyle w:val="Heading2"/>
        <w:numPr>
          <w:ilvl w:val="1"/>
          <w:numId w:val="1"/>
        </w:numPr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</w:rPr>
      </w:pPr>
      <w:bookmarkStart w:id="5" w:name="_Toc326600085"/>
      <w:bookmarkStart w:id="6" w:name="_Toc328671090"/>
      <w:r w:rsidRPr="001B0E01">
        <w:rPr>
          <w:rFonts w:ascii="Verdana" w:hAnsi="Verdana"/>
          <w:b/>
          <w:sz w:val="20"/>
        </w:rPr>
        <w:t>Abrangência</w:t>
      </w:r>
      <w:bookmarkEnd w:id="5"/>
      <w:bookmarkEnd w:id="6"/>
    </w:p>
    <w:p w:rsidR="009D604C" w:rsidRPr="00367B4F" w:rsidP="001B0E01">
      <w:pPr>
        <w:pStyle w:val="Default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1B0E01">
        <w:rPr>
          <w:rFonts w:ascii="Verdana" w:hAnsi="Verdana"/>
          <w:sz w:val="20"/>
          <w:szCs w:val="20"/>
        </w:rPr>
        <w:t>Aplicável a</w:t>
      </w:r>
      <w:r w:rsidRPr="001B0E01" w:rsidR="00C10235">
        <w:rPr>
          <w:rFonts w:ascii="Verdana" w:hAnsi="Verdana"/>
          <w:sz w:val="20"/>
          <w:szCs w:val="20"/>
        </w:rPr>
        <w:t xml:space="preserve"> todas as unidades </w:t>
      </w:r>
      <w:r w:rsidRPr="001B0E01">
        <w:rPr>
          <w:rFonts w:ascii="Verdana" w:hAnsi="Verdana"/>
          <w:sz w:val="20"/>
          <w:szCs w:val="20"/>
        </w:rPr>
        <w:t>de negócios do Grupo Edson Queiroz</w:t>
      </w:r>
      <w:r w:rsidRPr="001B0E01" w:rsidR="00E04407">
        <w:rPr>
          <w:rFonts w:ascii="Verdana" w:hAnsi="Verdana"/>
          <w:sz w:val="20"/>
          <w:szCs w:val="20"/>
        </w:rPr>
        <w:t>.</w:t>
      </w:r>
    </w:p>
    <w:p w:rsidR="002C2F3B" w:rsidRPr="001B0E01" w:rsidP="001B0E01">
      <w:pPr>
        <w:pStyle w:val="Heading2"/>
        <w:numPr>
          <w:ilvl w:val="1"/>
          <w:numId w:val="1"/>
        </w:numPr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</w:rPr>
      </w:pPr>
      <w:bookmarkStart w:id="7" w:name="_Toc326600086"/>
      <w:bookmarkStart w:id="8" w:name="_Toc328671091"/>
      <w:r w:rsidRPr="001B0E01">
        <w:rPr>
          <w:rFonts w:ascii="Verdana" w:hAnsi="Verdana"/>
          <w:b/>
          <w:sz w:val="20"/>
        </w:rPr>
        <w:t>Vigência</w:t>
      </w:r>
      <w:bookmarkEnd w:id="7"/>
      <w:bookmarkEnd w:id="8"/>
    </w:p>
    <w:p w:rsidR="001E1B11" w:rsidRPr="001B0E01" w:rsidP="001B0E01">
      <w:pPr>
        <w:pStyle w:val="Default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334A50">
        <w:rPr>
          <w:rFonts w:ascii="Verdana" w:hAnsi="Verdana"/>
          <w:sz w:val="20"/>
          <w:szCs w:val="20"/>
        </w:rPr>
        <w:t xml:space="preserve">Esta Política terá prazo indeterminado e entrará em vigor a partir da data de sua publicação, com revisão periódica a cada </w:t>
      </w:r>
      <w:r>
        <w:rPr>
          <w:rFonts w:ascii="Verdana" w:hAnsi="Verdana"/>
          <w:sz w:val="20"/>
          <w:szCs w:val="20"/>
        </w:rPr>
        <w:t>6</w:t>
      </w:r>
      <w:r w:rsidRPr="00334A50">
        <w:rPr>
          <w:rFonts w:ascii="Verdana" w:hAnsi="Verdana"/>
          <w:sz w:val="20"/>
          <w:szCs w:val="20"/>
        </w:rPr>
        <w:t xml:space="preserve"> meses ou quando for necessária.</w:t>
      </w:r>
    </w:p>
    <w:p w:rsidR="004A505D" w:rsidRPr="001B0E01" w:rsidP="001B0E01">
      <w:pPr>
        <w:pStyle w:val="Heading2"/>
        <w:numPr>
          <w:ilvl w:val="1"/>
          <w:numId w:val="1"/>
        </w:numPr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</w:rPr>
      </w:pPr>
      <w:bookmarkStart w:id="9" w:name="_Toc326600087"/>
      <w:bookmarkStart w:id="10" w:name="_Toc328671092"/>
      <w:r w:rsidRPr="001B0E01">
        <w:rPr>
          <w:rFonts w:ascii="Verdana" w:hAnsi="Verdana"/>
          <w:b/>
          <w:sz w:val="20"/>
        </w:rPr>
        <w:t>Área técnica responsável pela política</w:t>
      </w:r>
      <w:bookmarkEnd w:id="9"/>
      <w:bookmarkEnd w:id="10"/>
    </w:p>
    <w:p w:rsidR="004A505D" w:rsidRPr="001B0E01" w:rsidP="001B0E01">
      <w:pPr>
        <w:pStyle w:val="Default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1B0E01">
        <w:rPr>
          <w:rFonts w:ascii="Verdana" w:hAnsi="Verdana"/>
          <w:sz w:val="20"/>
          <w:szCs w:val="20"/>
        </w:rPr>
        <w:t>O conteúdo dessa política é de responsabilidade da</w:t>
      </w:r>
      <w:r w:rsidRPr="001B0E01" w:rsidR="00591CDC">
        <w:rPr>
          <w:rFonts w:ascii="Verdana" w:hAnsi="Verdana"/>
          <w:sz w:val="20"/>
          <w:szCs w:val="20"/>
        </w:rPr>
        <w:t xml:space="preserve"> Gerência Geral de TI.</w:t>
      </w:r>
    </w:p>
    <w:p w:rsidR="00725873" w:rsidRPr="001B0E01" w:rsidP="001B0E01">
      <w:pPr>
        <w:pStyle w:val="Heading2"/>
        <w:numPr>
          <w:ilvl w:val="1"/>
          <w:numId w:val="1"/>
        </w:numPr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</w:rPr>
      </w:pPr>
      <w:bookmarkStart w:id="11" w:name="_Toc326600088"/>
      <w:bookmarkStart w:id="12" w:name="_Toc328671093"/>
      <w:r w:rsidRPr="001B0E01">
        <w:rPr>
          <w:rFonts w:ascii="Verdana" w:hAnsi="Verdana"/>
          <w:b/>
          <w:sz w:val="20"/>
        </w:rPr>
        <w:t>Aprovação</w:t>
      </w:r>
      <w:bookmarkEnd w:id="11"/>
      <w:r w:rsidRPr="001B0E01" w:rsidR="006C44BE">
        <w:rPr>
          <w:rFonts w:ascii="Verdana" w:hAnsi="Verdana"/>
          <w:b/>
          <w:sz w:val="20"/>
        </w:rPr>
        <w:t xml:space="preserve"> </w:t>
      </w:r>
      <w:bookmarkEnd w:id="12"/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2"/>
        <w:gridCol w:w="3119"/>
        <w:gridCol w:w="850"/>
      </w:tblGrid>
      <w:tr w:rsidTr="0013332A">
        <w:tblPrEx>
          <w:tblW w:w="76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82"/>
        </w:trPr>
        <w:tc>
          <w:tcPr>
            <w:tcW w:w="3652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:rsidR="00563DC5" w:rsidRPr="00F4052C" w:rsidP="00FE2BA7">
            <w:pPr>
              <w:spacing w:before="100" w:beforeAutospacing="1" w:after="100" w:afterAutospacing="1" w:line="276" w:lineRule="auto"/>
              <w:rPr>
                <w:rFonts w:ascii="Verdana" w:hAnsi="Verdana"/>
              </w:rPr>
            </w:pPr>
            <w:r w:rsidRPr="00F4052C">
              <w:rPr>
                <w:rFonts w:ascii="Verdana" w:hAnsi="Verdana"/>
              </w:rPr>
              <w:t>Abelardo</w:t>
            </w:r>
            <w:r>
              <w:rPr>
                <w:rFonts w:ascii="Verdana" w:hAnsi="Verdana"/>
              </w:rPr>
              <w:t xml:space="preserve"> </w:t>
            </w:r>
            <w:r w:rsidRPr="00F4052C">
              <w:rPr>
                <w:rFonts w:ascii="Verdana" w:hAnsi="Verdana"/>
              </w:rPr>
              <w:t>Rocha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563DC5" w:rsidRPr="00F4052C" w:rsidP="00FE2BA7">
            <w:pPr>
              <w:spacing w:before="100" w:beforeAutospacing="1" w:after="100" w:afterAutospacing="1" w:line="276" w:lineRule="auto"/>
              <w:ind w:right="-934"/>
              <w:rPr>
                <w:rFonts w:ascii="Verdana" w:hAnsi="Verdana"/>
              </w:rPr>
            </w:pPr>
            <w:r w:rsidRPr="00692F1B">
              <w:rPr>
                <w:rFonts w:ascii="Verdana" w:hAnsi="Verdana"/>
              </w:rPr>
              <w:t>Diretor</w:t>
            </w:r>
            <w:r w:rsidR="00FE2BA7">
              <w:rPr>
                <w:rFonts w:ascii="Verdana" w:hAnsi="Verdana"/>
              </w:rPr>
              <w:t>ia</w:t>
            </w:r>
            <w:r w:rsidRPr="00692F1B">
              <w:rPr>
                <w:rFonts w:ascii="Verdana" w:hAnsi="Verdana"/>
              </w:rPr>
              <w:t xml:space="preserve"> Executiv</w:t>
            </w:r>
            <w:r w:rsidR="00FE2BA7">
              <w:rPr>
                <w:rFonts w:ascii="Verdana" w:hAnsi="Verdana"/>
              </w:rPr>
              <w:t>a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563DC5" w:rsidRPr="00BA5076" w:rsidP="00816287">
            <w:pPr>
              <w:spacing w:before="100" w:beforeAutospacing="1" w:after="100" w:afterAutospacing="1" w:line="276" w:lineRule="auto"/>
              <w:ind w:left="459"/>
              <w:rPr>
                <w:rFonts w:ascii="Bookshelf Symbol 7" w:hAnsi="Bookshelf Symbol 7"/>
              </w:rPr>
            </w:pPr>
          </w:p>
        </w:tc>
      </w:tr>
      <w:tr w:rsidTr="0013332A">
        <w:tblPrEx>
          <w:tblW w:w="7621" w:type="dxa"/>
          <w:tblLook w:val="0000"/>
        </w:tblPrEx>
        <w:trPr>
          <w:trHeight w:val="782"/>
        </w:trPr>
        <w:tc>
          <w:tcPr>
            <w:tcW w:w="3652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:rsidR="00816287" w:rsidRPr="00360C79" w:rsidP="00591CDC">
            <w:pPr>
              <w:spacing w:before="100" w:beforeAutospacing="1" w:after="100" w:afterAutospacing="1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Edson Queiroz Neto</w:t>
            </w:r>
          </w:p>
        </w:tc>
        <w:tc>
          <w:tcPr>
            <w:tcW w:w="3119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816287" w:rsidRPr="00360C79" w:rsidP="00FE2BA7">
            <w:pPr>
              <w:spacing w:before="100" w:beforeAutospacing="1" w:after="100" w:afterAutospacing="1" w:line="276" w:lineRule="auto"/>
              <w:ind w:right="-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Diretoria Executiva</w:t>
            </w:r>
            <w:r w:rsidR="00692F1B">
              <w:rPr>
                <w:rFonts w:ascii="Verdana" w:hAnsi="Verdana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816287" w:rsidRPr="00BA5076" w:rsidP="00563DC5">
            <w:pPr>
              <w:spacing w:before="100" w:beforeAutospacing="1" w:after="100" w:afterAutospacing="1" w:line="276" w:lineRule="auto"/>
              <w:rPr>
                <w:rFonts w:ascii="Bookshelf Symbol 7" w:hAnsi="Bookshelf Symbol 7"/>
              </w:rPr>
            </w:pPr>
          </w:p>
        </w:tc>
      </w:tr>
      <w:tr w:rsidTr="0013332A">
        <w:tblPrEx>
          <w:tblW w:w="7621" w:type="dxa"/>
          <w:tblLook w:val="0000"/>
        </w:tblPrEx>
        <w:trPr>
          <w:trHeight w:val="782"/>
        </w:trPr>
        <w:tc>
          <w:tcPr>
            <w:tcW w:w="3652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:rsidR="00124DC5" w:rsidRPr="004F5F89" w:rsidP="00124DC5">
            <w:pPr>
              <w:spacing w:before="100" w:beforeAutospacing="1" w:after="100" w:afterAutospacing="1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Igor Barroso</w:t>
            </w:r>
          </w:p>
        </w:tc>
        <w:tc>
          <w:tcPr>
            <w:tcW w:w="3119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124DC5" w:rsidRPr="004F5F89" w:rsidP="00FE2BA7">
            <w:pPr>
              <w:spacing w:before="100" w:beforeAutospacing="1" w:after="100" w:afterAutospacing="1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Diretoria Executiva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124DC5" w:rsidRPr="00BA5076" w:rsidP="00563DC5">
            <w:pPr>
              <w:spacing w:before="100" w:beforeAutospacing="1" w:after="100" w:afterAutospacing="1" w:line="276" w:lineRule="auto"/>
              <w:rPr>
                <w:rFonts w:ascii="Bookshelf Symbol 7" w:hAnsi="Bookshelf Symbol 7"/>
              </w:rPr>
            </w:pPr>
          </w:p>
        </w:tc>
      </w:tr>
      <w:tr w:rsidTr="0013332A">
        <w:tblPrEx>
          <w:tblW w:w="7621" w:type="dxa"/>
          <w:tblLook w:val="0000"/>
        </w:tblPrEx>
        <w:trPr>
          <w:trHeight w:val="782"/>
        </w:trPr>
        <w:tc>
          <w:tcPr>
            <w:tcW w:w="3652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:rsidR="00124DC5" w:rsidRPr="00F4052C" w:rsidP="00FE2BA7">
            <w:pPr>
              <w:spacing w:before="100" w:beforeAutospacing="1" w:after="100" w:afterAutospacing="1" w:line="276" w:lineRule="auto"/>
              <w:rPr>
                <w:rFonts w:ascii="Verdana" w:hAnsi="Verdana"/>
              </w:rPr>
            </w:pPr>
            <w:r w:rsidRPr="004F5F89">
              <w:rPr>
                <w:rFonts w:ascii="Verdana" w:hAnsi="Verdana"/>
              </w:rPr>
              <w:t>Aélio</w:t>
            </w:r>
            <w:r w:rsidRPr="004F5F89">
              <w:rPr>
                <w:rFonts w:ascii="Verdana" w:hAnsi="Verdana"/>
              </w:rPr>
              <w:t xml:space="preserve"> Silveira</w:t>
            </w:r>
            <w:r w:rsidRPr="00F4052C">
              <w:rPr>
                <w:rFonts w:ascii="Verdana" w:hAnsi="Verdana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124DC5" w:rsidRPr="00F4052C" w:rsidP="00FE2BA7">
            <w:pPr>
              <w:spacing w:before="100" w:beforeAutospacing="1" w:after="100" w:afterAutospacing="1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Gerente Geral de TI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124DC5" w:rsidRPr="00BA5076" w:rsidP="00563DC5">
            <w:pPr>
              <w:spacing w:before="100" w:beforeAutospacing="1" w:after="100" w:afterAutospacing="1" w:line="276" w:lineRule="auto"/>
              <w:rPr>
                <w:rFonts w:ascii="Bookshelf Symbol 7" w:hAnsi="Bookshelf Symbol 7"/>
              </w:rPr>
            </w:pPr>
          </w:p>
        </w:tc>
      </w:tr>
    </w:tbl>
    <w:p w:rsidR="00D71761" w:rsidP="00226FD2">
      <w:pPr>
        <w:pStyle w:val="Estilo1"/>
        <w:numPr>
          <w:ilvl w:val="0"/>
          <w:numId w:val="1"/>
        </w:numPr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  <w:outlineLvl w:val="0"/>
      </w:pPr>
      <w:bookmarkStart w:id="13" w:name="_Toc326600089"/>
      <w:bookmarkStart w:id="14" w:name="_Toc328671094"/>
      <w:r w:rsidRPr="00C2183A">
        <w:t>CONCEITOS E DEFINIÇÕES</w:t>
      </w:r>
      <w:bookmarkEnd w:id="13"/>
      <w:bookmarkEnd w:id="14"/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rFonts w:cs="Tahoma"/>
          <w:i/>
          <w:color w:val="000000"/>
        </w:rPr>
      </w:pPr>
      <w:r w:rsidRPr="00226FD2">
        <w:rPr>
          <w:i/>
        </w:rPr>
        <w:t>Ativos:</w:t>
      </w:r>
      <w:r>
        <w:t xml:space="preserve"> </w:t>
      </w:r>
      <w:r>
        <w:rPr>
          <w:b w:val="0"/>
        </w:rPr>
        <w:t>é</w:t>
      </w:r>
      <w:r w:rsidRPr="00226FD2" w:rsidR="00C2183A">
        <w:rPr>
          <w:b w:val="0"/>
        </w:rPr>
        <w:t xml:space="preserve"> tudo aquilo que tenha valor para empresa. Tais como: ativos de informação, de software e físicos, além de intangíveis (imagem e reputação), serviços, pessoas</w:t>
      </w:r>
      <w:r w:rsidRPr="00C2183A" w:rsidR="00C2183A">
        <w:t>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rFonts w:cs="Tahoma"/>
          <w:i/>
          <w:color w:val="000000"/>
        </w:rPr>
      </w:pPr>
      <w:r w:rsidRPr="00226FD2">
        <w:rPr>
          <w:i/>
        </w:rPr>
        <w:t>Autenticação</w:t>
      </w:r>
      <w:r w:rsidRPr="00226FD2">
        <w:rPr>
          <w:rFonts w:cs="Tahoma"/>
          <w:i/>
          <w:color w:val="000000"/>
        </w:rPr>
        <w:t>:</w:t>
      </w:r>
      <w:r>
        <w:rPr>
          <w:rFonts w:cs="Tahoma"/>
          <w:i/>
          <w:color w:val="000000"/>
        </w:rPr>
        <w:t xml:space="preserve"> </w:t>
      </w:r>
      <w:r>
        <w:rPr>
          <w:b w:val="0"/>
        </w:rPr>
        <w:t>p</w:t>
      </w:r>
      <w:r w:rsidRPr="00226FD2">
        <w:rPr>
          <w:b w:val="0"/>
        </w:rPr>
        <w:t>rocedimento para determinar a identidade de um colaborador que esteja tentando acessar um sistema.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rFonts w:cs="Tahoma"/>
          <w:i/>
          <w:color w:val="000000"/>
        </w:rPr>
      </w:pPr>
      <w:r w:rsidRPr="00226FD2">
        <w:rPr>
          <w:i/>
        </w:rPr>
        <w:t>Autenticidade</w:t>
      </w:r>
      <w:r w:rsidRPr="00226FD2">
        <w:rPr>
          <w:rFonts w:cs="Tahoma"/>
          <w:i/>
          <w:color w:val="000000"/>
        </w:rPr>
        <w:t>:</w:t>
      </w:r>
      <w:r>
        <w:rPr>
          <w:rFonts w:cs="Tahoma"/>
          <w:i/>
          <w:color w:val="000000"/>
        </w:rPr>
        <w:t xml:space="preserve"> </w:t>
      </w:r>
      <w:r w:rsidRPr="00226FD2">
        <w:rPr>
          <w:rFonts w:cs="Tahoma"/>
          <w:b w:val="0"/>
          <w:color w:val="000000"/>
        </w:rPr>
        <w:t>p</w:t>
      </w:r>
      <w:r w:rsidRPr="00226FD2">
        <w:rPr>
          <w:b w:val="0"/>
        </w:rPr>
        <w:t>ropriedade que garante que a informação é proveniente da fonte anunciada e que não foi alvo de mutações ao longo de um processo.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rFonts w:cs="Tahoma"/>
          <w:i/>
          <w:color w:val="000000"/>
        </w:rPr>
      </w:pPr>
      <w:r w:rsidRPr="00226FD2">
        <w:rPr>
          <w:i/>
        </w:rPr>
        <w:t>Backup</w:t>
      </w:r>
      <w:r w:rsidRPr="00226FD2">
        <w:rPr>
          <w:rFonts w:cs="Tahoma"/>
          <w:i/>
          <w:color w:val="000000"/>
        </w:rPr>
        <w:t>:</w:t>
      </w:r>
      <w:r>
        <w:rPr>
          <w:rFonts w:cs="Tahoma"/>
          <w:i/>
          <w:color w:val="000000"/>
        </w:rPr>
        <w:t xml:space="preserve"> </w:t>
      </w:r>
      <w:r w:rsidRPr="00226FD2">
        <w:rPr>
          <w:b w:val="0"/>
        </w:rPr>
        <w:t>t</w:t>
      </w:r>
      <w:r w:rsidRPr="00226FD2">
        <w:rPr>
          <w:b w:val="0"/>
        </w:rPr>
        <w:t>ermo em inglês que tem o significado de cópia de segurança.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rFonts w:cs="Tahoma"/>
          <w:i/>
          <w:color w:val="000000"/>
        </w:rPr>
      </w:pPr>
      <w:r w:rsidRPr="00226FD2">
        <w:rPr>
          <w:i/>
        </w:rPr>
        <w:t>Chave de Acesso</w:t>
      </w:r>
      <w:r w:rsidRPr="00226FD2">
        <w:rPr>
          <w:i/>
        </w:rPr>
        <w:t>:</w:t>
      </w:r>
      <w:r>
        <w:t xml:space="preserve"> </w:t>
      </w:r>
      <w:r w:rsidRPr="00226FD2">
        <w:rPr>
          <w:b w:val="0"/>
        </w:rPr>
        <w:t>i</w:t>
      </w:r>
      <w:r w:rsidRPr="00226FD2">
        <w:rPr>
          <w:b w:val="0"/>
        </w:rPr>
        <w:t>dentificação única através de símbolos ou uma sequência de caracteres usada para identificar um colaborador.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rFonts w:cs="Tahoma"/>
          <w:i/>
          <w:color w:val="000000"/>
        </w:rPr>
      </w:pPr>
      <w:r w:rsidRPr="00226FD2">
        <w:rPr>
          <w:i/>
        </w:rPr>
        <w:t>Colaborador</w:t>
      </w:r>
      <w:r w:rsidRPr="00226FD2">
        <w:rPr>
          <w:rFonts w:cs="Tahoma"/>
          <w:i/>
          <w:color w:val="000000"/>
        </w:rPr>
        <w:t>:</w:t>
      </w:r>
      <w:r>
        <w:rPr>
          <w:rFonts w:cs="Tahoma"/>
          <w:i/>
          <w:color w:val="000000"/>
        </w:rPr>
        <w:t xml:space="preserve"> </w:t>
      </w:r>
      <w:r w:rsidRPr="00226FD2">
        <w:rPr>
          <w:b w:val="0"/>
        </w:rPr>
        <w:t>a</w:t>
      </w:r>
      <w:r w:rsidRPr="00226FD2">
        <w:rPr>
          <w:b w:val="0"/>
        </w:rPr>
        <w:t xml:space="preserve"> palavra “COLABORADOR” inclui o Diretor Executivo, Diretores, Gestores, demais Empregados, Estagiários, Temporários e Terceiros vinculados às Empresas do GEQ.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rFonts w:cs="Tahoma"/>
          <w:i/>
          <w:color w:val="000000"/>
        </w:rPr>
      </w:pPr>
      <w:r w:rsidRPr="00226FD2">
        <w:rPr>
          <w:i/>
        </w:rPr>
        <w:t>Confidencialidade</w:t>
      </w:r>
      <w:r w:rsidRPr="00226FD2">
        <w:rPr>
          <w:rFonts w:cs="Tahoma"/>
          <w:i/>
          <w:color w:val="000000"/>
        </w:rPr>
        <w:t>:</w:t>
      </w:r>
      <w:r>
        <w:rPr>
          <w:rFonts w:cs="Tahoma"/>
          <w:i/>
          <w:color w:val="000000"/>
        </w:rPr>
        <w:t xml:space="preserve"> </w:t>
      </w:r>
      <w:r w:rsidRPr="00226FD2">
        <w:rPr>
          <w:b w:val="0"/>
        </w:rPr>
        <w:t>p</w:t>
      </w:r>
      <w:r w:rsidRPr="00226FD2">
        <w:rPr>
          <w:b w:val="0"/>
        </w:rPr>
        <w:t>ropriedade que limita o acesso a informação tão somente às pessoas devidamente autorizadas, ou seja, àquelas tem a permissão concedida pelo proprietário da informação.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rFonts w:cs="Tahoma"/>
          <w:i/>
          <w:color w:val="000000"/>
        </w:rPr>
      </w:pPr>
      <w:r w:rsidRPr="00226FD2">
        <w:rPr>
          <w:i/>
        </w:rPr>
        <w:t>Data Center</w:t>
      </w:r>
      <w:r w:rsidRPr="00226FD2">
        <w:rPr>
          <w:rFonts w:cs="Tahoma"/>
          <w:i/>
          <w:color w:val="000000"/>
        </w:rPr>
        <w:t>:</w:t>
      </w:r>
      <w:r>
        <w:rPr>
          <w:rFonts w:cs="Tahoma"/>
          <w:i/>
          <w:color w:val="000000"/>
        </w:rPr>
        <w:t xml:space="preserve"> </w:t>
      </w:r>
      <w:r w:rsidRPr="00226FD2">
        <w:rPr>
          <w:b w:val="0"/>
        </w:rPr>
        <w:t>é</w:t>
      </w:r>
      <w:r w:rsidRPr="00226FD2">
        <w:rPr>
          <w:b w:val="0"/>
        </w:rPr>
        <w:t xml:space="preserve"> o local onde são concentrados os equipamentos de processamento e armazenamento de dados de uma empresa ou organização. Também conhecido como CPD - Centro de Processamento de Dados.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rFonts w:cs="Tahoma"/>
          <w:i/>
          <w:color w:val="000000"/>
        </w:rPr>
      </w:pPr>
      <w:r w:rsidRPr="00226FD2">
        <w:rPr>
          <w:i/>
        </w:rPr>
        <w:t>Desastres lógicos e físicos</w:t>
      </w:r>
      <w:r w:rsidRPr="00226FD2">
        <w:rPr>
          <w:rFonts w:cs="Tahoma"/>
          <w:i/>
          <w:color w:val="000000"/>
        </w:rPr>
        <w:t>:</w:t>
      </w:r>
      <w:r>
        <w:rPr>
          <w:rFonts w:cs="Tahoma"/>
          <w:i/>
          <w:color w:val="000000"/>
        </w:rPr>
        <w:t xml:space="preserve"> </w:t>
      </w:r>
      <w:r w:rsidRPr="00226FD2">
        <w:rPr>
          <w:b w:val="0"/>
        </w:rPr>
        <w:t>s</w:t>
      </w:r>
      <w:r w:rsidRPr="00226FD2">
        <w:rPr>
          <w:b w:val="0"/>
        </w:rPr>
        <w:t>ão desastres que podem causar interrupção nos sistemas e na continuidade dos negócios, e geralmente são ocasionados por: incêndio, enchente, terremoto, furacão, interrupção do fornecimento de energia elétrica, sobrecargas elétricas, sabotagem, fraudes, acessos não autorizados e dentre outros.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rFonts w:cs="Tahoma"/>
          <w:i/>
          <w:color w:val="000000"/>
        </w:rPr>
      </w:pPr>
      <w:r w:rsidRPr="00226FD2">
        <w:rPr>
          <w:i/>
        </w:rPr>
        <w:t>Disponibilidade:</w:t>
      </w:r>
      <w:r>
        <w:t xml:space="preserve"> </w:t>
      </w:r>
      <w:r w:rsidRPr="00226FD2">
        <w:rPr>
          <w:b w:val="0"/>
        </w:rPr>
        <w:t>p</w:t>
      </w:r>
      <w:r w:rsidRPr="00226FD2" w:rsidR="00A82801">
        <w:rPr>
          <w:b w:val="0"/>
        </w:rPr>
        <w:t>ropriedade que garante que a informação manipulada mantenha todas as características originais estabelecidas pelo proprietário da informação, incluindo controle de mudanças e garantia do seu ciclo de vida (início, manutenção e destruição).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rFonts w:cs="Tahoma"/>
          <w:i/>
          <w:color w:val="000000"/>
        </w:rPr>
      </w:pPr>
      <w:r w:rsidRPr="00226FD2">
        <w:rPr>
          <w:i/>
        </w:rPr>
        <w:t xml:space="preserve">Dispositivos </w:t>
      </w:r>
      <w:r>
        <w:rPr>
          <w:i/>
        </w:rPr>
        <w:t>m</w:t>
      </w:r>
      <w:r w:rsidRPr="00226FD2">
        <w:rPr>
          <w:i/>
        </w:rPr>
        <w:t>óveis:</w:t>
      </w:r>
      <w:r>
        <w:t xml:space="preserve"> </w:t>
      </w:r>
      <w:r w:rsidRPr="00226FD2">
        <w:rPr>
          <w:b w:val="0"/>
        </w:rPr>
        <w:t>c</w:t>
      </w:r>
      <w:r w:rsidRPr="00226FD2" w:rsidR="00A82801">
        <w:rPr>
          <w:b w:val="0"/>
        </w:rPr>
        <w:t xml:space="preserve">elulares, notebooks, </w:t>
      </w:r>
      <w:r w:rsidRPr="00226FD2" w:rsidR="00A82801">
        <w:rPr>
          <w:b w:val="0"/>
          <w:i/>
        </w:rPr>
        <w:t>tablets</w:t>
      </w:r>
      <w:r w:rsidRPr="00226FD2" w:rsidR="00A82801">
        <w:rPr>
          <w:b w:val="0"/>
        </w:rPr>
        <w:t>, coletor de dados, etc.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rFonts w:cs="Tahoma"/>
          <w:i/>
          <w:color w:val="000000"/>
        </w:rPr>
      </w:pPr>
      <w:r w:rsidRPr="00226FD2">
        <w:rPr>
          <w:i/>
        </w:rPr>
        <w:t>Gestor</w:t>
      </w:r>
      <w:r w:rsidRPr="00226FD2">
        <w:rPr>
          <w:rFonts w:cs="Tahoma"/>
          <w:i/>
          <w:color w:val="000000"/>
        </w:rPr>
        <w:t>:</w:t>
      </w:r>
      <w:r>
        <w:rPr>
          <w:rFonts w:cs="Tahoma"/>
          <w:i/>
          <w:color w:val="000000"/>
        </w:rPr>
        <w:t xml:space="preserve"> </w:t>
      </w:r>
      <w:r w:rsidRPr="00226FD2">
        <w:rPr>
          <w:b w:val="0"/>
        </w:rPr>
        <w:t>Gerentes, Superintendentes, Diretores.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</w:pPr>
      <w:r w:rsidRPr="00226FD2">
        <w:rPr>
          <w:i/>
        </w:rPr>
        <w:t>GEQ</w:t>
      </w:r>
      <w:r w:rsidRPr="00226FD2">
        <w:rPr>
          <w:i/>
        </w:rPr>
        <w:t>:</w:t>
      </w:r>
      <w:r>
        <w:t xml:space="preserve"> </w:t>
      </w:r>
      <w:r w:rsidRPr="00226FD2">
        <w:rPr>
          <w:b w:val="0"/>
        </w:rPr>
        <w:t>Grupo Edson Queiroz</w:t>
      </w:r>
      <w:r w:rsidR="00D76455">
        <w:rPr>
          <w:b w:val="0"/>
        </w:rPr>
        <w:t>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</w:pPr>
      <w:r w:rsidRPr="00226FD2">
        <w:rPr>
          <w:i/>
        </w:rPr>
        <w:t>Informação</w:t>
      </w:r>
      <w:r w:rsidRPr="00226FD2">
        <w:rPr>
          <w:i/>
        </w:rPr>
        <w:t>:</w:t>
      </w:r>
      <w:r>
        <w:t xml:space="preserve"> </w:t>
      </w:r>
      <w:r w:rsidRPr="00226FD2">
        <w:rPr>
          <w:b w:val="0"/>
        </w:rPr>
        <w:t>é</w:t>
      </w:r>
      <w:r w:rsidRPr="00226FD2">
        <w:rPr>
          <w:b w:val="0"/>
        </w:rPr>
        <w:t xml:space="preserve"> um ativo que, como outro qualquer ativo importante para os negócios, tem um valor para a organização e consequentemente necessita ser adequadamente protegido.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</w:pPr>
      <w:r w:rsidRPr="00226FD2">
        <w:rPr>
          <w:i/>
        </w:rPr>
        <w:t>Integridade:</w:t>
      </w:r>
      <w:r>
        <w:t xml:space="preserve"> </w:t>
      </w:r>
      <w:r w:rsidRPr="00226FD2">
        <w:rPr>
          <w:b w:val="0"/>
        </w:rPr>
        <w:t>é</w:t>
      </w:r>
      <w:r w:rsidRPr="00226FD2" w:rsidR="005716E4">
        <w:rPr>
          <w:b w:val="0"/>
        </w:rPr>
        <w:t xml:space="preserve"> a propriedade que a informação não foi modificada ou destruída de maneira não autorizada ou acidental.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</w:pPr>
      <w:r w:rsidRPr="00226FD2">
        <w:rPr>
          <w:i/>
        </w:rPr>
        <w:t>Internet:</w:t>
      </w:r>
      <w:r>
        <w:t xml:space="preserve"> </w:t>
      </w:r>
      <w:r w:rsidRPr="00226FD2">
        <w:rPr>
          <w:b w:val="0"/>
        </w:rPr>
        <w:t>r</w:t>
      </w:r>
      <w:r w:rsidRPr="00226FD2" w:rsidR="00185465">
        <w:rPr>
          <w:b w:val="0"/>
        </w:rPr>
        <w:t>ede mundial que interliga computadores em todo o mundo.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i/>
        </w:rPr>
      </w:pPr>
      <w:r w:rsidRPr="00226FD2">
        <w:rPr>
          <w:i/>
        </w:rPr>
        <w:t>Intranet</w:t>
      </w:r>
      <w:r>
        <w:rPr>
          <w:i/>
        </w:rPr>
        <w:t xml:space="preserve">: </w:t>
      </w:r>
      <w:r w:rsidRPr="00226FD2">
        <w:rPr>
          <w:b w:val="0"/>
        </w:rPr>
        <w:t>r</w:t>
      </w:r>
      <w:r w:rsidRPr="00226FD2" w:rsidR="00290684">
        <w:rPr>
          <w:b w:val="0"/>
        </w:rPr>
        <w:t>ede privada dentro de uma organização que está de acordo com os mesmos padrões da Internet, acessível apenas por membros da organização, empregados ou terceiros com autorização de acesso.</w:t>
      </w:r>
    </w:p>
    <w:p w:rsidR="00226FD2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i/>
        </w:rPr>
      </w:pPr>
      <w:r w:rsidRPr="00226FD2">
        <w:rPr>
          <w:i/>
        </w:rPr>
        <w:t>Log</w:t>
      </w:r>
      <w:r>
        <w:rPr>
          <w:i/>
        </w:rPr>
        <w:t xml:space="preserve">: </w:t>
      </w:r>
      <w:r w:rsidRPr="00226FD2">
        <w:rPr>
          <w:b w:val="0"/>
        </w:rPr>
        <w:t>s</w:t>
      </w:r>
      <w:r w:rsidRPr="00226FD2">
        <w:rPr>
          <w:b w:val="0"/>
        </w:rPr>
        <w:t>ão registros cronológicos de atividades do sistema que possibilitam a reconstrução, revisão e análise dos ambientes e atividades relativas a uma operação, procedimento ou evento, acompanhados do início ao fim.</w:t>
      </w:r>
    </w:p>
    <w:p w:rsidR="003A6286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i/>
        </w:rPr>
      </w:pPr>
      <w:r w:rsidRPr="00226FD2">
        <w:rPr>
          <w:i/>
        </w:rPr>
        <w:t>Não repúdio</w:t>
      </w:r>
      <w:r w:rsidRPr="00226FD2" w:rsidR="00226FD2">
        <w:rPr>
          <w:i/>
        </w:rPr>
        <w:t>:</w:t>
      </w:r>
      <w:r w:rsidR="00226FD2">
        <w:rPr>
          <w:i/>
        </w:rPr>
        <w:t xml:space="preserve"> </w:t>
      </w:r>
      <w:r w:rsidRPr="00226FD2" w:rsidR="00226FD2">
        <w:rPr>
          <w:b w:val="0"/>
        </w:rPr>
        <w:t>g</w:t>
      </w:r>
      <w:r w:rsidRPr="00226FD2">
        <w:rPr>
          <w:b w:val="0"/>
        </w:rPr>
        <w:t>arantir que a transação não pode ser negada aos colaboradores após o acesso.</w:t>
      </w:r>
    </w:p>
    <w:p w:rsidR="003A6286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i/>
        </w:rPr>
      </w:pPr>
      <w:r w:rsidRPr="003A6286">
        <w:rPr>
          <w:i/>
        </w:rPr>
        <w:t xml:space="preserve">Recursos </w:t>
      </w:r>
      <w:r>
        <w:rPr>
          <w:i/>
        </w:rPr>
        <w:t>c</w:t>
      </w:r>
      <w:r w:rsidRPr="003A6286">
        <w:rPr>
          <w:i/>
        </w:rPr>
        <w:t>omputacionais</w:t>
      </w:r>
      <w:r w:rsidRPr="003A6286">
        <w:rPr>
          <w:i/>
        </w:rPr>
        <w:t>:</w:t>
      </w:r>
      <w:r>
        <w:rPr>
          <w:i/>
        </w:rPr>
        <w:t xml:space="preserve"> </w:t>
      </w:r>
      <w:r w:rsidRPr="003A6286">
        <w:rPr>
          <w:b w:val="0"/>
        </w:rPr>
        <w:t>s</w:t>
      </w:r>
      <w:r w:rsidRPr="003A6286">
        <w:rPr>
          <w:b w:val="0"/>
        </w:rPr>
        <w:t>ão entendidos como computadores, notebooks, equipamentos de rede, cabeamento, sistemas, softwares, informações/dados e demais dispositivos integrantes a TI.</w:t>
      </w:r>
    </w:p>
    <w:p w:rsidR="003A6286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i/>
        </w:rPr>
      </w:pPr>
      <w:r>
        <w:t>Responsabilidade</w:t>
      </w:r>
      <w:r>
        <w:t>:</w:t>
      </w:r>
      <w:r>
        <w:t xml:space="preserve"> </w:t>
      </w:r>
      <w:r w:rsidRPr="003A6286">
        <w:rPr>
          <w:b w:val="0"/>
        </w:rPr>
        <w:t>c</w:t>
      </w:r>
      <w:r w:rsidRPr="003A6286">
        <w:rPr>
          <w:b w:val="0"/>
        </w:rPr>
        <w:t>omprometimento dos colaboradores com a integridade da informação e com os ativos da organização</w:t>
      </w:r>
      <w:r>
        <w:rPr>
          <w:b w:val="0"/>
        </w:rPr>
        <w:t>.</w:t>
      </w:r>
    </w:p>
    <w:p w:rsidR="003A6286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i/>
        </w:rPr>
      </w:pPr>
      <w:r w:rsidRPr="003A6286">
        <w:rPr>
          <w:i/>
        </w:rPr>
        <w:t xml:space="preserve">Solução de </w:t>
      </w:r>
      <w:r w:rsidRPr="003A6286">
        <w:rPr>
          <w:i/>
        </w:rPr>
        <w:t>c</w:t>
      </w:r>
      <w:r w:rsidRPr="003A6286">
        <w:rPr>
          <w:i/>
        </w:rPr>
        <w:t>olaboração</w:t>
      </w:r>
      <w:r w:rsidRPr="003A6286">
        <w:rPr>
          <w:i/>
        </w:rPr>
        <w:t>:</w:t>
      </w:r>
      <w:r>
        <w:rPr>
          <w:i/>
        </w:rPr>
        <w:t xml:space="preserve"> </w:t>
      </w:r>
      <w:r w:rsidRPr="003A6286">
        <w:rPr>
          <w:b w:val="0"/>
        </w:rPr>
        <w:t>c</w:t>
      </w:r>
      <w:r w:rsidRPr="003A6286">
        <w:rPr>
          <w:b w:val="0"/>
        </w:rPr>
        <w:t>orreio eletrônico (“e-mail”), Calendário, Agenda, Comunicador Instantâneo, Office Web, Disco Virtual, etc.</w:t>
      </w:r>
    </w:p>
    <w:p w:rsidR="003A6286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i/>
        </w:rPr>
      </w:pPr>
      <w:r w:rsidRPr="003A6286">
        <w:rPr>
          <w:i/>
        </w:rPr>
        <w:t>Superusuário</w:t>
      </w:r>
      <w:r w:rsidRPr="003A6286">
        <w:rPr>
          <w:i/>
        </w:rPr>
        <w:t>:</w:t>
      </w:r>
      <w:r>
        <w:rPr>
          <w:i/>
        </w:rPr>
        <w:t xml:space="preserve"> </w:t>
      </w:r>
      <w:r w:rsidRPr="003A6286">
        <w:rPr>
          <w:b w:val="0"/>
        </w:rPr>
        <w:t>c</w:t>
      </w:r>
      <w:r w:rsidRPr="003A6286">
        <w:rPr>
          <w:b w:val="0"/>
        </w:rPr>
        <w:t>onta de usuário com poder de administrador do sistema. Possui acesso total ao sistema.</w:t>
      </w:r>
    </w:p>
    <w:p w:rsidR="003A6286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i/>
        </w:rPr>
      </w:pPr>
      <w:r w:rsidRPr="003A6286">
        <w:rPr>
          <w:i/>
        </w:rPr>
        <w:t>TI</w:t>
      </w:r>
      <w:r w:rsidRPr="003A6286">
        <w:rPr>
          <w:i/>
        </w:rPr>
        <w:t>:</w:t>
      </w:r>
      <w:r>
        <w:rPr>
          <w:i/>
        </w:rPr>
        <w:t xml:space="preserve"> </w:t>
      </w:r>
      <w:r w:rsidRPr="003A6286">
        <w:rPr>
          <w:b w:val="0"/>
        </w:rPr>
        <w:t>Tecnologia da Informação</w:t>
      </w:r>
      <w:r>
        <w:rPr>
          <w:b w:val="0"/>
        </w:rPr>
        <w:t>.</w:t>
      </w:r>
    </w:p>
    <w:p w:rsidR="003A6286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i/>
        </w:rPr>
      </w:pPr>
      <w:r w:rsidRPr="003A6286">
        <w:rPr>
          <w:i/>
        </w:rPr>
        <w:t>Unidade de negócio</w:t>
      </w:r>
      <w:r w:rsidRPr="003A6286">
        <w:rPr>
          <w:i/>
        </w:rPr>
        <w:t>:</w:t>
      </w:r>
      <w:r w:rsidRPr="003A6286">
        <w:rPr>
          <w:i/>
        </w:rPr>
        <w:t xml:space="preserve"> </w:t>
      </w:r>
      <w:r w:rsidRPr="003A6286">
        <w:rPr>
          <w:b w:val="0"/>
        </w:rPr>
        <w:t>c</w:t>
      </w:r>
      <w:r w:rsidRPr="003A6286">
        <w:rPr>
          <w:b w:val="0"/>
        </w:rPr>
        <w:t>orresponde a cada empresa do Grupo Edson Queiroz, englobando o conjunto de suas respectivas matrizes e filiais.</w:t>
      </w:r>
    </w:p>
    <w:p w:rsidR="00185465" w:rsidRPr="003A6286" w:rsidP="0016375C">
      <w:pPr>
        <w:pStyle w:val="Estilo1"/>
        <w:numPr>
          <w:ilvl w:val="0"/>
          <w:numId w:val="7"/>
        </w:numPr>
        <w:spacing w:before="144" w:after="144"/>
        <w:ind w:left="1418" w:hanging="567"/>
        <w:outlineLvl w:val="0"/>
        <w:rPr>
          <w:i/>
        </w:rPr>
      </w:pPr>
      <w:r w:rsidRPr="0096211E">
        <w:rPr>
          <w:i/>
        </w:rPr>
        <w:t>VPN (Virtual Private Network – Rede Privada Virtual)</w:t>
      </w:r>
      <w:r w:rsidRPr="0096211E" w:rsidR="003A6286">
        <w:rPr>
          <w:i/>
        </w:rPr>
        <w:t>:</w:t>
      </w:r>
      <w:r w:rsidR="003A6286">
        <w:rPr>
          <w:i/>
        </w:rPr>
        <w:t xml:space="preserve"> </w:t>
      </w:r>
      <w:r w:rsidRPr="003A6286" w:rsidR="003A6286">
        <w:rPr>
          <w:b w:val="0"/>
        </w:rPr>
        <w:t>é</w:t>
      </w:r>
      <w:r w:rsidRPr="003A6286">
        <w:rPr>
          <w:b w:val="0"/>
        </w:rPr>
        <w:t xml:space="preserve"> um sistema que permite o acesso privado de comunicação, utilizando de redes públicas já existentes, como por exemplo, a Internet.</w:t>
      </w:r>
    </w:p>
    <w:p w:rsidR="00C2183A" w:rsidP="00C2183A">
      <w:pPr>
        <w:pStyle w:val="Estilo1"/>
        <w:spacing w:before="144" w:after="144"/>
        <w:outlineLvl w:val="0"/>
        <w:rPr>
          <w:b w:val="0"/>
        </w:rPr>
      </w:pPr>
    </w:p>
    <w:p w:rsidR="00CE4069" w:rsidP="00C2183A">
      <w:pPr>
        <w:pStyle w:val="Estilo1"/>
        <w:spacing w:before="144" w:after="144"/>
        <w:outlineLvl w:val="0"/>
        <w:rPr>
          <w:b w:val="0"/>
        </w:rPr>
      </w:pPr>
    </w:p>
    <w:p w:rsidR="00CE4069" w:rsidP="00C2183A">
      <w:pPr>
        <w:pStyle w:val="Estilo1"/>
        <w:spacing w:before="144" w:after="144"/>
        <w:outlineLvl w:val="0"/>
        <w:rPr>
          <w:b w:val="0"/>
        </w:rPr>
      </w:pPr>
    </w:p>
    <w:p w:rsidR="00CE4069" w:rsidRPr="00C2183A" w:rsidP="00C2183A">
      <w:pPr>
        <w:pStyle w:val="Estilo1"/>
        <w:spacing w:before="144" w:after="144"/>
        <w:outlineLvl w:val="0"/>
        <w:rPr>
          <w:b w:val="0"/>
        </w:rPr>
      </w:pPr>
    </w:p>
    <w:p w:rsidR="00257ABE" w:rsidRPr="00D71761" w:rsidP="0016375C">
      <w:pPr>
        <w:pStyle w:val="Estilo1"/>
        <w:numPr>
          <w:ilvl w:val="0"/>
          <w:numId w:val="1"/>
        </w:numPr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  <w:outlineLvl w:val="0"/>
        <w:rPr>
          <w:color w:val="000000"/>
        </w:rPr>
      </w:pPr>
      <w:bookmarkStart w:id="15" w:name="_Toc326600090"/>
      <w:bookmarkStart w:id="16" w:name="_Toc328671095"/>
      <w:r w:rsidRPr="00367B4F">
        <w:t>DOCUMENTOS DE REFERÊNCIA</w:t>
      </w:r>
      <w:bookmarkEnd w:id="15"/>
      <w:bookmarkEnd w:id="16"/>
    </w:p>
    <w:p w:rsidR="00571929" w:rsidRPr="0016375C" w:rsidP="0016375C">
      <w:pPr>
        <w:keepNext/>
        <w:widowControl w:val="0"/>
        <w:suppressAutoHyphens/>
        <w:spacing w:before="120" w:after="120" w:line="240" w:lineRule="atLeast"/>
        <w:jc w:val="both"/>
        <w:rPr>
          <w:rFonts w:ascii="Verdana" w:hAnsi="Verdana" w:cs="Tahoma"/>
          <w:color w:val="000000"/>
        </w:rPr>
      </w:pPr>
      <w:r w:rsidRPr="0016375C">
        <w:rPr>
          <w:rFonts w:ascii="Verdana" w:hAnsi="Verdana" w:cs="Tahoma"/>
          <w:color w:val="000000"/>
        </w:rPr>
        <w:t>Esta p</w:t>
      </w:r>
      <w:r w:rsidRPr="0016375C">
        <w:rPr>
          <w:rFonts w:ascii="Verdana" w:hAnsi="Verdana" w:cs="Tahoma"/>
          <w:color w:val="000000"/>
        </w:rPr>
        <w:t xml:space="preserve">olítica possui </w:t>
      </w:r>
      <w:r w:rsidRPr="0016375C" w:rsidR="00114D36">
        <w:rPr>
          <w:rFonts w:ascii="Verdana" w:hAnsi="Verdana" w:cs="Tahoma"/>
          <w:color w:val="000000"/>
        </w:rPr>
        <w:t>inter-relacionamento</w:t>
      </w:r>
      <w:r w:rsidRPr="0016375C">
        <w:rPr>
          <w:rFonts w:ascii="Verdana" w:hAnsi="Verdana" w:cs="Tahoma"/>
          <w:color w:val="000000"/>
        </w:rPr>
        <w:t xml:space="preserve"> </w:t>
      </w:r>
      <w:r w:rsidRPr="0016375C" w:rsidR="00114D36">
        <w:rPr>
          <w:rFonts w:ascii="Verdana" w:hAnsi="Verdana" w:cs="Tahoma"/>
          <w:color w:val="000000"/>
        </w:rPr>
        <w:t>e/ou faz referência a</w:t>
      </w:r>
      <w:r w:rsidRPr="0016375C">
        <w:rPr>
          <w:rFonts w:ascii="Verdana" w:hAnsi="Verdana" w:cs="Tahoma"/>
          <w:color w:val="000000"/>
        </w:rPr>
        <w:t xml:space="preserve">os </w:t>
      </w:r>
      <w:r w:rsidRPr="0016375C" w:rsidR="00114D36">
        <w:rPr>
          <w:rFonts w:ascii="Verdana" w:hAnsi="Verdana" w:cs="Tahoma"/>
          <w:color w:val="000000"/>
        </w:rPr>
        <w:t>seguintes documentos:</w:t>
      </w:r>
    </w:p>
    <w:p w:rsidR="0016375C" w:rsidP="0016375C">
      <w:pPr>
        <w:numPr>
          <w:ilvl w:val="0"/>
          <w:numId w:val="2"/>
        </w:numPr>
        <w:spacing w:after="120" w:line="240" w:lineRule="atLeast"/>
        <w:ind w:left="1418" w:hanging="568"/>
        <w:jc w:val="both"/>
        <w:rPr>
          <w:rFonts w:ascii="Verdana" w:hAnsi="Verdana"/>
        </w:rPr>
      </w:pPr>
      <w:r>
        <w:rPr>
          <w:rFonts w:ascii="Verdana" w:hAnsi="Verdana"/>
        </w:rPr>
        <w:t>Có</w:t>
      </w:r>
      <w:r w:rsidR="004A505D">
        <w:rPr>
          <w:rFonts w:ascii="Verdana" w:hAnsi="Verdana"/>
        </w:rPr>
        <w:t>digo</w:t>
      </w:r>
      <w:r w:rsidR="00A27202">
        <w:rPr>
          <w:rFonts w:ascii="Verdana" w:hAnsi="Verdana"/>
        </w:rPr>
        <w:t xml:space="preserve"> de</w:t>
      </w:r>
      <w:r>
        <w:rPr>
          <w:rFonts w:ascii="Verdana" w:hAnsi="Verdana"/>
        </w:rPr>
        <w:t xml:space="preserve"> Conduta</w:t>
      </w:r>
      <w:r w:rsidR="00465B24">
        <w:rPr>
          <w:rFonts w:ascii="Verdana" w:hAnsi="Verdana"/>
        </w:rPr>
        <w:t>;</w:t>
      </w:r>
    </w:p>
    <w:p w:rsidR="0016375C" w:rsidP="0016375C">
      <w:pPr>
        <w:numPr>
          <w:ilvl w:val="0"/>
          <w:numId w:val="2"/>
        </w:numPr>
        <w:spacing w:after="120" w:line="240" w:lineRule="atLeast"/>
        <w:ind w:left="1418" w:hanging="568"/>
        <w:jc w:val="both"/>
        <w:rPr>
          <w:rFonts w:ascii="Verdana" w:hAnsi="Verdana"/>
        </w:rPr>
      </w:pPr>
      <w:r w:rsidRPr="0016375C">
        <w:rPr>
          <w:rFonts w:ascii="Verdana" w:hAnsi="Verdana"/>
        </w:rPr>
        <w:t>NBR ISSO/IEC 27002;</w:t>
      </w:r>
    </w:p>
    <w:p w:rsidR="0016375C" w:rsidP="0016375C">
      <w:pPr>
        <w:numPr>
          <w:ilvl w:val="0"/>
          <w:numId w:val="2"/>
        </w:numPr>
        <w:spacing w:after="120" w:line="240" w:lineRule="atLeast"/>
        <w:ind w:left="1418" w:hanging="568"/>
        <w:jc w:val="both"/>
        <w:rPr>
          <w:rFonts w:ascii="Verdana" w:hAnsi="Verdana"/>
        </w:rPr>
      </w:pPr>
      <w:r w:rsidRPr="0016375C">
        <w:rPr>
          <w:rFonts w:ascii="Verdana" w:hAnsi="Verdana"/>
        </w:rPr>
        <w:t>Normas</w:t>
      </w:r>
      <w:r w:rsidRPr="0016375C" w:rsidR="00A27202">
        <w:rPr>
          <w:rFonts w:ascii="Verdana" w:hAnsi="Verdana"/>
        </w:rPr>
        <w:t xml:space="preserve"> da Segurança da Informação;</w:t>
      </w:r>
    </w:p>
    <w:p w:rsidR="0016375C" w:rsidP="0016375C">
      <w:pPr>
        <w:numPr>
          <w:ilvl w:val="0"/>
          <w:numId w:val="2"/>
        </w:numPr>
        <w:spacing w:after="120" w:line="240" w:lineRule="atLeast"/>
        <w:ind w:left="1418" w:hanging="568"/>
        <w:jc w:val="both"/>
        <w:rPr>
          <w:rFonts w:ascii="Verdana" w:hAnsi="Verdana"/>
        </w:rPr>
      </w:pPr>
      <w:r w:rsidRPr="0016375C">
        <w:rPr>
          <w:rFonts w:ascii="Verdana" w:hAnsi="Verdana"/>
        </w:rPr>
        <w:t>P</w:t>
      </w:r>
      <w:r w:rsidRPr="0016375C" w:rsidR="00C4563B">
        <w:rPr>
          <w:rFonts w:ascii="Verdana" w:hAnsi="Verdana"/>
        </w:rPr>
        <w:t>rocedimentos</w:t>
      </w:r>
      <w:r>
        <w:rPr>
          <w:rFonts w:ascii="Verdana" w:hAnsi="Verdana"/>
        </w:rPr>
        <w:t xml:space="preserve"> da Segurança da Informação;</w:t>
      </w:r>
    </w:p>
    <w:p w:rsidR="00475051" w:rsidRPr="0016375C" w:rsidP="0016375C">
      <w:pPr>
        <w:numPr>
          <w:ilvl w:val="0"/>
          <w:numId w:val="2"/>
        </w:numPr>
        <w:spacing w:after="120" w:line="240" w:lineRule="atLeast"/>
        <w:ind w:left="1418" w:hanging="568"/>
        <w:jc w:val="both"/>
        <w:rPr>
          <w:rFonts w:ascii="Verdana" w:hAnsi="Verdana"/>
        </w:rPr>
      </w:pPr>
      <w:r w:rsidRPr="0016375C">
        <w:rPr>
          <w:rFonts w:ascii="Verdana" w:hAnsi="Verdana"/>
        </w:rPr>
        <w:t>Política de Ativo Fixo</w:t>
      </w:r>
      <w:r w:rsidR="0016375C">
        <w:rPr>
          <w:rFonts w:ascii="Verdana" w:hAnsi="Verdana"/>
        </w:rPr>
        <w:t>.</w:t>
      </w:r>
    </w:p>
    <w:p w:rsidR="0023783F" w:rsidRPr="008C0928" w:rsidP="0023783F">
      <w:pPr>
        <w:spacing w:before="60" w:after="60" w:line="280" w:lineRule="atLeast"/>
        <w:ind w:left="1276"/>
        <w:rPr>
          <w:rFonts w:ascii="Verdana" w:hAnsi="Verdana"/>
        </w:rPr>
      </w:pPr>
    </w:p>
    <w:p w:rsidR="00257ABE" w:rsidRPr="00367B4F" w:rsidP="00BC753D">
      <w:pPr>
        <w:pStyle w:val="Estilo1"/>
        <w:numPr>
          <w:ilvl w:val="0"/>
          <w:numId w:val="1"/>
        </w:numPr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  <w:outlineLvl w:val="0"/>
      </w:pPr>
      <w:bookmarkStart w:id="17" w:name="_Toc326600091"/>
      <w:bookmarkStart w:id="18" w:name="_Toc328671096"/>
      <w:r w:rsidRPr="00367B4F">
        <w:t>DIRETRIZES</w:t>
      </w:r>
      <w:bookmarkEnd w:id="17"/>
      <w:bookmarkEnd w:id="18"/>
    </w:p>
    <w:p w:rsidR="00257ABE" w:rsidRPr="00D64031" w:rsidP="00D64031">
      <w:pPr>
        <w:pStyle w:val="Heading2"/>
        <w:numPr>
          <w:ilvl w:val="1"/>
          <w:numId w:val="1"/>
        </w:numPr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</w:rPr>
      </w:pPr>
      <w:bookmarkStart w:id="19" w:name="_Toc326600092"/>
      <w:bookmarkStart w:id="20" w:name="_Toc328671097"/>
      <w:r w:rsidRPr="00D64031">
        <w:rPr>
          <w:rFonts w:ascii="Verdana" w:hAnsi="Verdana"/>
          <w:b/>
          <w:sz w:val="20"/>
        </w:rPr>
        <w:t>Gerais</w:t>
      </w:r>
      <w:bookmarkEnd w:id="19"/>
      <w:bookmarkEnd w:id="20"/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 w:cs="Verdana"/>
        </w:rPr>
        <w:t>O Comitê de Segurança da Informação é um grupo multidisciplinar, aprovado pela Diretoria Executiva que será composto pelo menos por um integrante de cada uma das seguintes áreas: Gerência de Operações e Infraestrutura, Auditoria, Recursos Humanos e Jurídico.</w:t>
      </w:r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</w:rPr>
        <w:t>A segurança da informaç</w:t>
      </w:r>
      <w:r w:rsidRPr="00D64031" w:rsidR="00E04407">
        <w:rPr>
          <w:rFonts w:ascii="Verdana" w:hAnsi="Verdana"/>
        </w:rPr>
        <w:t>ão</w:t>
      </w:r>
      <w:r w:rsidRPr="00D64031">
        <w:rPr>
          <w:rFonts w:ascii="Verdana" w:hAnsi="Verdana"/>
        </w:rPr>
        <w:t xml:space="preserve"> deve ser prioridade em todos os processos implantados, e projetada </w:t>
      </w:r>
      <w:r w:rsidRPr="00D64031" w:rsidR="00796A42">
        <w:rPr>
          <w:rFonts w:ascii="Verdana" w:hAnsi="Verdana"/>
        </w:rPr>
        <w:t>de forma eficaz</w:t>
      </w:r>
      <w:r w:rsidRPr="00D64031">
        <w:rPr>
          <w:rFonts w:ascii="Verdana" w:hAnsi="Verdana"/>
        </w:rPr>
        <w:t xml:space="preserve"> nos novos empreendimentos.</w:t>
      </w:r>
      <w:bookmarkStart w:id="21" w:name="_Ref326659265"/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  <w:color w:val="000000"/>
        </w:rPr>
        <w:t>A informação é um ativo</w:t>
      </w:r>
      <w:r w:rsidRPr="00D64031" w:rsidR="00670EFF">
        <w:rPr>
          <w:rFonts w:ascii="Verdana" w:hAnsi="Verdana"/>
          <w:color w:val="000000"/>
        </w:rPr>
        <w:t xml:space="preserve"> d</w:t>
      </w:r>
      <w:r w:rsidRPr="00D64031">
        <w:rPr>
          <w:rFonts w:ascii="Verdana" w:hAnsi="Verdana"/>
          <w:color w:val="000000"/>
        </w:rPr>
        <w:t>a e</w:t>
      </w:r>
      <w:r w:rsidRPr="00D64031" w:rsidR="002C20B4">
        <w:rPr>
          <w:rFonts w:ascii="Verdana" w:hAnsi="Verdana"/>
          <w:color w:val="000000"/>
        </w:rPr>
        <w:t>mpresa</w:t>
      </w:r>
      <w:r w:rsidRPr="00D64031" w:rsidR="00ED676C">
        <w:rPr>
          <w:rFonts w:ascii="Verdana" w:hAnsi="Verdana"/>
          <w:color w:val="000000"/>
        </w:rPr>
        <w:t xml:space="preserve"> que não deve ser</w:t>
      </w:r>
      <w:r w:rsidRPr="00D64031" w:rsidR="00670EFF">
        <w:rPr>
          <w:rFonts w:ascii="Verdana" w:hAnsi="Verdana"/>
          <w:color w:val="000000"/>
        </w:rPr>
        <w:t xml:space="preserve"> alterada, acessada e/ou destruída indevidamente.</w:t>
      </w:r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  <w:color w:val="000000"/>
        </w:rPr>
        <w:t xml:space="preserve">Todas as </w:t>
      </w:r>
      <w:r w:rsidRPr="00D64031" w:rsidR="00A9139F">
        <w:rPr>
          <w:rFonts w:ascii="Verdana" w:hAnsi="Verdana"/>
          <w:color w:val="000000"/>
        </w:rPr>
        <w:t>instalações</w:t>
      </w:r>
      <w:r w:rsidRPr="00D64031" w:rsidR="00DE5A53">
        <w:rPr>
          <w:rFonts w:ascii="Verdana" w:hAnsi="Verdana"/>
          <w:color w:val="000000"/>
        </w:rPr>
        <w:t xml:space="preserve"> físicas</w:t>
      </w:r>
      <w:r w:rsidRPr="00D64031" w:rsidR="00A9139F">
        <w:rPr>
          <w:rFonts w:ascii="Verdana" w:hAnsi="Verdana"/>
          <w:color w:val="000000"/>
        </w:rPr>
        <w:t>, recursos computacionais</w:t>
      </w:r>
      <w:r w:rsidRPr="00D64031">
        <w:rPr>
          <w:rFonts w:ascii="Verdana" w:hAnsi="Verdana"/>
          <w:color w:val="000000"/>
        </w:rPr>
        <w:t xml:space="preserve"> </w:t>
      </w:r>
      <w:r w:rsidRPr="00D64031" w:rsidR="002F48B3">
        <w:rPr>
          <w:rFonts w:ascii="Verdana" w:hAnsi="Verdana"/>
          <w:color w:val="000000"/>
        </w:rPr>
        <w:t xml:space="preserve">e </w:t>
      </w:r>
      <w:r w:rsidRPr="00D64031" w:rsidR="009E5718">
        <w:rPr>
          <w:rFonts w:ascii="Verdana" w:hAnsi="Verdana"/>
          <w:color w:val="000000"/>
        </w:rPr>
        <w:t>informações nestas</w:t>
      </w:r>
      <w:r w:rsidRPr="00D64031" w:rsidR="002F48B3">
        <w:rPr>
          <w:rFonts w:ascii="Verdana" w:hAnsi="Verdana"/>
          <w:color w:val="000000"/>
        </w:rPr>
        <w:t xml:space="preserve"> armazenadas, processadas e/ou criadas, </w:t>
      </w:r>
      <w:r w:rsidRPr="00D64031">
        <w:rPr>
          <w:rFonts w:ascii="Verdana" w:hAnsi="Verdana"/>
          <w:color w:val="000000"/>
        </w:rPr>
        <w:t>são de propriedade do G</w:t>
      </w:r>
      <w:r w:rsidRPr="00D64031" w:rsidR="00E17DD4">
        <w:rPr>
          <w:rFonts w:ascii="Verdana" w:hAnsi="Verdana"/>
          <w:color w:val="000000"/>
        </w:rPr>
        <w:t>E</w:t>
      </w:r>
      <w:r w:rsidRPr="00D64031">
        <w:rPr>
          <w:rFonts w:ascii="Verdana" w:hAnsi="Verdana"/>
          <w:color w:val="000000"/>
        </w:rPr>
        <w:t>Q</w:t>
      </w:r>
      <w:r w:rsidRPr="00D64031" w:rsidR="00900D86">
        <w:rPr>
          <w:rFonts w:ascii="Verdana" w:hAnsi="Verdana"/>
          <w:color w:val="000000"/>
        </w:rPr>
        <w:t>, que podem</w:t>
      </w:r>
      <w:r w:rsidRPr="00D64031" w:rsidR="003546A7">
        <w:rPr>
          <w:rFonts w:ascii="Verdana" w:hAnsi="Verdana"/>
          <w:color w:val="000000"/>
        </w:rPr>
        <w:t xml:space="preserve"> ser</w:t>
      </w:r>
      <w:r w:rsidRPr="00D64031" w:rsidR="00900D86">
        <w:rPr>
          <w:rFonts w:ascii="Verdana" w:hAnsi="Verdana"/>
          <w:color w:val="000000"/>
        </w:rPr>
        <w:t xml:space="preserve"> </w:t>
      </w:r>
      <w:r w:rsidRPr="00D64031" w:rsidR="00942583">
        <w:rPr>
          <w:rFonts w:ascii="Verdana" w:hAnsi="Verdana"/>
          <w:color w:val="000000"/>
        </w:rPr>
        <w:t>monitora</w:t>
      </w:r>
      <w:r w:rsidRPr="00D64031" w:rsidR="00900D86">
        <w:rPr>
          <w:rFonts w:ascii="Verdana" w:hAnsi="Verdana"/>
          <w:color w:val="000000"/>
        </w:rPr>
        <w:t>dos</w:t>
      </w:r>
      <w:r w:rsidRPr="00D64031" w:rsidR="00942583">
        <w:rPr>
          <w:rFonts w:ascii="Verdana" w:hAnsi="Verdana"/>
          <w:color w:val="000000"/>
        </w:rPr>
        <w:t xml:space="preserve"> e audita</w:t>
      </w:r>
      <w:r w:rsidRPr="00D64031" w:rsidR="00900D86">
        <w:rPr>
          <w:rFonts w:ascii="Verdana" w:hAnsi="Verdana"/>
          <w:color w:val="000000"/>
        </w:rPr>
        <w:t>dos, bem como</w:t>
      </w:r>
      <w:r w:rsidRPr="00D64031" w:rsidR="00A9139F">
        <w:rPr>
          <w:rFonts w:ascii="Verdana" w:hAnsi="Verdana"/>
          <w:color w:val="000000"/>
        </w:rPr>
        <w:t xml:space="preserve"> </w:t>
      </w:r>
      <w:r w:rsidRPr="00D64031" w:rsidR="00942583">
        <w:rPr>
          <w:rFonts w:ascii="Verdana" w:hAnsi="Verdana"/>
          <w:color w:val="000000"/>
        </w:rPr>
        <w:t>os</w:t>
      </w:r>
      <w:r w:rsidRPr="00D64031" w:rsidR="00A9139F">
        <w:rPr>
          <w:rFonts w:ascii="Verdana" w:hAnsi="Verdana"/>
          <w:color w:val="000000"/>
        </w:rPr>
        <w:t xml:space="preserve"> seus</w:t>
      </w:r>
      <w:r w:rsidRPr="00D64031" w:rsidR="00942583">
        <w:rPr>
          <w:rFonts w:ascii="Verdana" w:hAnsi="Verdana"/>
          <w:color w:val="000000"/>
        </w:rPr>
        <w:t xml:space="preserve"> acessos</w:t>
      </w:r>
      <w:r w:rsidRPr="00D64031" w:rsidR="00A9139F">
        <w:rPr>
          <w:rFonts w:ascii="Verdana" w:hAnsi="Verdana"/>
          <w:color w:val="000000"/>
        </w:rPr>
        <w:t xml:space="preserve"> e as suas utilizações.</w:t>
      </w:r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  <w:color w:val="000000"/>
        </w:rPr>
        <w:t xml:space="preserve">Os equipamentos, sistemas e serviços de rede fornecidos pelas unidades organizacionais do GEQ </w:t>
      </w:r>
      <w:r w:rsidRPr="00D64031" w:rsidR="007C0760">
        <w:rPr>
          <w:rFonts w:ascii="Verdana" w:hAnsi="Verdana"/>
          <w:color w:val="000000"/>
        </w:rPr>
        <w:t>são para</w:t>
      </w:r>
      <w:r w:rsidRPr="00D64031">
        <w:rPr>
          <w:rFonts w:ascii="Verdana" w:hAnsi="Verdana"/>
          <w:color w:val="000000"/>
        </w:rPr>
        <w:t xml:space="preserve"> o exercício das funções de seus colaboradores para o uso corporativo, sendo vedada sua utilização para fins pessoais.</w:t>
      </w:r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  <w:color w:val="000000"/>
        </w:rPr>
        <w:t>Todos os</w:t>
      </w:r>
      <w:r w:rsidRPr="00D64031" w:rsidR="00FC3CAE">
        <w:rPr>
          <w:rFonts w:ascii="Verdana" w:hAnsi="Verdana"/>
          <w:color w:val="000000"/>
        </w:rPr>
        <w:t xml:space="preserve"> recursos computacionais do GEQ devem estar </w:t>
      </w:r>
      <w:r w:rsidRPr="00D64031" w:rsidR="00685F32">
        <w:rPr>
          <w:rFonts w:ascii="Verdana" w:hAnsi="Verdana"/>
          <w:color w:val="000000"/>
        </w:rPr>
        <w:t>adequadamente legalizados e em conformidade com as normas</w:t>
      </w:r>
      <w:r w:rsidRPr="00D64031" w:rsidR="002233A8">
        <w:rPr>
          <w:rFonts w:ascii="Verdana" w:hAnsi="Verdana"/>
          <w:color w:val="000000"/>
        </w:rPr>
        <w:t xml:space="preserve"> vinculadas a esta Política.</w:t>
      </w:r>
      <w:r w:rsidRPr="00D64031" w:rsidR="00685F32">
        <w:rPr>
          <w:rFonts w:ascii="Verdana" w:hAnsi="Verdana"/>
          <w:color w:val="000000"/>
        </w:rPr>
        <w:t xml:space="preserve"> </w:t>
      </w:r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  <w:color w:val="000000"/>
        </w:rPr>
        <w:t>É proibido divulgar informações e imagens de propriedade do GEQ ou que estejam sob sua custódia sem autorização prévia do responsável pela informação</w:t>
      </w:r>
      <w:r w:rsidRPr="00D64031" w:rsidR="002C20B4">
        <w:rPr>
          <w:rFonts w:ascii="Verdana" w:hAnsi="Verdana"/>
          <w:color w:val="000000"/>
        </w:rPr>
        <w:t>.</w:t>
      </w:r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  <w:color w:val="000000"/>
        </w:rPr>
        <w:t>Os incidentes de segurança devem ser identificados, monitorados, comunicados e devidamente tratados.</w:t>
      </w:r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  <w:color w:val="000000"/>
        </w:rPr>
        <w:t xml:space="preserve">Todo incidente de segurança da informação deve ser reportado ao e-mail:    </w:t>
      </w:r>
      <w:hyperlink r:id="rId6" w:history="1">
        <w:r w:rsidRPr="00D64031">
          <w:rPr>
            <w:rStyle w:val="Hyperlink"/>
            <w:rFonts w:ascii="Verdana" w:hAnsi="Verdana"/>
          </w:rPr>
          <w:t>seginfo.ti@edsonqueiroz.com.br</w:t>
        </w:r>
      </w:hyperlink>
      <w:r w:rsidRPr="00D64031">
        <w:rPr>
          <w:rFonts w:ascii="Verdana" w:hAnsi="Verdana"/>
          <w:color w:val="000000"/>
        </w:rPr>
        <w:t>, para o devido registro e as providências adequadas.</w:t>
      </w:r>
      <w:bookmarkEnd w:id="21"/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  <w:color w:val="000000"/>
        </w:rPr>
        <w:t xml:space="preserve">Toda informação confidencial deve ser armazenada ou transmitida de forma segura, garantindo </w:t>
      </w:r>
      <w:r w:rsidRPr="00D64031" w:rsidR="00B71E8C">
        <w:rPr>
          <w:rFonts w:ascii="Verdana" w:hAnsi="Verdana"/>
          <w:color w:val="000000"/>
        </w:rPr>
        <w:t>a integridade e a confidencialidade</w:t>
      </w:r>
      <w:r w:rsidRPr="00D64031">
        <w:rPr>
          <w:rFonts w:ascii="Verdana" w:hAnsi="Verdana"/>
          <w:color w:val="000000"/>
        </w:rPr>
        <w:t>.</w:t>
      </w:r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  <w:color w:val="000000"/>
        </w:rPr>
        <w:t>Devem ser mantidas cópias de segurança dos sistemas e informações cor</w:t>
      </w:r>
      <w:r w:rsidRPr="00D64031" w:rsidR="00934681">
        <w:rPr>
          <w:rFonts w:ascii="Verdana" w:hAnsi="Verdana"/>
          <w:color w:val="000000"/>
        </w:rPr>
        <w:t xml:space="preserve">porativas, </w:t>
      </w:r>
      <w:r w:rsidRPr="00D64031">
        <w:rPr>
          <w:rFonts w:ascii="Verdana" w:hAnsi="Verdana"/>
          <w:color w:val="000000"/>
        </w:rPr>
        <w:t>periodicidade e mecanismo de armazenamento adequado</w:t>
      </w:r>
      <w:r w:rsidRPr="00D64031" w:rsidR="00E71323">
        <w:rPr>
          <w:rFonts w:ascii="Verdana" w:hAnsi="Verdana"/>
          <w:color w:val="000000"/>
        </w:rPr>
        <w:t>, conforme a norma e o procedimento de Backup,</w:t>
      </w:r>
      <w:r w:rsidRPr="00D64031">
        <w:rPr>
          <w:rFonts w:ascii="Verdana" w:hAnsi="Verdana"/>
          <w:color w:val="000000"/>
        </w:rPr>
        <w:t xml:space="preserve"> para a proteção dos dados corporativos mesmo em eventual ocorrência de incidente que resulte em destruição completa de um dos Data Centers do GEQ.</w:t>
      </w:r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  <w:color w:val="000000"/>
        </w:rPr>
        <w:t>Toda</w:t>
      </w:r>
      <w:r w:rsidRPr="00D64031" w:rsidR="00A652F8">
        <w:rPr>
          <w:rFonts w:ascii="Verdana" w:hAnsi="Verdana"/>
          <w:color w:val="000000"/>
        </w:rPr>
        <w:t>s</w:t>
      </w:r>
      <w:r w:rsidRPr="00D64031">
        <w:rPr>
          <w:rFonts w:ascii="Verdana" w:hAnsi="Verdana"/>
          <w:color w:val="000000"/>
        </w:rPr>
        <w:t xml:space="preserve"> </w:t>
      </w:r>
      <w:r w:rsidRPr="00D64031" w:rsidR="00A652F8">
        <w:rPr>
          <w:rFonts w:ascii="Verdana" w:hAnsi="Verdana"/>
          <w:color w:val="000000"/>
        </w:rPr>
        <w:t>as alterações nos</w:t>
      </w:r>
      <w:r w:rsidRPr="00D64031">
        <w:rPr>
          <w:rFonts w:ascii="Verdana" w:hAnsi="Verdana"/>
          <w:color w:val="000000"/>
        </w:rPr>
        <w:t xml:space="preserve"> sistema</w:t>
      </w:r>
      <w:r w:rsidRPr="00D64031" w:rsidR="00A652F8">
        <w:rPr>
          <w:rFonts w:ascii="Verdana" w:hAnsi="Verdana"/>
          <w:color w:val="000000"/>
        </w:rPr>
        <w:t>s do GEQ</w:t>
      </w:r>
      <w:r w:rsidRPr="00D64031">
        <w:rPr>
          <w:rFonts w:ascii="Verdana" w:hAnsi="Verdana"/>
          <w:color w:val="000000"/>
        </w:rPr>
        <w:t xml:space="preserve"> deve</w:t>
      </w:r>
      <w:r w:rsidRPr="00D64031" w:rsidR="00A652F8">
        <w:rPr>
          <w:rFonts w:ascii="Verdana" w:hAnsi="Verdana"/>
          <w:color w:val="000000"/>
        </w:rPr>
        <w:t>m</w:t>
      </w:r>
      <w:r w:rsidRPr="00D64031">
        <w:rPr>
          <w:rFonts w:ascii="Verdana" w:hAnsi="Verdana"/>
          <w:color w:val="000000"/>
        </w:rPr>
        <w:t xml:space="preserve"> ser</w:t>
      </w:r>
      <w:r w:rsidRPr="00D64031" w:rsidR="004657A1">
        <w:rPr>
          <w:rFonts w:ascii="Verdana" w:hAnsi="Verdana"/>
          <w:color w:val="000000"/>
        </w:rPr>
        <w:t xml:space="preserve"> realizadas em ambientes de desenvolvimento e </w:t>
      </w:r>
      <w:r w:rsidRPr="00D64031">
        <w:rPr>
          <w:rFonts w:ascii="Verdana" w:hAnsi="Verdana"/>
          <w:color w:val="000000"/>
        </w:rPr>
        <w:t>testad</w:t>
      </w:r>
      <w:r w:rsidRPr="00D64031" w:rsidR="00606295">
        <w:rPr>
          <w:rFonts w:ascii="Verdana" w:hAnsi="Verdana"/>
          <w:color w:val="000000"/>
        </w:rPr>
        <w:t>a</w:t>
      </w:r>
      <w:r w:rsidRPr="00D64031" w:rsidR="00A652F8">
        <w:rPr>
          <w:rFonts w:ascii="Verdana" w:hAnsi="Verdana"/>
          <w:color w:val="000000"/>
        </w:rPr>
        <w:t>s</w:t>
      </w:r>
      <w:r w:rsidRPr="00D64031">
        <w:rPr>
          <w:rFonts w:ascii="Verdana" w:hAnsi="Verdana"/>
          <w:color w:val="000000"/>
        </w:rPr>
        <w:t xml:space="preserve"> em </w:t>
      </w:r>
      <w:r w:rsidRPr="00D64031" w:rsidR="00A652F8">
        <w:rPr>
          <w:rFonts w:ascii="Verdana" w:hAnsi="Verdana"/>
          <w:color w:val="000000"/>
        </w:rPr>
        <w:t>ambiente</w:t>
      </w:r>
      <w:r w:rsidRPr="00D64031" w:rsidR="004657A1">
        <w:rPr>
          <w:rFonts w:ascii="Verdana" w:hAnsi="Verdana"/>
          <w:color w:val="000000"/>
        </w:rPr>
        <w:t>s</w:t>
      </w:r>
      <w:r w:rsidRPr="00D64031" w:rsidR="00A652F8">
        <w:rPr>
          <w:rFonts w:ascii="Verdana" w:hAnsi="Verdana"/>
          <w:color w:val="000000"/>
        </w:rPr>
        <w:t xml:space="preserve"> de</w:t>
      </w:r>
      <w:r w:rsidRPr="00D64031" w:rsidR="004657A1">
        <w:rPr>
          <w:rFonts w:ascii="Verdana" w:hAnsi="Verdana"/>
          <w:color w:val="000000"/>
        </w:rPr>
        <w:t xml:space="preserve"> </w:t>
      </w:r>
      <w:r w:rsidRPr="00D64031" w:rsidR="00A652F8">
        <w:rPr>
          <w:rFonts w:ascii="Verdana" w:hAnsi="Verdana"/>
          <w:color w:val="000000"/>
        </w:rPr>
        <w:t xml:space="preserve">homologação, </w:t>
      </w:r>
      <w:r w:rsidRPr="00D64031" w:rsidR="00223AF6">
        <w:rPr>
          <w:rFonts w:ascii="Verdana" w:hAnsi="Verdana"/>
          <w:color w:val="000000"/>
        </w:rPr>
        <w:t>antes de serem implantadas no ambiente de produção, s</w:t>
      </w:r>
      <w:r w:rsidRPr="00D64031" w:rsidR="001F6B7C">
        <w:rPr>
          <w:rFonts w:ascii="Verdana" w:hAnsi="Verdana"/>
          <w:color w:val="000000"/>
        </w:rPr>
        <w:t>er</w:t>
      </w:r>
      <w:r w:rsidRPr="00D64031" w:rsidR="00223AF6">
        <w:rPr>
          <w:rFonts w:ascii="Verdana" w:hAnsi="Verdana"/>
          <w:color w:val="000000"/>
        </w:rPr>
        <w:t>ão</w:t>
      </w:r>
      <w:r w:rsidRPr="00D64031" w:rsidR="00606295">
        <w:rPr>
          <w:rFonts w:ascii="Verdana" w:hAnsi="Verdana"/>
          <w:color w:val="000000"/>
        </w:rPr>
        <w:t xml:space="preserve"> aprovadas pelo comitê de Ges</w:t>
      </w:r>
      <w:r w:rsidRPr="00D64031" w:rsidR="006E03E2">
        <w:rPr>
          <w:rFonts w:ascii="Verdana" w:hAnsi="Verdana"/>
          <w:color w:val="000000"/>
        </w:rPr>
        <w:t>tão de Mudanças de TI</w:t>
      </w:r>
      <w:r w:rsidRPr="00D64031" w:rsidR="00606295">
        <w:rPr>
          <w:rFonts w:ascii="Verdana" w:hAnsi="Verdana"/>
          <w:color w:val="000000"/>
        </w:rPr>
        <w:t>.</w:t>
      </w:r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</w:rPr>
        <w:t>Todos os sistemas e recursos computacionais devem</w:t>
      </w:r>
      <w:r w:rsidRPr="00D64031" w:rsidR="00704D77">
        <w:rPr>
          <w:rFonts w:ascii="Verdana" w:hAnsi="Verdana"/>
        </w:rPr>
        <w:t xml:space="preserve"> estar livres de</w:t>
      </w:r>
      <w:r w:rsidRPr="00D64031" w:rsidR="001203AA">
        <w:rPr>
          <w:rFonts w:ascii="Verdana" w:hAnsi="Verdana"/>
        </w:rPr>
        <w:t xml:space="preserve"> </w:t>
      </w:r>
      <w:r w:rsidRPr="00D64031">
        <w:rPr>
          <w:rFonts w:ascii="Verdana" w:hAnsi="Verdana"/>
        </w:rPr>
        <w:t>vulnerabilidades que possam comprometer a Segurança das Informações.</w:t>
      </w:r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  <w:color w:val="000000"/>
        </w:rPr>
        <w:t>Todos os colaboradores que utilizarem os dispositivos móveis d</w:t>
      </w:r>
      <w:r w:rsidRPr="00D64031" w:rsidR="008B38BE">
        <w:rPr>
          <w:rFonts w:ascii="Verdana" w:hAnsi="Verdana"/>
          <w:color w:val="000000"/>
        </w:rPr>
        <w:t>e propriedade d</w:t>
      </w:r>
      <w:r w:rsidRPr="00D64031">
        <w:rPr>
          <w:rFonts w:ascii="Verdana" w:hAnsi="Verdana"/>
          <w:color w:val="000000"/>
        </w:rPr>
        <w:t xml:space="preserve">o GEQ são responsáveis pelos </w:t>
      </w:r>
      <w:r w:rsidRPr="00D64031" w:rsidR="008B38BE">
        <w:rPr>
          <w:rFonts w:ascii="Verdana" w:hAnsi="Verdana"/>
          <w:color w:val="000000"/>
        </w:rPr>
        <w:t>equipamentos</w:t>
      </w:r>
      <w:r w:rsidRPr="00D64031" w:rsidR="006B4825">
        <w:rPr>
          <w:rFonts w:ascii="Verdana" w:hAnsi="Verdana"/>
          <w:color w:val="000000"/>
        </w:rPr>
        <w:t xml:space="preserve"> e as</w:t>
      </w:r>
      <w:r w:rsidRPr="00D64031" w:rsidR="003F286F">
        <w:rPr>
          <w:rFonts w:ascii="Verdana" w:hAnsi="Verdana"/>
          <w:color w:val="000000"/>
        </w:rPr>
        <w:t xml:space="preserve"> atualizações dos aplicativos </w:t>
      </w:r>
      <w:r w:rsidRPr="00D64031" w:rsidR="006B4825">
        <w:rPr>
          <w:rFonts w:ascii="Verdana" w:hAnsi="Verdana"/>
          <w:color w:val="000000"/>
        </w:rPr>
        <w:t>que forem necessárias</w:t>
      </w:r>
      <w:r w:rsidRPr="00D64031">
        <w:rPr>
          <w:rFonts w:ascii="Verdana" w:hAnsi="Verdana"/>
          <w:color w:val="000000"/>
        </w:rPr>
        <w:t>.</w:t>
      </w:r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</w:rPr>
        <w:t xml:space="preserve">O bloqueio através </w:t>
      </w:r>
      <w:r w:rsidR="00F57302">
        <w:rPr>
          <w:rFonts w:ascii="Verdana" w:hAnsi="Verdana"/>
        </w:rPr>
        <w:t xml:space="preserve">de </w:t>
      </w:r>
      <w:r w:rsidRPr="00D64031">
        <w:rPr>
          <w:rFonts w:ascii="Verdana" w:hAnsi="Verdana"/>
        </w:rPr>
        <w:t>senha deve ser utilizado em todos os dispositivos móveis que possuírem tal recurso.</w:t>
      </w:r>
    </w:p>
    <w:p w:rsid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  <w:color w:val="000000"/>
        </w:rPr>
        <w:t>A</w:t>
      </w:r>
      <w:r w:rsidRPr="00D64031" w:rsidR="00740901">
        <w:rPr>
          <w:rFonts w:ascii="Verdana" w:hAnsi="Verdana"/>
          <w:color w:val="000000"/>
        </w:rPr>
        <w:t xml:space="preserve"> seu exclusivo critério e conveniência, </w:t>
      </w:r>
      <w:r w:rsidRPr="00D64031" w:rsidR="00991098">
        <w:rPr>
          <w:rFonts w:ascii="Verdana" w:hAnsi="Verdana"/>
          <w:color w:val="000000"/>
        </w:rPr>
        <w:t xml:space="preserve">a área de TI </w:t>
      </w:r>
      <w:r w:rsidRPr="00D64031" w:rsidR="00740901">
        <w:rPr>
          <w:rFonts w:ascii="Verdana" w:hAnsi="Verdana"/>
          <w:color w:val="000000"/>
        </w:rPr>
        <w:t>poderá monitorar e auditar a utilização dos equipamentos, arquivos armazenados e a utilização dos equipamentos corporativos.</w:t>
      </w:r>
    </w:p>
    <w:p w:rsidR="001E1423" w:rsidRPr="00D64031" w:rsidP="00D64031">
      <w:pPr>
        <w:numPr>
          <w:ilvl w:val="2"/>
          <w:numId w:val="1"/>
        </w:numPr>
        <w:tabs>
          <w:tab w:val="clear" w:pos="720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64031">
        <w:rPr>
          <w:rFonts w:ascii="Verdana" w:hAnsi="Verdana"/>
          <w:color w:val="000000"/>
        </w:rPr>
        <w:t>Deverão ser mantidos registros de todas as ações executadas em equipamentos do GEQ que possam ser necessárias para fins de auditoria, verificação e investigação de violações à Política de Segurança</w:t>
      </w:r>
      <w:r w:rsidRPr="00D64031" w:rsidR="00991098">
        <w:rPr>
          <w:rFonts w:ascii="Verdana" w:hAnsi="Verdana"/>
          <w:color w:val="000000"/>
        </w:rPr>
        <w:t xml:space="preserve"> da Informação</w:t>
      </w:r>
      <w:r w:rsidRPr="00D64031">
        <w:rPr>
          <w:rFonts w:ascii="Verdana" w:hAnsi="Verdana"/>
          <w:color w:val="000000"/>
        </w:rPr>
        <w:t xml:space="preserve">, suas normas e procedimentos, para garantir o atendimento de requisitos legais e ordens judiciais. </w:t>
      </w:r>
    </w:p>
    <w:p w:rsidR="003F6F40" w:rsidRPr="00D64031" w:rsidP="00D64031">
      <w:pPr>
        <w:pStyle w:val="Heading2"/>
        <w:numPr>
          <w:ilvl w:val="1"/>
          <w:numId w:val="6"/>
        </w:numPr>
        <w:tabs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</w:rPr>
      </w:pPr>
      <w:r w:rsidRPr="00D64031">
        <w:rPr>
          <w:rFonts w:ascii="Verdana" w:hAnsi="Verdana"/>
          <w:b/>
          <w:sz w:val="20"/>
        </w:rPr>
        <w:t>Responsabilidades</w:t>
      </w:r>
    </w:p>
    <w:p w:rsidR="00D64031" w:rsidRPr="00D64031" w:rsidP="00D64031">
      <w:pPr>
        <w:pStyle w:val="ListParagraph"/>
        <w:numPr>
          <w:ilvl w:val="0"/>
          <w:numId w:val="8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/>
          <w:vanish/>
          <w:color w:val="000000"/>
          <w:sz w:val="20"/>
          <w:szCs w:val="20"/>
          <w:lang w:eastAsia="pt-BR"/>
        </w:rPr>
      </w:pPr>
    </w:p>
    <w:p w:rsidR="00D64031" w:rsidRPr="00D64031" w:rsidP="00D64031">
      <w:pPr>
        <w:pStyle w:val="ListParagraph"/>
        <w:numPr>
          <w:ilvl w:val="0"/>
          <w:numId w:val="8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/>
          <w:vanish/>
          <w:color w:val="000000"/>
          <w:sz w:val="20"/>
          <w:szCs w:val="20"/>
          <w:lang w:eastAsia="pt-BR"/>
        </w:rPr>
      </w:pPr>
    </w:p>
    <w:p w:rsidR="00D64031" w:rsidRPr="00D64031" w:rsidP="00D64031">
      <w:pPr>
        <w:pStyle w:val="ListParagraph"/>
        <w:numPr>
          <w:ilvl w:val="0"/>
          <w:numId w:val="8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/>
          <w:vanish/>
          <w:color w:val="000000"/>
          <w:sz w:val="20"/>
          <w:szCs w:val="20"/>
          <w:lang w:eastAsia="pt-BR"/>
        </w:rPr>
      </w:pPr>
    </w:p>
    <w:p w:rsidR="00D64031" w:rsidRPr="00D64031" w:rsidP="00D64031">
      <w:pPr>
        <w:pStyle w:val="ListParagraph"/>
        <w:numPr>
          <w:ilvl w:val="0"/>
          <w:numId w:val="8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/>
          <w:vanish/>
          <w:color w:val="000000"/>
          <w:sz w:val="20"/>
          <w:szCs w:val="20"/>
          <w:lang w:eastAsia="pt-BR"/>
        </w:rPr>
      </w:pPr>
    </w:p>
    <w:p w:rsidR="00D64031" w:rsidRPr="00D64031" w:rsidP="00D64031">
      <w:pPr>
        <w:pStyle w:val="ListParagraph"/>
        <w:numPr>
          <w:ilvl w:val="1"/>
          <w:numId w:val="8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/>
          <w:vanish/>
          <w:color w:val="000000"/>
          <w:sz w:val="20"/>
          <w:szCs w:val="20"/>
          <w:lang w:eastAsia="pt-BR"/>
        </w:rPr>
      </w:pPr>
    </w:p>
    <w:p w:rsidR="00D64031" w:rsidRPr="00D64031" w:rsidP="00D64031">
      <w:pPr>
        <w:pStyle w:val="ListParagraph"/>
        <w:numPr>
          <w:ilvl w:val="1"/>
          <w:numId w:val="8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/>
          <w:vanish/>
          <w:color w:val="000000"/>
          <w:sz w:val="20"/>
          <w:szCs w:val="20"/>
          <w:lang w:eastAsia="pt-BR"/>
        </w:rPr>
      </w:pPr>
    </w:p>
    <w:p w:rsidR="00D64031" w:rsidP="00D64031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D64031">
        <w:rPr>
          <w:rFonts w:ascii="Verdana" w:hAnsi="Verdana"/>
          <w:color w:val="000000"/>
        </w:rPr>
        <w:t>Colaboradores</w:t>
      </w:r>
    </w:p>
    <w:p w:rsidR="008C37DB" w:rsidP="008C37DB">
      <w:pPr>
        <w:numPr>
          <w:ilvl w:val="3"/>
          <w:numId w:val="6"/>
        </w:numPr>
        <w:tabs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4469C">
        <w:rPr>
          <w:rFonts w:ascii="Verdana" w:hAnsi="Verdana" w:cs="Verdana"/>
        </w:rPr>
        <w:t>Todo colaborador deve conhecer e seguir a Política de Segurança da Informação, suas Normas e os Procedimentos.</w:t>
      </w:r>
    </w:p>
    <w:p w:rsidR="008C37DB" w:rsidRPr="008C37DB" w:rsidP="008C37DB">
      <w:pPr>
        <w:numPr>
          <w:ilvl w:val="3"/>
          <w:numId w:val="6"/>
        </w:numPr>
        <w:tabs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8C37DB">
        <w:rPr>
          <w:rFonts w:ascii="Verdana" w:hAnsi="Verdana" w:cs="Verdana"/>
        </w:rPr>
        <w:t xml:space="preserve">Todos os colaboradores que </w:t>
      </w:r>
      <w:r w:rsidRPr="008C37DB" w:rsidR="00223AF6">
        <w:rPr>
          <w:rFonts w:ascii="Verdana" w:hAnsi="Verdana" w:cs="Verdana"/>
        </w:rPr>
        <w:t>possuam</w:t>
      </w:r>
      <w:r w:rsidRPr="008C37DB">
        <w:rPr>
          <w:rFonts w:ascii="Verdana" w:hAnsi="Verdana" w:cs="Verdana"/>
        </w:rPr>
        <w:t xml:space="preserve"> acesso ou utilizam os </w:t>
      </w:r>
      <w:r w:rsidRPr="008C37DB" w:rsidR="00C40C4A">
        <w:rPr>
          <w:rFonts w:ascii="Verdana" w:hAnsi="Verdana" w:cs="Verdana"/>
        </w:rPr>
        <w:t>recursos computacionais</w:t>
      </w:r>
      <w:r w:rsidRPr="008C37DB">
        <w:rPr>
          <w:rFonts w:ascii="Verdana" w:hAnsi="Verdana" w:cs="Verdana"/>
        </w:rPr>
        <w:t xml:space="preserve"> do GEQ, devem estar conscientes dos limites que existem para o uso das informações e dos ativos associados ao </w:t>
      </w:r>
      <w:r w:rsidRPr="008C37DB" w:rsidR="00991098">
        <w:rPr>
          <w:rFonts w:ascii="Verdana" w:hAnsi="Verdana" w:cs="Verdana"/>
        </w:rPr>
        <w:t>GEQ</w:t>
      </w:r>
      <w:r w:rsidRPr="008C37DB">
        <w:rPr>
          <w:rFonts w:ascii="Verdana" w:hAnsi="Verdana" w:cs="Verdana"/>
        </w:rPr>
        <w:t xml:space="preserve">, além de serem responsáveis pelo uso de quaisquer recursos de processamento da </w:t>
      </w:r>
      <w:r w:rsidRPr="008C37DB">
        <w:rPr>
          <w:rFonts w:ascii="Verdana" w:hAnsi="Verdana" w:cs="Verdana"/>
        </w:rPr>
        <w:t>informação e quaisquer outros usos conduzidos sob as suas responsabilidades.</w:t>
      </w:r>
    </w:p>
    <w:p w:rsidR="008C37DB" w:rsidRPr="008C37DB" w:rsidP="008C37DB">
      <w:pPr>
        <w:numPr>
          <w:ilvl w:val="3"/>
          <w:numId w:val="6"/>
        </w:numPr>
        <w:tabs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8C37DB">
        <w:rPr>
          <w:rFonts w:ascii="Verdana" w:hAnsi="Verdana" w:cs="Verdana"/>
        </w:rPr>
        <w:t xml:space="preserve">Não enviar, armazenar e/ou manusear material que caracterize: promoção, divulgação ou incentivo a ameaças, difamação ou assédio a outras pessoas; assuntos de caráter obsceno, prática de qualquer tipo de discriminação relativa </w:t>
      </w:r>
      <w:r w:rsidRPr="008C37DB" w:rsidR="006A1BA8">
        <w:rPr>
          <w:rFonts w:ascii="Verdana" w:hAnsi="Verdana" w:cs="Verdana"/>
        </w:rPr>
        <w:t>à</w:t>
      </w:r>
      <w:r w:rsidRPr="008C37DB">
        <w:rPr>
          <w:rFonts w:ascii="Verdana" w:hAnsi="Verdana" w:cs="Verdana"/>
        </w:rPr>
        <w:t xml:space="preserve"> raça, sexo ou credo religioso; distribuição de qualquer material que caracterize pornografia, pedofilia, </w:t>
      </w:r>
      <w:r w:rsidRPr="008C37DB" w:rsidR="001E1423">
        <w:rPr>
          <w:rFonts w:ascii="Verdana" w:hAnsi="Verdana" w:cs="Verdana"/>
        </w:rPr>
        <w:t>a</w:t>
      </w:r>
      <w:r w:rsidRPr="008C37DB">
        <w:rPr>
          <w:rFonts w:ascii="Verdana" w:hAnsi="Verdana" w:cs="Verdana"/>
        </w:rPr>
        <w:t>tentado ao pudor, violação de direito autoral garantido por lei.</w:t>
      </w:r>
    </w:p>
    <w:p w:rsidR="00DD028D" w:rsidRPr="008C37DB" w:rsidP="008C37DB">
      <w:pPr>
        <w:numPr>
          <w:ilvl w:val="3"/>
          <w:numId w:val="6"/>
        </w:numPr>
        <w:tabs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8C37DB">
        <w:rPr>
          <w:rFonts w:ascii="Verdana" w:hAnsi="Verdana"/>
        </w:rPr>
        <w:t xml:space="preserve">Em caso de roubo, dano ou perda de todos os </w:t>
      </w:r>
      <w:r w:rsidRPr="008C37DB" w:rsidR="001248C5">
        <w:rPr>
          <w:rFonts w:ascii="Verdana" w:hAnsi="Verdana"/>
        </w:rPr>
        <w:t>dispositivos</w:t>
      </w:r>
      <w:r w:rsidRPr="008C37DB">
        <w:rPr>
          <w:rFonts w:ascii="Verdana" w:hAnsi="Verdana"/>
        </w:rPr>
        <w:t xml:space="preserve"> de TI</w:t>
      </w:r>
      <w:r w:rsidRPr="008C37DB" w:rsidR="001248C5">
        <w:rPr>
          <w:rFonts w:ascii="Verdana" w:hAnsi="Verdana"/>
        </w:rPr>
        <w:t xml:space="preserve">, </w:t>
      </w:r>
      <w:r w:rsidRPr="008C37DB">
        <w:rPr>
          <w:rFonts w:ascii="Verdana" w:hAnsi="Verdana"/>
        </w:rPr>
        <w:t xml:space="preserve">o colaborador deverá seguir o que estabelece </w:t>
      </w:r>
      <w:r w:rsidR="00B7178C">
        <w:rPr>
          <w:rFonts w:ascii="Verdana" w:hAnsi="Verdana"/>
        </w:rPr>
        <w:t>n</w:t>
      </w:r>
      <w:r w:rsidRPr="008C37DB">
        <w:rPr>
          <w:rFonts w:ascii="Verdana" w:hAnsi="Verdana"/>
        </w:rPr>
        <w:t>o item 4.12 da Política de Ativo Fixo</w:t>
      </w:r>
      <w:r w:rsidRPr="008C37DB" w:rsidR="00B65355">
        <w:rPr>
          <w:rFonts w:ascii="Verdana" w:hAnsi="Verdana"/>
        </w:rPr>
        <w:t>.</w:t>
      </w:r>
    </w:p>
    <w:p w:rsidR="003F6F40" w:rsidRPr="008C37DB" w:rsidP="008C37DB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b/>
        </w:rPr>
      </w:pPr>
      <w:r w:rsidRPr="008C37DB">
        <w:rPr>
          <w:rFonts w:ascii="Verdana" w:hAnsi="Verdana"/>
          <w:color w:val="000000"/>
        </w:rPr>
        <w:t>Área de Tecnologia da Informação</w:t>
      </w:r>
    </w:p>
    <w:p w:rsidR="008C37DB" w:rsidRPr="008C37DB" w:rsidP="008C37DB">
      <w:pPr>
        <w:pStyle w:val="ListParagraph"/>
        <w:numPr>
          <w:ilvl w:val="0"/>
          <w:numId w:val="9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 w:cs="Verdana"/>
          <w:vanish/>
          <w:sz w:val="20"/>
          <w:szCs w:val="20"/>
          <w:lang w:eastAsia="pt-BR"/>
        </w:rPr>
      </w:pPr>
    </w:p>
    <w:p w:rsidR="008C37DB" w:rsidRPr="008C37DB" w:rsidP="008C37DB">
      <w:pPr>
        <w:pStyle w:val="ListParagraph"/>
        <w:numPr>
          <w:ilvl w:val="2"/>
          <w:numId w:val="9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 w:cs="Verdana"/>
          <w:vanish/>
          <w:sz w:val="20"/>
          <w:szCs w:val="20"/>
          <w:lang w:eastAsia="pt-BR"/>
        </w:rPr>
      </w:pPr>
    </w:p>
    <w:p w:rsidR="008C37DB" w:rsidRPr="008C37DB" w:rsidP="008C37DB">
      <w:pPr>
        <w:pStyle w:val="ListParagraph"/>
        <w:numPr>
          <w:ilvl w:val="2"/>
          <w:numId w:val="6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/>
          <w:vanish/>
          <w:sz w:val="20"/>
          <w:szCs w:val="20"/>
          <w:lang w:eastAsia="pt-BR"/>
        </w:rPr>
      </w:pPr>
    </w:p>
    <w:p w:rsidR="006572D9" w:rsidRPr="006572D9" w:rsidP="006572D9">
      <w:pPr>
        <w:numPr>
          <w:ilvl w:val="3"/>
          <w:numId w:val="6"/>
        </w:numPr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6572D9">
        <w:rPr>
          <w:rFonts w:ascii="Verdana" w:hAnsi="Verdana"/>
        </w:rPr>
        <w:t>Adotar medidas para detectar e coibir o uso não autorizado e inadequado de credenciais administrativas (ou com privilégios “</w:t>
      </w:r>
      <w:r w:rsidRPr="006572D9">
        <w:rPr>
          <w:rFonts w:ascii="Verdana" w:hAnsi="Verdana"/>
        </w:rPr>
        <w:t>super-usuário</w:t>
      </w:r>
      <w:r w:rsidRPr="006572D9">
        <w:rPr>
          <w:rFonts w:ascii="Verdana" w:hAnsi="Verdana"/>
        </w:rPr>
        <w:t>”), assegurando a proteção adequada dos ativos sob sua custódia.</w:t>
      </w:r>
    </w:p>
    <w:p w:rsidR="006572D9" w:rsidRPr="006572D9" w:rsidP="006572D9">
      <w:pPr>
        <w:numPr>
          <w:ilvl w:val="3"/>
          <w:numId w:val="6"/>
        </w:numPr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6572D9">
        <w:rPr>
          <w:rFonts w:ascii="Verdana" w:hAnsi="Verdana"/>
        </w:rPr>
        <w:t>Todos</w:t>
      </w:r>
      <w:r w:rsidRPr="006572D9" w:rsidR="00C703E1">
        <w:rPr>
          <w:rFonts w:ascii="Verdana" w:hAnsi="Verdana"/>
        </w:rPr>
        <w:t xml:space="preserve"> os tipos de acessos </w:t>
      </w:r>
      <w:r w:rsidRPr="006572D9" w:rsidR="004B3E53">
        <w:rPr>
          <w:rFonts w:ascii="Verdana" w:hAnsi="Verdana"/>
        </w:rPr>
        <w:t>solicitados</w:t>
      </w:r>
      <w:r w:rsidRPr="006572D9">
        <w:rPr>
          <w:rFonts w:ascii="Verdana" w:hAnsi="Verdana"/>
        </w:rPr>
        <w:t xml:space="preserve"> devem ser liberados</w:t>
      </w:r>
      <w:r w:rsidRPr="006572D9" w:rsidR="004B3E53">
        <w:rPr>
          <w:rFonts w:ascii="Verdana" w:hAnsi="Verdana"/>
        </w:rPr>
        <w:t xml:space="preserve"> </w:t>
      </w:r>
      <w:r w:rsidRPr="006572D9" w:rsidR="001715C1">
        <w:rPr>
          <w:rFonts w:ascii="Verdana" w:hAnsi="Verdana"/>
        </w:rPr>
        <w:t>somente após</w:t>
      </w:r>
      <w:r w:rsidRPr="006572D9" w:rsidR="00C703E1">
        <w:rPr>
          <w:rFonts w:ascii="Verdana" w:hAnsi="Verdana"/>
        </w:rPr>
        <w:t xml:space="preserve"> a autorização do gestor responsável</w:t>
      </w:r>
      <w:r w:rsidRPr="006572D9" w:rsidR="00C154D0">
        <w:rPr>
          <w:rFonts w:ascii="Verdana" w:hAnsi="Verdana"/>
        </w:rPr>
        <w:t>.</w:t>
      </w:r>
    </w:p>
    <w:p w:rsidR="006572D9" w:rsidRPr="006572D9" w:rsidP="006572D9">
      <w:pPr>
        <w:numPr>
          <w:ilvl w:val="3"/>
          <w:numId w:val="6"/>
        </w:numPr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6572D9">
        <w:rPr>
          <w:rFonts w:ascii="Verdana" w:hAnsi="Verdana"/>
        </w:rPr>
        <w:t xml:space="preserve">Manter arquivos de </w:t>
      </w:r>
      <w:r w:rsidRPr="006572D9">
        <w:rPr>
          <w:rFonts w:ascii="Verdana" w:hAnsi="Verdana"/>
          <w:i/>
        </w:rPr>
        <w:t>log</w:t>
      </w:r>
      <w:r w:rsidRPr="006572D9">
        <w:rPr>
          <w:rFonts w:ascii="Verdana" w:hAnsi="Verdana"/>
        </w:rPr>
        <w:t xml:space="preserve"> para registrar ações dos </w:t>
      </w:r>
      <w:r w:rsidRPr="006572D9" w:rsidR="002F48B3">
        <w:rPr>
          <w:rFonts w:ascii="Verdana" w:hAnsi="Verdana"/>
        </w:rPr>
        <w:t>colaboradores</w:t>
      </w:r>
      <w:r w:rsidRPr="006572D9">
        <w:rPr>
          <w:rFonts w:ascii="Verdana" w:hAnsi="Verdana"/>
        </w:rPr>
        <w:t>, com o objetivo de serem fontes de informação para auditorias futuras</w:t>
      </w:r>
      <w:r w:rsidRPr="006572D9" w:rsidR="00EE4E7D">
        <w:rPr>
          <w:rFonts w:ascii="Verdana" w:hAnsi="Verdana"/>
        </w:rPr>
        <w:t>.</w:t>
      </w:r>
    </w:p>
    <w:p w:rsidR="006572D9" w:rsidRPr="006572D9" w:rsidP="006572D9">
      <w:pPr>
        <w:numPr>
          <w:ilvl w:val="3"/>
          <w:numId w:val="6"/>
        </w:numPr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6572D9">
        <w:rPr>
          <w:rFonts w:ascii="Verdana" w:hAnsi="Verdana"/>
        </w:rPr>
        <w:t>Detectar, identificar, registrar as violações ou tentativas relevantes e significativas de acesso não autorizadas.</w:t>
      </w:r>
    </w:p>
    <w:p w:rsidR="006572D9" w:rsidRPr="006572D9" w:rsidP="006572D9">
      <w:pPr>
        <w:numPr>
          <w:ilvl w:val="3"/>
          <w:numId w:val="6"/>
        </w:numPr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6572D9">
        <w:rPr>
          <w:rFonts w:ascii="Verdana" w:hAnsi="Verdana"/>
          <w:color w:val="000000"/>
        </w:rPr>
        <w:t>Devem controlar e monitorar para que os recursos tecnológicos, de infraestrutura e os ambientes físicos utilizados para suportar os sistemas de informação tenham</w:t>
      </w:r>
      <w:r w:rsidRPr="006572D9" w:rsidR="006D00E4">
        <w:rPr>
          <w:rFonts w:ascii="Verdana" w:hAnsi="Verdana"/>
          <w:color w:val="000000"/>
        </w:rPr>
        <w:t xml:space="preserve"> controle de acesso físico, condições ambientais adequadas e </w:t>
      </w:r>
      <w:r w:rsidRPr="006572D9">
        <w:rPr>
          <w:rFonts w:ascii="Verdana" w:hAnsi="Verdana"/>
          <w:color w:val="000000"/>
        </w:rPr>
        <w:t xml:space="preserve">que devam ser </w:t>
      </w:r>
      <w:r w:rsidRPr="006572D9" w:rsidR="006D00E4">
        <w:rPr>
          <w:rFonts w:ascii="Verdana" w:hAnsi="Verdana"/>
          <w:color w:val="000000"/>
        </w:rPr>
        <w:t xml:space="preserve">protegidos contra situações e indisponibilidade causadas por desastres e </w:t>
      </w:r>
      <w:r w:rsidRPr="006572D9" w:rsidR="0008789F">
        <w:rPr>
          <w:rFonts w:ascii="Verdana" w:hAnsi="Verdana"/>
          <w:color w:val="000000"/>
        </w:rPr>
        <w:t>contingências</w:t>
      </w:r>
      <w:r w:rsidRPr="006572D9" w:rsidR="006D00E4">
        <w:rPr>
          <w:rFonts w:ascii="Verdana" w:hAnsi="Verdana"/>
          <w:color w:val="000000"/>
        </w:rPr>
        <w:t>.</w:t>
      </w:r>
    </w:p>
    <w:p w:rsidR="001715C1" w:rsidRPr="006572D9" w:rsidP="006572D9">
      <w:pPr>
        <w:numPr>
          <w:ilvl w:val="3"/>
          <w:numId w:val="6"/>
        </w:numPr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6572D9">
        <w:rPr>
          <w:rFonts w:ascii="Verdana" w:hAnsi="Verdana"/>
        </w:rPr>
        <w:t>Garantir a continuidade dos sistemas, equipamentos e recursos críticos para os negócios das unidades organizacionais do GEQ</w:t>
      </w:r>
      <w:r w:rsidRPr="006572D9" w:rsidR="00BB1480">
        <w:rPr>
          <w:rFonts w:ascii="Verdana" w:hAnsi="Verdana"/>
        </w:rPr>
        <w:t>, além de, assegurar que a Política da Segurança da Informação, suas normas e procedimentos sejam cumpridos</w:t>
      </w:r>
      <w:r w:rsidRPr="006572D9" w:rsidR="003A61DB">
        <w:rPr>
          <w:rFonts w:ascii="Verdana" w:hAnsi="Verdana"/>
        </w:rPr>
        <w:t>.</w:t>
      </w:r>
    </w:p>
    <w:p w:rsidR="00107321" w:rsidRPr="008C37DB" w:rsidP="008C37DB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8C37DB">
        <w:rPr>
          <w:rFonts w:ascii="Verdana" w:hAnsi="Verdana"/>
          <w:color w:val="000000"/>
        </w:rPr>
        <w:t>Recursos Humanos/Gestão de Pessoas</w:t>
      </w:r>
    </w:p>
    <w:p w:rsidR="006572D9" w:rsidRPr="006572D9" w:rsidP="006572D9">
      <w:pPr>
        <w:pStyle w:val="ListParagraph"/>
        <w:numPr>
          <w:ilvl w:val="2"/>
          <w:numId w:val="6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/>
          <w:vanish/>
          <w:sz w:val="20"/>
          <w:szCs w:val="20"/>
          <w:lang w:eastAsia="pt-BR"/>
        </w:rPr>
      </w:pPr>
    </w:p>
    <w:p w:rsidR="006572D9" w:rsidP="006572D9">
      <w:pPr>
        <w:numPr>
          <w:ilvl w:val="3"/>
          <w:numId w:val="6"/>
        </w:numPr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4F5F89">
        <w:rPr>
          <w:rFonts w:ascii="Verdana" w:hAnsi="Verdana"/>
        </w:rPr>
        <w:t>Assegurar de que os colaboradores e prestadores de serviços sejam treinados, orientados sobre a existência desta Política, suas normas e procedimentos, e comprovem por escrito, o conhecimento destas.</w:t>
      </w:r>
    </w:p>
    <w:p w:rsidR="0098319B" w:rsidRPr="006572D9" w:rsidP="006572D9">
      <w:pPr>
        <w:numPr>
          <w:ilvl w:val="3"/>
          <w:numId w:val="6"/>
        </w:numPr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6572D9">
        <w:rPr>
          <w:rFonts w:ascii="Verdana" w:hAnsi="Verdana"/>
        </w:rPr>
        <w:t>Adotar os procedimentos e mecanismos existentes para comunicar à Área de Tecnologia de Informação (TI) e da Segurança da Informação todos os desligamentos, afastamentos, licenças, férias e modificações no quadro funcional das unidades organizacionais do GEQ.</w:t>
      </w:r>
    </w:p>
    <w:p w:rsidR="0098319B" w:rsidRPr="006572D9" w:rsidP="006572D9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6572D9">
        <w:rPr>
          <w:rFonts w:ascii="Verdana" w:hAnsi="Verdana"/>
          <w:color w:val="000000"/>
        </w:rPr>
        <w:t>Comitê de Segurança da Informação</w:t>
      </w:r>
    </w:p>
    <w:p w:rsidR="006572D9" w:rsidRPr="006572D9" w:rsidP="006572D9">
      <w:pPr>
        <w:pStyle w:val="ListParagraph"/>
        <w:numPr>
          <w:ilvl w:val="2"/>
          <w:numId w:val="6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/>
          <w:vanish/>
          <w:sz w:val="20"/>
          <w:szCs w:val="20"/>
          <w:lang w:eastAsia="pt-BR"/>
        </w:rPr>
      </w:pPr>
    </w:p>
    <w:p w:rsidR="006572D9" w:rsidP="006572D9">
      <w:pPr>
        <w:numPr>
          <w:ilvl w:val="3"/>
          <w:numId w:val="6"/>
        </w:numPr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98319B">
        <w:rPr>
          <w:rFonts w:ascii="Verdana" w:hAnsi="Verdana"/>
        </w:rPr>
        <w:t xml:space="preserve">Tratar de temas de Segurança da Informação e </w:t>
      </w:r>
      <w:r w:rsidR="009146DA">
        <w:rPr>
          <w:rFonts w:ascii="Verdana" w:hAnsi="Verdana"/>
        </w:rPr>
        <w:t>analisar</w:t>
      </w:r>
      <w:r w:rsidRPr="0098319B">
        <w:rPr>
          <w:rFonts w:ascii="Verdana" w:hAnsi="Verdana"/>
        </w:rPr>
        <w:t xml:space="preserve"> soluções específicas</w:t>
      </w:r>
      <w:r w:rsidRPr="006572D9">
        <w:rPr>
          <w:rFonts w:ascii="Verdana" w:hAnsi="Verdana"/>
        </w:rPr>
        <w:t>.</w:t>
      </w:r>
    </w:p>
    <w:p w:rsidR="006572D9" w:rsidP="006572D9">
      <w:pPr>
        <w:numPr>
          <w:ilvl w:val="3"/>
          <w:numId w:val="6"/>
        </w:numPr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6572D9">
        <w:rPr>
          <w:rFonts w:ascii="Verdana" w:hAnsi="Verdana"/>
        </w:rPr>
        <w:t>Explicar ou decidir sobre pontos omissos que necessitem de esclarecimentos desta Política, suas normas e procedimentos, submetendo-os à aprovação da Diretoria</w:t>
      </w:r>
      <w:r w:rsidRPr="006572D9" w:rsidR="001C0AD1">
        <w:rPr>
          <w:rFonts w:ascii="Verdana" w:hAnsi="Verdana"/>
        </w:rPr>
        <w:t xml:space="preserve"> Executiva com o auxílio da Gestão de Políticas</w:t>
      </w:r>
      <w:r w:rsidRPr="006572D9">
        <w:rPr>
          <w:rFonts w:ascii="Verdana" w:hAnsi="Verdana"/>
        </w:rPr>
        <w:t>.</w:t>
      </w:r>
    </w:p>
    <w:p w:rsidR="0098319B" w:rsidRPr="006572D9" w:rsidP="006572D9">
      <w:pPr>
        <w:numPr>
          <w:ilvl w:val="3"/>
          <w:numId w:val="6"/>
        </w:numPr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6572D9">
        <w:rPr>
          <w:rFonts w:ascii="Verdana" w:hAnsi="Verdana"/>
        </w:rPr>
        <w:t>Analisar alterações na Política da Segurança da Informação, suas normas e procedimentos.</w:t>
      </w:r>
    </w:p>
    <w:p w:rsidR="004A787A" w:rsidRPr="00F46D5C" w:rsidP="00F46D5C">
      <w:pPr>
        <w:pStyle w:val="Heading2"/>
        <w:numPr>
          <w:ilvl w:val="1"/>
          <w:numId w:val="6"/>
        </w:numPr>
        <w:tabs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</w:rPr>
      </w:pPr>
      <w:r w:rsidRPr="00F46D5C">
        <w:rPr>
          <w:rFonts w:ascii="Verdana" w:hAnsi="Verdana"/>
          <w:b/>
          <w:sz w:val="20"/>
        </w:rPr>
        <w:t>Gestão</w:t>
      </w:r>
      <w:r w:rsidRPr="00F46D5C" w:rsidR="00E711B0">
        <w:rPr>
          <w:rFonts w:ascii="Verdana" w:hAnsi="Verdana"/>
          <w:b/>
          <w:sz w:val="20"/>
        </w:rPr>
        <w:t xml:space="preserve"> de acesso</w:t>
      </w:r>
    </w:p>
    <w:p w:rsidR="002E6C86" w:rsidRPr="002E6C86" w:rsidP="002E6C86">
      <w:pPr>
        <w:pStyle w:val="ListParagraph"/>
        <w:numPr>
          <w:ilvl w:val="1"/>
          <w:numId w:val="8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/>
          <w:vanish/>
          <w:color w:val="000000"/>
          <w:sz w:val="20"/>
          <w:szCs w:val="20"/>
          <w:lang w:eastAsia="pt-BR"/>
        </w:rPr>
      </w:pPr>
    </w:p>
    <w:p w:rsidR="002E6C86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F46D5C">
        <w:rPr>
          <w:rFonts w:ascii="Verdana" w:hAnsi="Verdana"/>
          <w:color w:val="000000"/>
        </w:rPr>
        <w:t>Os controles de acesso físicos ou lógicos t</w:t>
      </w:r>
      <w:r w:rsidRPr="00F46D5C" w:rsidR="00B900EA">
        <w:rPr>
          <w:rFonts w:ascii="Verdana" w:hAnsi="Verdana"/>
          <w:color w:val="000000"/>
        </w:rPr>
        <w:t>ê</w:t>
      </w:r>
      <w:r w:rsidRPr="00F46D5C">
        <w:rPr>
          <w:rFonts w:ascii="Verdana" w:hAnsi="Verdana"/>
          <w:color w:val="000000"/>
        </w:rPr>
        <w:t>m como objetivo proteger</w:t>
      </w:r>
      <w:r w:rsidRPr="00F46D5C" w:rsidR="00E31F5D">
        <w:rPr>
          <w:rFonts w:ascii="Verdana" w:hAnsi="Verdana"/>
          <w:color w:val="000000"/>
        </w:rPr>
        <w:t xml:space="preserve"> </w:t>
      </w:r>
      <w:r w:rsidRPr="00F46D5C">
        <w:rPr>
          <w:rFonts w:ascii="Verdana" w:hAnsi="Verdana"/>
          <w:color w:val="000000"/>
        </w:rPr>
        <w:t>equipamentos,</w:t>
      </w:r>
      <w:r w:rsidRPr="00F46D5C" w:rsidR="001C3771">
        <w:rPr>
          <w:rFonts w:ascii="Verdana" w:hAnsi="Verdana"/>
          <w:color w:val="000000"/>
        </w:rPr>
        <w:t xml:space="preserve"> locais físicos,</w:t>
      </w:r>
      <w:r w:rsidRPr="00F46D5C">
        <w:rPr>
          <w:rFonts w:ascii="Verdana" w:hAnsi="Verdana"/>
          <w:color w:val="000000"/>
        </w:rPr>
        <w:t xml:space="preserve"> </w:t>
      </w:r>
      <w:r w:rsidRPr="00F46D5C" w:rsidR="00007AE4">
        <w:rPr>
          <w:rFonts w:ascii="Verdana" w:hAnsi="Verdana"/>
          <w:color w:val="000000"/>
        </w:rPr>
        <w:t xml:space="preserve">aplicativos e </w:t>
      </w:r>
      <w:r w:rsidRPr="00F46D5C">
        <w:rPr>
          <w:rFonts w:ascii="Verdana" w:hAnsi="Verdana"/>
          <w:color w:val="000000"/>
        </w:rPr>
        <w:t>arquivos de dados contra perda, modificação ou divulgação não autorizada.</w:t>
      </w:r>
      <w:r w:rsidRPr="002E6C86" w:rsidR="009A441B">
        <w:rPr>
          <w:rFonts w:ascii="Verdana" w:hAnsi="Verdana"/>
          <w:color w:val="000000"/>
        </w:rPr>
        <w:t xml:space="preserve"> </w:t>
      </w:r>
    </w:p>
    <w:p w:rsidR="002E6C86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2E6C86">
        <w:rPr>
          <w:rFonts w:ascii="Verdana" w:hAnsi="Verdana"/>
        </w:rPr>
        <w:t xml:space="preserve">A autorização, o acesso, o uso das informações e dos recursos computacionais devem ser controlados e limitados ao necessário, considerando as atribuições de </w:t>
      </w:r>
      <w:r w:rsidRPr="002E6C86">
        <w:rPr>
          <w:rFonts w:ascii="Verdana" w:hAnsi="Verdana"/>
        </w:rPr>
        <w:t xml:space="preserve">cada </w:t>
      </w:r>
      <w:r w:rsidRPr="002E6C86" w:rsidR="00DD028D">
        <w:rPr>
          <w:rFonts w:ascii="Verdana" w:hAnsi="Verdana"/>
        </w:rPr>
        <w:t>colaboradores</w:t>
      </w:r>
      <w:r w:rsidRPr="002E6C86">
        <w:rPr>
          <w:rFonts w:ascii="Verdana" w:hAnsi="Verdana"/>
        </w:rPr>
        <w:t xml:space="preserve">, e qualquer outra forma de uso ou acesso além do necessário depende de prévia autorização do gestor da área responsável pela </w:t>
      </w:r>
      <w:r w:rsidRPr="002E6C86" w:rsidR="0019056C">
        <w:rPr>
          <w:rFonts w:ascii="Verdana" w:hAnsi="Verdana"/>
        </w:rPr>
        <w:t>informação.</w:t>
      </w:r>
    </w:p>
    <w:p w:rsidR="002E6C86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2E6C86">
        <w:rPr>
          <w:rFonts w:ascii="Verdana" w:hAnsi="Verdana" w:cs="Arial"/>
        </w:rPr>
        <w:t xml:space="preserve">O </w:t>
      </w:r>
      <w:r w:rsidRPr="002E6C86" w:rsidR="00DD028D">
        <w:rPr>
          <w:rFonts w:ascii="Verdana" w:hAnsi="Verdana" w:cs="Arial"/>
        </w:rPr>
        <w:t>colaborador</w:t>
      </w:r>
      <w:r w:rsidRPr="002E6C86" w:rsidR="00E41A99">
        <w:rPr>
          <w:rFonts w:ascii="Verdana" w:hAnsi="Verdana" w:cs="Arial"/>
        </w:rPr>
        <w:t xml:space="preserve"> é responsável por qualquer ação realizada </w:t>
      </w:r>
      <w:r w:rsidRPr="002E6C86">
        <w:rPr>
          <w:rFonts w:ascii="Verdana" w:hAnsi="Verdana" w:cs="Arial"/>
        </w:rPr>
        <w:t>com a</w:t>
      </w:r>
      <w:r w:rsidRPr="002E6C86" w:rsidR="00E41A99">
        <w:rPr>
          <w:rFonts w:ascii="Verdana" w:hAnsi="Verdana" w:cs="Arial"/>
        </w:rPr>
        <w:t xml:space="preserve"> sua chave de acesso e as informações as quais </w:t>
      </w:r>
      <w:r w:rsidRPr="002E6C86">
        <w:rPr>
          <w:rFonts w:ascii="Verdana" w:hAnsi="Verdana" w:cs="Arial"/>
        </w:rPr>
        <w:t>estejam sob sua responsabilidade.</w:t>
      </w:r>
    </w:p>
    <w:p w:rsidR="002E6C86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2E6C86">
        <w:rPr>
          <w:rFonts w:ascii="Verdana" w:hAnsi="Verdana"/>
        </w:rPr>
        <w:t xml:space="preserve">Periodicamente os acessos concedidos devem ser revistos pela área </w:t>
      </w:r>
      <w:r w:rsidRPr="002E6C86" w:rsidR="00705608">
        <w:rPr>
          <w:rFonts w:ascii="Verdana" w:hAnsi="Verdana"/>
        </w:rPr>
        <w:t xml:space="preserve">      </w:t>
      </w:r>
      <w:r w:rsidRPr="002E6C86">
        <w:rPr>
          <w:rFonts w:ascii="Verdana" w:hAnsi="Verdana"/>
        </w:rPr>
        <w:t>responsável</w:t>
      </w:r>
      <w:r w:rsidRPr="002E6C86" w:rsidR="008C344F">
        <w:rPr>
          <w:rFonts w:ascii="Verdana" w:hAnsi="Verdana"/>
        </w:rPr>
        <w:t>.</w:t>
      </w:r>
      <w:r w:rsidRPr="002E6C86" w:rsidR="00592A27">
        <w:rPr>
          <w:rFonts w:ascii="Verdana" w:hAnsi="Verdana"/>
        </w:rPr>
        <w:t xml:space="preserve"> </w:t>
      </w:r>
    </w:p>
    <w:p w:rsidR="002E6C86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2E6C86">
        <w:rPr>
          <w:rFonts w:ascii="Verdana" w:hAnsi="Verdana"/>
        </w:rPr>
        <w:t>Acessos desnecessários ou com poder excessivo devem ser imediatamente</w:t>
      </w:r>
      <w:r w:rsidRPr="002E6C86" w:rsidR="00705608">
        <w:rPr>
          <w:rFonts w:ascii="Verdana" w:hAnsi="Verdana"/>
        </w:rPr>
        <w:t xml:space="preserve"> </w:t>
      </w:r>
      <w:r w:rsidRPr="002E6C86">
        <w:rPr>
          <w:rFonts w:ascii="Verdana" w:hAnsi="Verdana"/>
        </w:rPr>
        <w:t>retirados</w:t>
      </w:r>
      <w:r w:rsidRPr="002E6C86" w:rsidR="008C344F">
        <w:rPr>
          <w:rFonts w:ascii="Verdana" w:hAnsi="Verdana"/>
        </w:rPr>
        <w:t>.</w:t>
      </w:r>
    </w:p>
    <w:p w:rsidR="002E6C86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2E6C86">
        <w:rPr>
          <w:rFonts w:ascii="Verdana" w:hAnsi="Verdana"/>
        </w:rPr>
        <w:t>Todos os sistemas de informação do GEQ,</w:t>
      </w:r>
      <w:r w:rsidRPr="002E6C86" w:rsidR="002241B4">
        <w:rPr>
          <w:rFonts w:ascii="Verdana" w:hAnsi="Verdana"/>
        </w:rPr>
        <w:t xml:space="preserve"> </w:t>
      </w:r>
      <w:r w:rsidRPr="002E6C86">
        <w:rPr>
          <w:rFonts w:ascii="Verdana" w:hAnsi="Verdana"/>
        </w:rPr>
        <w:t xml:space="preserve">devem ter </w:t>
      </w:r>
      <w:r w:rsidRPr="002E6C86" w:rsidR="00DD0DA9">
        <w:rPr>
          <w:rFonts w:ascii="Verdana" w:hAnsi="Verdana"/>
        </w:rPr>
        <w:t xml:space="preserve">pelo menos </w:t>
      </w:r>
      <w:r w:rsidRPr="002E6C86">
        <w:rPr>
          <w:rFonts w:ascii="Verdana" w:hAnsi="Verdana"/>
        </w:rPr>
        <w:t xml:space="preserve">um </w:t>
      </w:r>
      <w:r w:rsidRPr="002E6C86" w:rsidR="00E1451F">
        <w:rPr>
          <w:rFonts w:ascii="Verdana" w:hAnsi="Verdana"/>
        </w:rPr>
        <w:t>responsável</w:t>
      </w:r>
      <w:r w:rsidRPr="002E6C86">
        <w:rPr>
          <w:rFonts w:ascii="Verdana" w:hAnsi="Verdana"/>
        </w:rPr>
        <w:t xml:space="preserve">, formalmente designado </w:t>
      </w:r>
      <w:r w:rsidRPr="002E6C86" w:rsidR="00E1451F">
        <w:rPr>
          <w:rFonts w:ascii="Verdana" w:hAnsi="Verdana"/>
        </w:rPr>
        <w:t>pelo gestor</w:t>
      </w:r>
      <w:r w:rsidRPr="002E6C86">
        <w:rPr>
          <w:rFonts w:ascii="Verdana" w:hAnsi="Verdana"/>
        </w:rPr>
        <w:t>, que deve definir os privilégios de acesso às informações.</w:t>
      </w:r>
    </w:p>
    <w:p w:rsidR="003F2FF5" w:rsidRPr="002E6C86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2E6C86">
        <w:rPr>
          <w:rFonts w:ascii="Verdana" w:hAnsi="Verdana"/>
        </w:rPr>
        <w:t xml:space="preserve">Toda e qualquer alteração de acesso do </w:t>
      </w:r>
      <w:r w:rsidRPr="002E6C86" w:rsidR="00DD028D">
        <w:rPr>
          <w:rFonts w:ascii="Verdana" w:hAnsi="Verdana"/>
        </w:rPr>
        <w:t>colaborador</w:t>
      </w:r>
      <w:r w:rsidRPr="002E6C86" w:rsidR="004A6204">
        <w:rPr>
          <w:rFonts w:ascii="Verdana" w:hAnsi="Verdana"/>
        </w:rPr>
        <w:t xml:space="preserve"> deve ser realizad</w:t>
      </w:r>
      <w:r w:rsidRPr="002E6C86" w:rsidR="000C7384">
        <w:rPr>
          <w:rFonts w:ascii="Verdana" w:hAnsi="Verdana"/>
        </w:rPr>
        <w:t>a</w:t>
      </w:r>
      <w:r w:rsidRPr="002E6C86" w:rsidR="004A6204">
        <w:rPr>
          <w:rFonts w:ascii="Verdana" w:hAnsi="Verdana"/>
        </w:rPr>
        <w:t xml:space="preserve">, somente </w:t>
      </w:r>
      <w:r w:rsidRPr="002E6C86" w:rsidR="00AF039A">
        <w:rPr>
          <w:rFonts w:ascii="Verdana" w:hAnsi="Verdana"/>
        </w:rPr>
        <w:t>após a aprovação d</w:t>
      </w:r>
      <w:r w:rsidRPr="002E6C86">
        <w:rPr>
          <w:rFonts w:ascii="Verdana" w:hAnsi="Verdana"/>
        </w:rPr>
        <w:t>o Gestor Responsável</w:t>
      </w:r>
      <w:r w:rsidRPr="002E6C86" w:rsidR="004F5F89">
        <w:rPr>
          <w:rFonts w:ascii="Verdana" w:hAnsi="Verdana"/>
        </w:rPr>
        <w:t xml:space="preserve"> e segundo os critérios definidos nesta Política.</w:t>
      </w:r>
    </w:p>
    <w:p w:rsidR="00624A07" w:rsidRPr="00191C64" w:rsidP="002B0BC4">
      <w:pPr>
        <w:pStyle w:val="Heading2"/>
        <w:numPr>
          <w:ilvl w:val="1"/>
          <w:numId w:val="6"/>
        </w:numPr>
        <w:tabs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Correio Eletr</w:t>
      </w:r>
      <w:r w:rsidR="00191C64">
        <w:rPr>
          <w:rFonts w:ascii="Verdana" w:hAnsi="Verdana"/>
          <w:b/>
          <w:sz w:val="20"/>
        </w:rPr>
        <w:t>ônico</w:t>
      </w:r>
      <w:r w:rsidR="00C3103D">
        <w:rPr>
          <w:rFonts w:ascii="Verdana" w:hAnsi="Verdana"/>
          <w:b/>
          <w:sz w:val="20"/>
        </w:rPr>
        <w:t xml:space="preserve"> (Solução de Colaboração)</w:t>
      </w:r>
    </w:p>
    <w:p w:rsidR="002B0BC4" w:rsidRPr="002B0BC4" w:rsidP="002B0BC4">
      <w:pPr>
        <w:pStyle w:val="ListParagraph"/>
        <w:numPr>
          <w:ilvl w:val="1"/>
          <w:numId w:val="8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/>
          <w:vanish/>
          <w:sz w:val="20"/>
          <w:szCs w:val="20"/>
          <w:lang w:eastAsia="pt-BR"/>
        </w:rPr>
      </w:pPr>
    </w:p>
    <w:p w:rsidR="002B0BC4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2B0BC4">
        <w:rPr>
          <w:rFonts w:ascii="Verdana" w:hAnsi="Verdana"/>
        </w:rPr>
        <w:t xml:space="preserve">A solução de colaboração </w:t>
      </w:r>
      <w:r w:rsidRPr="002B0BC4" w:rsidR="00BE1159">
        <w:rPr>
          <w:rFonts w:ascii="Verdana" w:hAnsi="Verdana"/>
        </w:rPr>
        <w:t>do GEQ não deve ser utilizad</w:t>
      </w:r>
      <w:r w:rsidRPr="002B0BC4" w:rsidR="005037E7">
        <w:rPr>
          <w:rFonts w:ascii="Verdana" w:hAnsi="Verdana"/>
        </w:rPr>
        <w:t>a</w:t>
      </w:r>
      <w:r w:rsidRPr="002B0BC4" w:rsidR="00BE1159">
        <w:rPr>
          <w:rFonts w:ascii="Verdana" w:hAnsi="Verdana"/>
        </w:rPr>
        <w:t xml:space="preserve"> para fins pessoais, pois é uma ferramenta disponibilizada apenas para o uso consciente e exclusivo a assuntos corporativos.</w:t>
      </w:r>
    </w:p>
    <w:p w:rsidR="002B0BC4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2B0BC4">
        <w:rPr>
          <w:rFonts w:ascii="Verdana" w:hAnsi="Verdana"/>
          <w:color w:val="000000"/>
        </w:rPr>
        <w:t xml:space="preserve">O GEQ, como proprietário da </w:t>
      </w:r>
      <w:r w:rsidRPr="002B0BC4" w:rsidR="005037E7">
        <w:rPr>
          <w:rFonts w:ascii="Verdana" w:hAnsi="Verdana"/>
          <w:color w:val="000000"/>
        </w:rPr>
        <w:t>solução de colaboração</w:t>
      </w:r>
      <w:r w:rsidRPr="002B0BC4">
        <w:rPr>
          <w:rFonts w:ascii="Verdana" w:hAnsi="Verdana"/>
          <w:color w:val="000000"/>
        </w:rPr>
        <w:t>, poderá a qualquer momento e sem aviso prévio, monitorar o</w:t>
      </w:r>
      <w:r w:rsidRPr="002B0BC4" w:rsidR="005037E7">
        <w:rPr>
          <w:rFonts w:ascii="Verdana" w:hAnsi="Verdana"/>
          <w:color w:val="000000"/>
        </w:rPr>
        <w:t xml:space="preserve"> uso desta ferramenta</w:t>
      </w:r>
      <w:r w:rsidRPr="002B0BC4">
        <w:rPr>
          <w:rFonts w:ascii="Verdana" w:hAnsi="Verdana"/>
          <w:color w:val="000000"/>
        </w:rPr>
        <w:t xml:space="preserve"> inclusive o conteúdo das mensagens quando julgar necessário.</w:t>
      </w:r>
    </w:p>
    <w:p w:rsidR="00477BAB" w:rsidRPr="002B0BC4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2B0BC4">
        <w:rPr>
          <w:rFonts w:ascii="Verdana" w:hAnsi="Verdana"/>
          <w:color w:val="000000"/>
        </w:rPr>
        <w:t>As mensagens de correio eletrônico são instrumentos de comunicação interna e externa para realização de negócio d</w:t>
      </w:r>
      <w:r w:rsidRPr="002B0BC4" w:rsidR="00814288">
        <w:rPr>
          <w:rFonts w:ascii="Verdana" w:hAnsi="Verdana"/>
          <w:color w:val="000000"/>
        </w:rPr>
        <w:t>o</w:t>
      </w:r>
      <w:r w:rsidRPr="002B0BC4">
        <w:rPr>
          <w:rFonts w:ascii="Verdana" w:hAnsi="Verdana"/>
          <w:color w:val="000000"/>
        </w:rPr>
        <w:t xml:space="preserve"> GEQ. Elas devem ser escritas em linguagem profissional e que não comprometa a imagem d</w:t>
      </w:r>
      <w:r w:rsidRPr="002B0BC4" w:rsidR="00814288">
        <w:rPr>
          <w:rFonts w:ascii="Verdana" w:hAnsi="Verdana"/>
          <w:color w:val="000000"/>
        </w:rPr>
        <w:t>o</w:t>
      </w:r>
      <w:r w:rsidRPr="002B0BC4">
        <w:rPr>
          <w:rFonts w:ascii="Verdana" w:hAnsi="Verdana"/>
          <w:color w:val="000000"/>
        </w:rPr>
        <w:t xml:space="preserve"> GEQ.</w:t>
      </w:r>
    </w:p>
    <w:p w:rsidR="00FE3E8B" w:rsidP="002B0BC4">
      <w:pPr>
        <w:pStyle w:val="Heading2"/>
        <w:numPr>
          <w:ilvl w:val="1"/>
          <w:numId w:val="6"/>
        </w:numPr>
        <w:tabs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I</w:t>
      </w:r>
      <w:r w:rsidR="00C1218F">
        <w:rPr>
          <w:rFonts w:ascii="Verdana" w:hAnsi="Verdana"/>
          <w:b/>
          <w:sz w:val="20"/>
        </w:rPr>
        <w:t>nternet</w:t>
      </w:r>
    </w:p>
    <w:p w:rsidR="002B0BC4" w:rsidRPr="002B0BC4" w:rsidP="002B0BC4">
      <w:pPr>
        <w:pStyle w:val="ListParagraph"/>
        <w:numPr>
          <w:ilvl w:val="1"/>
          <w:numId w:val="8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/>
          <w:vanish/>
          <w:color w:val="000000"/>
          <w:sz w:val="20"/>
          <w:szCs w:val="20"/>
          <w:lang w:eastAsia="pt-BR"/>
        </w:rPr>
      </w:pPr>
    </w:p>
    <w:p w:rsidR="002B0BC4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</w:t>
      </w:r>
      <w:r w:rsidR="006A2CCB">
        <w:rPr>
          <w:rFonts w:ascii="Verdana" w:hAnsi="Verdana"/>
          <w:color w:val="000000"/>
        </w:rPr>
        <w:t>Internet</w:t>
      </w:r>
      <w:r w:rsidR="00147E85">
        <w:rPr>
          <w:rFonts w:ascii="Verdana" w:hAnsi="Verdana"/>
          <w:color w:val="000000"/>
        </w:rPr>
        <w:t xml:space="preserve"> e a Intranet</w:t>
      </w:r>
      <w:r>
        <w:rPr>
          <w:rFonts w:ascii="Verdana" w:hAnsi="Verdana"/>
          <w:color w:val="000000"/>
        </w:rPr>
        <w:t xml:space="preserve"> deve</w:t>
      </w:r>
      <w:r w:rsidR="00147E85">
        <w:rPr>
          <w:rFonts w:ascii="Verdana" w:hAnsi="Verdana"/>
          <w:color w:val="000000"/>
        </w:rPr>
        <w:t>m</w:t>
      </w:r>
      <w:r>
        <w:rPr>
          <w:rFonts w:ascii="Verdana" w:hAnsi="Verdana"/>
          <w:color w:val="000000"/>
        </w:rPr>
        <w:t xml:space="preserve"> ser usada</w:t>
      </w:r>
      <w:r w:rsidR="00147E85"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 xml:space="preserve"> para as atividades profissionais </w:t>
      </w:r>
      <w:r w:rsidR="00035A8D">
        <w:rPr>
          <w:rFonts w:ascii="Verdana" w:hAnsi="Verdana"/>
          <w:color w:val="000000"/>
        </w:rPr>
        <w:t>do GEQ</w:t>
      </w:r>
      <w:r>
        <w:rPr>
          <w:rFonts w:ascii="Verdana" w:hAnsi="Verdana"/>
          <w:color w:val="000000"/>
        </w:rPr>
        <w:t xml:space="preserve">. </w:t>
      </w:r>
    </w:p>
    <w:p w:rsidR="002B0BC4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2B0BC4">
        <w:rPr>
          <w:rFonts w:ascii="Verdana" w:hAnsi="Verdana"/>
          <w:color w:val="000000"/>
        </w:rPr>
        <w:t xml:space="preserve">Endereços da </w:t>
      </w:r>
      <w:r w:rsidRPr="002B0BC4" w:rsidR="006A2CCB">
        <w:rPr>
          <w:rFonts w:ascii="Verdana" w:hAnsi="Verdana"/>
          <w:color w:val="000000"/>
        </w:rPr>
        <w:t>Internet</w:t>
      </w:r>
      <w:r w:rsidRPr="002B0BC4">
        <w:rPr>
          <w:rFonts w:ascii="Verdana" w:hAnsi="Verdana"/>
          <w:color w:val="000000"/>
        </w:rPr>
        <w:t xml:space="preserve"> que não agreguem ao GEQ e/ou as atividades corporativas exercidas não devem ser acessados</w:t>
      </w:r>
      <w:r w:rsidRPr="002B0BC4" w:rsidR="00814288">
        <w:rPr>
          <w:rFonts w:ascii="Verdana" w:hAnsi="Verdana"/>
          <w:color w:val="000000"/>
        </w:rPr>
        <w:t>.</w:t>
      </w:r>
    </w:p>
    <w:p w:rsidR="002B0BC4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2B0BC4">
        <w:rPr>
          <w:rFonts w:ascii="Verdana" w:hAnsi="Verdana"/>
          <w:color w:val="000000"/>
        </w:rPr>
        <w:t>O colaborador não deve disponibilizar,</w:t>
      </w:r>
      <w:r w:rsidRPr="002B0BC4" w:rsidR="00814288">
        <w:rPr>
          <w:rFonts w:ascii="Verdana" w:hAnsi="Verdana"/>
          <w:color w:val="000000"/>
        </w:rPr>
        <w:t xml:space="preserve"> na </w:t>
      </w:r>
      <w:r w:rsidRPr="002B0BC4" w:rsidR="006A2CCB">
        <w:rPr>
          <w:rFonts w:ascii="Verdana" w:hAnsi="Verdana"/>
          <w:color w:val="000000"/>
        </w:rPr>
        <w:t>Internet</w:t>
      </w:r>
      <w:r w:rsidRPr="002B0BC4" w:rsidR="00814288">
        <w:rPr>
          <w:rFonts w:ascii="Verdana" w:hAnsi="Verdana"/>
          <w:color w:val="000000"/>
        </w:rPr>
        <w:t>, informações corporativas e pessoais que comprometam o GEQ</w:t>
      </w:r>
      <w:r w:rsidRPr="002B0BC4" w:rsidR="00366C46">
        <w:rPr>
          <w:rFonts w:ascii="Verdana" w:hAnsi="Verdana"/>
          <w:color w:val="000000"/>
        </w:rPr>
        <w:t>.</w:t>
      </w:r>
    </w:p>
    <w:p w:rsidR="002B0BC4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2B0BC4">
        <w:rPr>
          <w:rFonts w:ascii="Verdana" w:hAnsi="Verdana"/>
          <w:color w:val="000000"/>
        </w:rPr>
        <w:t>Todo</w:t>
      </w:r>
      <w:r w:rsidRPr="002B0BC4" w:rsidR="00AB1D7C">
        <w:rPr>
          <w:rFonts w:ascii="Verdana" w:hAnsi="Verdana"/>
          <w:color w:val="000000"/>
        </w:rPr>
        <w:t xml:space="preserve"> colaborador é responsável pelas ações e acessos realizados</w:t>
      </w:r>
      <w:r w:rsidRPr="002B0BC4">
        <w:rPr>
          <w:rFonts w:ascii="Verdana" w:hAnsi="Verdana"/>
          <w:color w:val="000000"/>
        </w:rPr>
        <w:t xml:space="preserve"> </w:t>
      </w:r>
      <w:r w:rsidRPr="002B0BC4" w:rsidR="004F5F89">
        <w:rPr>
          <w:rFonts w:ascii="Verdana" w:hAnsi="Verdana"/>
          <w:color w:val="000000"/>
        </w:rPr>
        <w:t>por sua conta de acesso (</w:t>
      </w:r>
      <w:r w:rsidRPr="002B0BC4" w:rsidR="004F5F89">
        <w:rPr>
          <w:rFonts w:ascii="Verdana" w:hAnsi="Verdana"/>
          <w:color w:val="000000"/>
        </w:rPr>
        <w:t>login</w:t>
      </w:r>
      <w:r w:rsidRPr="002B0BC4" w:rsidR="004F5F89">
        <w:rPr>
          <w:rFonts w:ascii="Verdana" w:hAnsi="Verdana"/>
          <w:color w:val="000000"/>
        </w:rPr>
        <w:t>)</w:t>
      </w:r>
      <w:r w:rsidRPr="002B0BC4">
        <w:rPr>
          <w:rFonts w:ascii="Verdana" w:hAnsi="Verdana"/>
          <w:color w:val="000000"/>
        </w:rPr>
        <w:t xml:space="preserve"> </w:t>
      </w:r>
      <w:r w:rsidRPr="002B0BC4" w:rsidR="00AB1D7C">
        <w:rPr>
          <w:rFonts w:ascii="Verdana" w:hAnsi="Verdana"/>
          <w:color w:val="000000"/>
        </w:rPr>
        <w:t xml:space="preserve">na </w:t>
      </w:r>
      <w:r w:rsidRPr="002B0BC4" w:rsidR="006A2CCB">
        <w:rPr>
          <w:rFonts w:ascii="Verdana" w:hAnsi="Verdana"/>
          <w:color w:val="000000"/>
        </w:rPr>
        <w:t>Internet</w:t>
      </w:r>
      <w:r w:rsidRPr="002B0BC4" w:rsidR="00AB1D7C">
        <w:rPr>
          <w:rFonts w:ascii="Verdana" w:hAnsi="Verdana"/>
          <w:color w:val="000000"/>
        </w:rPr>
        <w:t xml:space="preserve"> e Intranet.</w:t>
      </w:r>
    </w:p>
    <w:p w:rsidR="002B0BC4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2B0BC4">
        <w:rPr>
          <w:rFonts w:ascii="Verdana" w:hAnsi="Verdana"/>
          <w:color w:val="000000"/>
        </w:rPr>
        <w:t xml:space="preserve">O acesso a </w:t>
      </w:r>
      <w:r w:rsidRPr="002B0BC4" w:rsidR="006A2CCB">
        <w:rPr>
          <w:rFonts w:ascii="Verdana" w:hAnsi="Verdana"/>
          <w:color w:val="000000"/>
        </w:rPr>
        <w:t>Internet</w:t>
      </w:r>
      <w:r w:rsidRPr="002B0BC4">
        <w:rPr>
          <w:rFonts w:ascii="Verdana" w:hAnsi="Verdana"/>
          <w:color w:val="000000"/>
        </w:rPr>
        <w:t xml:space="preserve"> que o GEQ disponibiliza pode ser monitorado, sem aviso prévio, com o objetivo de garantir a segurança da informação, e deve ser utilizado para o desempenho das atividades profissionais.</w:t>
      </w:r>
    </w:p>
    <w:p w:rsidR="00E874A4" w:rsidRPr="002B0BC4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color w:val="000000"/>
        </w:rPr>
      </w:pPr>
      <w:r w:rsidRPr="002B0BC4">
        <w:rPr>
          <w:rFonts w:ascii="Verdana" w:hAnsi="Verdana"/>
        </w:rPr>
        <w:t xml:space="preserve">Não devem ficar armazenados dados, como: </w:t>
      </w:r>
      <w:r w:rsidRPr="002B0BC4" w:rsidR="00366C46">
        <w:rPr>
          <w:rFonts w:ascii="Verdana" w:hAnsi="Verdana"/>
        </w:rPr>
        <w:t>“</w:t>
      </w:r>
      <w:r w:rsidRPr="002B0BC4">
        <w:rPr>
          <w:rFonts w:ascii="Verdana" w:hAnsi="Verdana"/>
          <w:i/>
        </w:rPr>
        <w:t>login</w:t>
      </w:r>
      <w:r w:rsidRPr="002B0BC4" w:rsidR="00366C46">
        <w:rPr>
          <w:rFonts w:ascii="Verdana" w:hAnsi="Verdana"/>
          <w:i/>
        </w:rPr>
        <w:t>”</w:t>
      </w:r>
      <w:r w:rsidRPr="002B0BC4">
        <w:rPr>
          <w:rFonts w:ascii="Verdana" w:hAnsi="Verdana"/>
        </w:rPr>
        <w:t>, senhas em qualquer site acessado</w:t>
      </w:r>
      <w:r w:rsidRPr="002B0BC4" w:rsidR="001029F2">
        <w:rPr>
          <w:rFonts w:ascii="Verdana" w:hAnsi="Verdana"/>
        </w:rPr>
        <w:t>.</w:t>
      </w:r>
    </w:p>
    <w:p w:rsidR="00670EFF" w:rsidP="002B0BC4">
      <w:pPr>
        <w:pStyle w:val="Heading2"/>
        <w:numPr>
          <w:ilvl w:val="1"/>
          <w:numId w:val="6"/>
        </w:numPr>
        <w:tabs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Acesso Remoto</w:t>
      </w:r>
    </w:p>
    <w:p w:rsidR="002B0BC4" w:rsidRPr="002B0BC4" w:rsidP="002B0BC4">
      <w:pPr>
        <w:pStyle w:val="ListParagraph"/>
        <w:numPr>
          <w:ilvl w:val="1"/>
          <w:numId w:val="8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/>
          <w:vanish/>
          <w:sz w:val="20"/>
          <w:szCs w:val="20"/>
          <w:lang w:eastAsia="pt-BR"/>
        </w:rPr>
      </w:pPr>
    </w:p>
    <w:p w:rsidR="002B0BC4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9C5CFF">
        <w:rPr>
          <w:rFonts w:ascii="Verdana" w:hAnsi="Verdana"/>
        </w:rPr>
        <w:t xml:space="preserve">O acesso remoto aos recursos computacionais deve ser realizado adotando os mecanismos de segurança definidos </w:t>
      </w:r>
      <w:r w:rsidR="004478D7">
        <w:rPr>
          <w:rFonts w:ascii="Verdana" w:hAnsi="Verdana"/>
        </w:rPr>
        <w:t>pela área responsável da TI do GEQ, com intuito de</w:t>
      </w:r>
      <w:r w:rsidRPr="009C5CFF">
        <w:rPr>
          <w:rFonts w:ascii="Verdana" w:hAnsi="Verdana"/>
        </w:rPr>
        <w:t xml:space="preserve"> evitar ameaças à </w:t>
      </w:r>
      <w:r>
        <w:rPr>
          <w:rFonts w:ascii="Verdana" w:hAnsi="Verdana"/>
        </w:rPr>
        <w:t>integridade e sigilo do serviço.</w:t>
      </w:r>
    </w:p>
    <w:p w:rsidR="00E874A4" w:rsidRPr="002B0BC4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 w:rsidRPr="002B0BC4">
        <w:rPr>
          <w:rFonts w:ascii="Verdana" w:hAnsi="Verdana"/>
        </w:rPr>
        <w:t xml:space="preserve">O acesso remoto aos serviços corporativos somente deve ser disponibilizado aos colaboradores que, oficialmente, executem atividade vinculada à assuntos profissionais do GEQ, desde que autorizados pela área responsável, para que se evitem ameaças à integridade e ao sigilo das informações contidas na rede do GEQ. </w:t>
      </w:r>
    </w:p>
    <w:p w:rsidR="00566815" w:rsidRPr="002B0BC4" w:rsidP="002B0BC4">
      <w:pPr>
        <w:pStyle w:val="Heading2"/>
        <w:numPr>
          <w:ilvl w:val="1"/>
          <w:numId w:val="6"/>
        </w:numPr>
        <w:tabs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</w:rPr>
      </w:pPr>
      <w:r w:rsidRPr="002B0BC4">
        <w:rPr>
          <w:rFonts w:ascii="Verdana" w:hAnsi="Verdana"/>
          <w:b/>
          <w:sz w:val="20"/>
        </w:rPr>
        <w:t>Sanções</w:t>
      </w:r>
    </w:p>
    <w:p w:rsidR="002B0BC4" w:rsidRPr="002B0BC4" w:rsidP="002B0BC4">
      <w:pPr>
        <w:pStyle w:val="ListParagraph"/>
        <w:numPr>
          <w:ilvl w:val="1"/>
          <w:numId w:val="8"/>
        </w:numPr>
        <w:spacing w:before="288" w:beforeLines="120" w:after="288" w:afterLines="120" w:line="240" w:lineRule="atLeast"/>
        <w:contextualSpacing w:val="0"/>
        <w:jc w:val="both"/>
        <w:rPr>
          <w:rFonts w:ascii="Verdana" w:eastAsia="Times New Roman" w:hAnsi="Verdana"/>
          <w:vanish/>
          <w:sz w:val="20"/>
          <w:szCs w:val="20"/>
          <w:lang w:eastAsia="pt-BR"/>
        </w:rPr>
      </w:pPr>
    </w:p>
    <w:p w:rsidR="00566815" w:rsidRPr="00566815" w:rsidP="002B0BC4">
      <w:pPr>
        <w:numPr>
          <w:ilvl w:val="2"/>
          <w:numId w:val="8"/>
        </w:numPr>
        <w:tabs>
          <w:tab w:val="clear" w:pos="720"/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</w:rPr>
      </w:pPr>
      <w:r>
        <w:rPr>
          <w:rFonts w:ascii="Verdana" w:hAnsi="Verdana"/>
        </w:rPr>
        <w:t xml:space="preserve">No caso </w:t>
      </w:r>
      <w:r w:rsidRPr="002B0BC4">
        <w:rPr>
          <w:rFonts w:ascii="Verdana" w:hAnsi="Verdana"/>
        </w:rPr>
        <w:t xml:space="preserve">de descumprimento ou violação de um ou mais itens da Política de Segurança da Informação, normas, procedimentos ou atividades pertinentes à Segurança da Informação, será aplicado o tratamento previsto no </w:t>
      </w:r>
      <w:r w:rsidRPr="002B0BC4" w:rsidR="001C0AD1">
        <w:rPr>
          <w:rFonts w:ascii="Verdana" w:hAnsi="Verdana"/>
        </w:rPr>
        <w:t>Código de</w:t>
      </w:r>
      <w:r w:rsidRPr="002B0BC4">
        <w:rPr>
          <w:rFonts w:ascii="Verdana" w:hAnsi="Verdana"/>
        </w:rPr>
        <w:t xml:space="preserve"> Conduta e na legislação específica.</w:t>
      </w:r>
    </w:p>
    <w:p w:rsidR="00D05FF9" w:rsidRPr="007C4231" w:rsidP="007C4231">
      <w:pPr>
        <w:pStyle w:val="Heading1"/>
        <w:numPr>
          <w:ilvl w:val="0"/>
          <w:numId w:val="9"/>
        </w:numPr>
        <w:tabs>
          <w:tab w:val="num" w:pos="851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u w:val="none"/>
        </w:rPr>
      </w:pPr>
      <w:r w:rsidRPr="007C4231">
        <w:rPr>
          <w:rFonts w:ascii="Verdana" w:hAnsi="Verdana"/>
          <w:u w:val="none"/>
        </w:rPr>
        <w:t>EXCEÇ</w:t>
      </w:r>
      <w:r w:rsidR="008E2C37">
        <w:rPr>
          <w:rFonts w:ascii="Verdana" w:hAnsi="Verdana"/>
          <w:u w:val="none"/>
        </w:rPr>
        <w:t>ÕES</w:t>
      </w:r>
    </w:p>
    <w:p w:rsidR="007335D5" w:rsidRPr="008E2C37" w:rsidP="008E2C37">
      <w:pPr>
        <w:pStyle w:val="Default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7C4231">
        <w:rPr>
          <w:rFonts w:ascii="Verdana" w:hAnsi="Verdana"/>
          <w:sz w:val="20"/>
          <w:szCs w:val="20"/>
        </w:rPr>
        <w:t xml:space="preserve">Para todas as situações excepcionais não abarcadas por esta política </w:t>
      </w:r>
      <w:r w:rsidRPr="007C4231" w:rsidR="001C0AD1">
        <w:rPr>
          <w:rFonts w:ascii="Verdana" w:hAnsi="Verdana"/>
          <w:sz w:val="20"/>
          <w:szCs w:val="20"/>
        </w:rPr>
        <w:t>necessitará a</w:t>
      </w:r>
      <w:r w:rsidRPr="007C4231">
        <w:rPr>
          <w:rFonts w:ascii="Verdana" w:hAnsi="Verdana"/>
          <w:sz w:val="20"/>
          <w:szCs w:val="20"/>
        </w:rPr>
        <w:t xml:space="preserve"> </w:t>
      </w:r>
      <w:r w:rsidRPr="007C4231" w:rsidR="001C0AD1">
        <w:rPr>
          <w:rFonts w:ascii="Verdana" w:hAnsi="Verdana"/>
          <w:sz w:val="20"/>
          <w:szCs w:val="20"/>
        </w:rPr>
        <w:t>avaliação pel</w:t>
      </w:r>
      <w:r w:rsidRPr="007C4231">
        <w:rPr>
          <w:rFonts w:ascii="Verdana" w:hAnsi="Verdana"/>
          <w:sz w:val="20"/>
          <w:szCs w:val="20"/>
        </w:rPr>
        <w:t xml:space="preserve">o </w:t>
      </w:r>
      <w:r w:rsidRPr="007C4231" w:rsidR="001C0AD1">
        <w:rPr>
          <w:rFonts w:ascii="Verdana" w:hAnsi="Verdana"/>
          <w:sz w:val="20"/>
          <w:szCs w:val="20"/>
        </w:rPr>
        <w:t xml:space="preserve">Comitê de Segurança da Informação </w:t>
      </w:r>
      <w:r w:rsidRPr="007C4231">
        <w:rPr>
          <w:rFonts w:ascii="Verdana" w:hAnsi="Verdana"/>
          <w:sz w:val="20"/>
          <w:szCs w:val="20"/>
        </w:rPr>
        <w:t>para que seja tomada a decisão emergencial sobre a regra a ser adotada e sua posterior inclusão nesta política.</w:t>
      </w:r>
    </w:p>
    <w:p w:rsidR="003C492A">
      <w:pPr>
        <w:spacing w:before="60" w:after="60" w:line="280" w:lineRule="atLeast"/>
        <w:jc w:val="center"/>
        <w:rPr>
          <w:rFonts w:ascii="Verdana" w:hAnsi="Verdana"/>
        </w:rPr>
      </w:pPr>
    </w:p>
    <w:sectPr w:rsidSect="00584F31">
      <w:headerReference w:type="default" r:id="rId7"/>
      <w:footerReference w:type="even" r:id="rId8"/>
      <w:footerReference w:type="default" r:id="rId9"/>
      <w:pgSz w:w="11907" w:h="16840" w:code="9"/>
      <w:pgMar w:top="2667" w:right="1701" w:bottom="1418" w:left="1701" w:header="720" w:footer="552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6D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F46D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274664878"/>
      <w:docPartObj>
        <w:docPartGallery w:val="Page Numbers (Bottom of Page)"/>
        <w:docPartUnique/>
      </w:docPartObj>
    </w:sdtPr>
    <w:sdtContent>
      <w:p w:rsidR="00F46D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84C">
          <w:rPr>
            <w:noProof/>
          </w:rPr>
          <w:t>11</w:t>
        </w:r>
        <w:r>
          <w:fldChar w:fldCharType="end"/>
        </w:r>
      </w:p>
    </w:sdtContent>
  </w:sdt>
  <w:p w:rsidR="00F46D5C" w:rsidRPr="00BB7E7C">
    <w:pPr>
      <w:ind w:firstLine="709"/>
      <w:jc w:val="center"/>
      <w:rPr>
        <w:sz w:val="1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6D5C" w:rsidP="00463997">
    <w:pPr>
      <w:rPr>
        <w:rFonts w:ascii="Bookman Old Style" w:hAnsi="Bookman Old Style"/>
        <w:b/>
        <w:sz w:val="36"/>
      </w:rPr>
    </w:pPr>
    <w:r w:rsidRPr="0033046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-275590</wp:posOffset>
          </wp:positionH>
          <wp:positionV relativeFrom="paragraph">
            <wp:posOffset>473710</wp:posOffset>
          </wp:positionV>
          <wp:extent cx="1221740" cy="466725"/>
          <wp:effectExtent l="0" t="0" r="0" b="0"/>
          <wp:wrapNone/>
          <wp:docPr id="7" name="Imagem 7" descr="C:\Users\750371077\Desktop\Logo GE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750371077\Desktop\Logo GEQ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ookman Old Style" w:hAnsi="Bookman Old Style"/>
        <w:b/>
        <w:sz w:val="32"/>
      </w:rPr>
      <w:t xml:space="preserve">          </w:t>
    </w:r>
  </w:p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688"/>
      <w:gridCol w:w="1857"/>
      <w:gridCol w:w="3118"/>
      <w:gridCol w:w="2835"/>
    </w:tblGrid>
    <w:tr w:rsidTr="005B04D4">
      <w:tblPrEx>
        <w:tblW w:w="9498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Ex>
      <w:trPr>
        <w:cantSplit/>
        <w:trHeight w:val="726"/>
      </w:trPr>
      <w:tc>
        <w:tcPr>
          <w:tcW w:w="1688" w:type="dxa"/>
          <w:vMerge w:val="restart"/>
          <w:vAlign w:val="center"/>
        </w:tcPr>
        <w:p w:rsidR="00F46D5C" w:rsidRPr="00BB7E7C" w:rsidP="00463997">
          <w:pPr>
            <w:pStyle w:val="Header"/>
            <w:rPr>
              <w:rFonts w:ascii="Verdana" w:hAnsi="Verdana"/>
            </w:rPr>
          </w:pPr>
        </w:p>
      </w:tc>
      <w:tc>
        <w:tcPr>
          <w:tcW w:w="4975" w:type="dxa"/>
          <w:gridSpan w:val="2"/>
          <w:vAlign w:val="center"/>
        </w:tcPr>
        <w:p w:rsidR="00F46D5C" w:rsidRPr="005B04D4" w:rsidP="00E65E8D">
          <w:pPr>
            <w:pStyle w:val="Heading3"/>
            <w:ind w:firstLine="0"/>
            <w:jc w:val="center"/>
            <w:rPr>
              <w:rFonts w:ascii="Verdana" w:hAnsi="Verdana"/>
              <w:b/>
              <w:szCs w:val="24"/>
            </w:rPr>
          </w:pPr>
          <w:r w:rsidRPr="005B04D4">
            <w:rPr>
              <w:rFonts w:ascii="Verdana" w:hAnsi="Verdana"/>
              <w:b/>
              <w:szCs w:val="24"/>
            </w:rPr>
            <w:t>Política de Segurança da Informação</w:t>
          </w:r>
        </w:p>
      </w:tc>
      <w:tc>
        <w:tcPr>
          <w:tcW w:w="2835" w:type="dxa"/>
          <w:vAlign w:val="center"/>
        </w:tcPr>
        <w:p w:rsidR="00F46D5C" w:rsidRPr="00BB7E7C" w:rsidP="005B04D4">
          <w:pPr>
            <w:pStyle w:val="Header"/>
            <w:jc w:val="center"/>
            <w:rPr>
              <w:rFonts w:ascii="Verdana" w:hAnsi="Verdana"/>
            </w:rPr>
          </w:pPr>
          <w:r w:rsidRPr="00BB7E7C">
            <w:rPr>
              <w:rFonts w:ascii="Verdana" w:hAnsi="Verdana"/>
              <w:b/>
            </w:rPr>
            <w:t>POL-GEQ-</w:t>
          </w:r>
          <w:r>
            <w:rPr>
              <w:rFonts w:ascii="Verdana" w:hAnsi="Verdana"/>
              <w:b/>
            </w:rPr>
            <w:t xml:space="preserve">TI </w:t>
          </w:r>
          <w:r w:rsidRPr="00BB7E7C">
            <w:rPr>
              <w:rFonts w:ascii="Verdana" w:hAnsi="Verdana"/>
              <w:b/>
            </w:rPr>
            <w:t>-</w:t>
          </w:r>
          <w:r>
            <w:rPr>
              <w:rFonts w:ascii="Verdana" w:hAnsi="Verdana"/>
              <w:b/>
            </w:rPr>
            <w:t xml:space="preserve"> No. </w:t>
          </w:r>
          <w:r w:rsidRPr="00BB7E7C">
            <w:rPr>
              <w:rFonts w:ascii="Verdana" w:hAnsi="Verdana"/>
              <w:b/>
            </w:rPr>
            <w:t>001</w:t>
          </w:r>
        </w:p>
      </w:tc>
    </w:tr>
    <w:tr w:rsidTr="005B04D4">
      <w:tblPrEx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000"/>
      </w:tblPrEx>
      <w:trPr>
        <w:cantSplit/>
        <w:trHeight w:val="580"/>
      </w:trPr>
      <w:tc>
        <w:tcPr>
          <w:tcW w:w="1688" w:type="dxa"/>
          <w:vMerge/>
        </w:tcPr>
        <w:p w:rsidR="00F46D5C" w:rsidRPr="00BB7E7C" w:rsidP="005422D9">
          <w:pPr>
            <w:pStyle w:val="Header"/>
            <w:rPr>
              <w:rFonts w:ascii="Verdana" w:hAnsi="Verdana"/>
            </w:rPr>
          </w:pPr>
        </w:p>
      </w:tc>
      <w:tc>
        <w:tcPr>
          <w:tcW w:w="1857" w:type="dxa"/>
          <w:vAlign w:val="center"/>
        </w:tcPr>
        <w:p w:rsidR="00F46D5C" w:rsidRPr="00BB7E7C" w:rsidP="009E5718">
          <w:pPr>
            <w:pStyle w:val="Header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>Versão:</w:t>
          </w:r>
          <w:r w:rsidRPr="00BB7E7C">
            <w:rPr>
              <w:rFonts w:ascii="Verdana" w:hAnsi="Verdana"/>
              <w:b/>
              <w:sz w:val="16"/>
            </w:rPr>
            <w:br/>
          </w:r>
          <w:r w:rsidRPr="00BB7E7C">
            <w:rPr>
              <w:rFonts w:ascii="Verdana" w:hAnsi="Verdana"/>
              <w:color w:val="000000"/>
              <w:sz w:val="16"/>
            </w:rPr>
            <w:t>1.0</w:t>
          </w:r>
        </w:p>
      </w:tc>
      <w:tc>
        <w:tcPr>
          <w:tcW w:w="3118" w:type="dxa"/>
          <w:vAlign w:val="center"/>
        </w:tcPr>
        <w:p w:rsidR="00F46D5C" w:rsidRPr="005B04D4" w:rsidP="0031689A">
          <w:pPr>
            <w:pStyle w:val="Header"/>
            <w:jc w:val="center"/>
            <w:rPr>
              <w:rFonts w:ascii="Verdana" w:hAnsi="Verdana"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 xml:space="preserve">Data </w:t>
          </w:r>
          <w:r>
            <w:rPr>
              <w:rFonts w:ascii="Verdana" w:hAnsi="Verdana"/>
              <w:b/>
              <w:sz w:val="16"/>
            </w:rPr>
            <w:t>publicação</w:t>
          </w:r>
          <w:r w:rsidRPr="00BB7E7C">
            <w:rPr>
              <w:rFonts w:ascii="Verdana" w:hAnsi="Verdana"/>
              <w:b/>
              <w:sz w:val="16"/>
            </w:rPr>
            <w:t>:</w:t>
          </w:r>
          <w:r w:rsidRPr="00BB7E7C">
            <w:rPr>
              <w:rFonts w:ascii="Verdana" w:hAnsi="Verdana"/>
              <w:b/>
              <w:sz w:val="16"/>
            </w:rPr>
            <w:br/>
          </w:r>
          <w:r>
            <w:rPr>
              <w:rFonts w:ascii="Verdana" w:hAnsi="Verdana"/>
              <w:sz w:val="16"/>
            </w:rPr>
            <w:t>0</w:t>
          </w:r>
          <w:r w:rsidR="0031689A">
            <w:rPr>
              <w:rFonts w:ascii="Verdana" w:hAnsi="Verdana"/>
              <w:sz w:val="16"/>
            </w:rPr>
            <w:t>5</w:t>
          </w:r>
          <w:r>
            <w:rPr>
              <w:rFonts w:ascii="Verdana" w:hAnsi="Verdana"/>
              <w:sz w:val="16"/>
            </w:rPr>
            <w:t>/1</w:t>
          </w:r>
          <w:r w:rsidR="00FE2BA7">
            <w:rPr>
              <w:rFonts w:ascii="Verdana" w:hAnsi="Verdana"/>
              <w:sz w:val="16"/>
            </w:rPr>
            <w:t>2</w:t>
          </w:r>
          <w:r>
            <w:rPr>
              <w:rFonts w:ascii="Verdana" w:hAnsi="Verdana"/>
              <w:sz w:val="16"/>
            </w:rPr>
            <w:t>/2014</w:t>
          </w:r>
        </w:p>
      </w:tc>
      <w:tc>
        <w:tcPr>
          <w:tcW w:w="2835" w:type="dxa"/>
          <w:vAlign w:val="center"/>
        </w:tcPr>
        <w:p w:rsidR="00F46D5C" w:rsidRPr="00BB7E7C" w:rsidP="009E5718">
          <w:pPr>
            <w:pStyle w:val="Header"/>
            <w:jc w:val="center"/>
            <w:rPr>
              <w:rFonts w:ascii="Verdana" w:hAnsi="Verdana"/>
              <w:color w:val="000000"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 xml:space="preserve">Data </w:t>
          </w:r>
          <w:r>
            <w:rPr>
              <w:rFonts w:ascii="Verdana" w:hAnsi="Verdana"/>
              <w:b/>
              <w:sz w:val="16"/>
            </w:rPr>
            <w:t>da última revisão</w:t>
          </w:r>
          <w:r w:rsidRPr="00BB7E7C">
            <w:rPr>
              <w:rFonts w:ascii="Verdana" w:hAnsi="Verdana"/>
              <w:b/>
              <w:sz w:val="16"/>
            </w:rPr>
            <w:t>:</w:t>
          </w:r>
          <w:r w:rsidRPr="00BB7E7C">
            <w:rPr>
              <w:rFonts w:ascii="Verdana" w:hAnsi="Verdana"/>
              <w:b/>
              <w:sz w:val="16"/>
            </w:rPr>
            <w:br/>
          </w:r>
        </w:p>
      </w:tc>
    </w:tr>
  </w:tbl>
  <w:p w:rsidR="00F46D5C" w:rsidP="004639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927EA3"/>
    <w:multiLevelType w:val="multilevel"/>
    <w:tmpl w:val="BBF8CB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1016999"/>
    <w:multiLevelType w:val="multilevel"/>
    <w:tmpl w:val="828CAF92"/>
    <w:name w:val="WW8Num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8B572A7"/>
    <w:multiLevelType w:val="multilevel"/>
    <w:tmpl w:val="85BC11E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0D7BE5"/>
    <w:multiLevelType w:val="hybridMultilevel"/>
    <w:tmpl w:val="C11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55B70"/>
    <w:multiLevelType w:val="multilevel"/>
    <w:tmpl w:val="723859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5236BF6"/>
    <w:multiLevelType w:val="hybridMultilevel"/>
    <w:tmpl w:val="53484F4C"/>
    <w:lvl w:ilvl="0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>
    <w:nsid w:val="5E012030"/>
    <w:multiLevelType w:val="multilevel"/>
    <w:tmpl w:val="BBF8CB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AAC2059"/>
    <w:multiLevelType w:val="multilevel"/>
    <w:tmpl w:val="828CAF9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7EE03926"/>
    <w:multiLevelType w:val="multilevel"/>
    <w:tmpl w:val="53F420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3B"/>
    <w:rsid w:val="000019B0"/>
    <w:rsid w:val="00003C2F"/>
    <w:rsid w:val="00007AE4"/>
    <w:rsid w:val="00010110"/>
    <w:rsid w:val="000112B1"/>
    <w:rsid w:val="000143F7"/>
    <w:rsid w:val="00015C4B"/>
    <w:rsid w:val="000162D2"/>
    <w:rsid w:val="0002485A"/>
    <w:rsid w:val="00025EF8"/>
    <w:rsid w:val="0002649F"/>
    <w:rsid w:val="00026A9D"/>
    <w:rsid w:val="00032060"/>
    <w:rsid w:val="00034140"/>
    <w:rsid w:val="00035A8D"/>
    <w:rsid w:val="00035B4A"/>
    <w:rsid w:val="0003648D"/>
    <w:rsid w:val="00036DD6"/>
    <w:rsid w:val="000412FA"/>
    <w:rsid w:val="000414BA"/>
    <w:rsid w:val="00042A19"/>
    <w:rsid w:val="00043945"/>
    <w:rsid w:val="00046BA5"/>
    <w:rsid w:val="00047005"/>
    <w:rsid w:val="00047057"/>
    <w:rsid w:val="000476B3"/>
    <w:rsid w:val="00055876"/>
    <w:rsid w:val="00056518"/>
    <w:rsid w:val="0005659F"/>
    <w:rsid w:val="00057AA0"/>
    <w:rsid w:val="00057FD0"/>
    <w:rsid w:val="000675CB"/>
    <w:rsid w:val="00072F66"/>
    <w:rsid w:val="00080B6C"/>
    <w:rsid w:val="00083241"/>
    <w:rsid w:val="00084159"/>
    <w:rsid w:val="00086C06"/>
    <w:rsid w:val="0008789F"/>
    <w:rsid w:val="00087C33"/>
    <w:rsid w:val="000961AC"/>
    <w:rsid w:val="00097DB3"/>
    <w:rsid w:val="000A5F50"/>
    <w:rsid w:val="000B00C9"/>
    <w:rsid w:val="000B087F"/>
    <w:rsid w:val="000B0A47"/>
    <w:rsid w:val="000B10C7"/>
    <w:rsid w:val="000B19A5"/>
    <w:rsid w:val="000B71CD"/>
    <w:rsid w:val="000C1E01"/>
    <w:rsid w:val="000C5812"/>
    <w:rsid w:val="000C6BE3"/>
    <w:rsid w:val="000C7384"/>
    <w:rsid w:val="000D0439"/>
    <w:rsid w:val="000D62E8"/>
    <w:rsid w:val="000E231D"/>
    <w:rsid w:val="000E28F9"/>
    <w:rsid w:val="000E4B53"/>
    <w:rsid w:val="000E5162"/>
    <w:rsid w:val="000E56E6"/>
    <w:rsid w:val="000F6AA7"/>
    <w:rsid w:val="000F6E74"/>
    <w:rsid w:val="001029F2"/>
    <w:rsid w:val="00107321"/>
    <w:rsid w:val="00107B57"/>
    <w:rsid w:val="00110691"/>
    <w:rsid w:val="00111A6C"/>
    <w:rsid w:val="00113A5E"/>
    <w:rsid w:val="00114D36"/>
    <w:rsid w:val="001203AA"/>
    <w:rsid w:val="00120D5F"/>
    <w:rsid w:val="00122C3F"/>
    <w:rsid w:val="00123454"/>
    <w:rsid w:val="001248C5"/>
    <w:rsid w:val="00124DC5"/>
    <w:rsid w:val="001258A4"/>
    <w:rsid w:val="00131273"/>
    <w:rsid w:val="00131307"/>
    <w:rsid w:val="00132BD0"/>
    <w:rsid w:val="0013332A"/>
    <w:rsid w:val="0013629D"/>
    <w:rsid w:val="0013709B"/>
    <w:rsid w:val="00140ACD"/>
    <w:rsid w:val="00141135"/>
    <w:rsid w:val="001428B5"/>
    <w:rsid w:val="00146B4F"/>
    <w:rsid w:val="00147E85"/>
    <w:rsid w:val="00152686"/>
    <w:rsid w:val="00152F33"/>
    <w:rsid w:val="00154821"/>
    <w:rsid w:val="00156936"/>
    <w:rsid w:val="00157093"/>
    <w:rsid w:val="001602F3"/>
    <w:rsid w:val="0016375C"/>
    <w:rsid w:val="00163E5A"/>
    <w:rsid w:val="00164069"/>
    <w:rsid w:val="0016439A"/>
    <w:rsid w:val="00164B5F"/>
    <w:rsid w:val="00166667"/>
    <w:rsid w:val="00170A60"/>
    <w:rsid w:val="0017106E"/>
    <w:rsid w:val="001715C1"/>
    <w:rsid w:val="001749AF"/>
    <w:rsid w:val="001757D2"/>
    <w:rsid w:val="0018347E"/>
    <w:rsid w:val="00185465"/>
    <w:rsid w:val="001900C2"/>
    <w:rsid w:val="0019056C"/>
    <w:rsid w:val="00191C64"/>
    <w:rsid w:val="00192432"/>
    <w:rsid w:val="0019547F"/>
    <w:rsid w:val="00196745"/>
    <w:rsid w:val="00196FFA"/>
    <w:rsid w:val="001A20FE"/>
    <w:rsid w:val="001B02A7"/>
    <w:rsid w:val="001B0E01"/>
    <w:rsid w:val="001B2625"/>
    <w:rsid w:val="001B4DDB"/>
    <w:rsid w:val="001B552D"/>
    <w:rsid w:val="001B5BB5"/>
    <w:rsid w:val="001B76A2"/>
    <w:rsid w:val="001C01C9"/>
    <w:rsid w:val="001C02E8"/>
    <w:rsid w:val="001C03E9"/>
    <w:rsid w:val="001C0790"/>
    <w:rsid w:val="001C0AD1"/>
    <w:rsid w:val="001C2152"/>
    <w:rsid w:val="001C3771"/>
    <w:rsid w:val="001C6248"/>
    <w:rsid w:val="001D36E5"/>
    <w:rsid w:val="001D4265"/>
    <w:rsid w:val="001D4C91"/>
    <w:rsid w:val="001D5AE3"/>
    <w:rsid w:val="001D6B4D"/>
    <w:rsid w:val="001D7198"/>
    <w:rsid w:val="001D7316"/>
    <w:rsid w:val="001E0F3E"/>
    <w:rsid w:val="001E1423"/>
    <w:rsid w:val="001E1816"/>
    <w:rsid w:val="001E1B11"/>
    <w:rsid w:val="001E3C32"/>
    <w:rsid w:val="001E7855"/>
    <w:rsid w:val="001F07D0"/>
    <w:rsid w:val="001F3937"/>
    <w:rsid w:val="001F5385"/>
    <w:rsid w:val="001F6B7C"/>
    <w:rsid w:val="001F796F"/>
    <w:rsid w:val="00200E5E"/>
    <w:rsid w:val="00200FC1"/>
    <w:rsid w:val="00201415"/>
    <w:rsid w:val="002016CF"/>
    <w:rsid w:val="00204247"/>
    <w:rsid w:val="00206A0A"/>
    <w:rsid w:val="002077C9"/>
    <w:rsid w:val="00212C21"/>
    <w:rsid w:val="00212E8C"/>
    <w:rsid w:val="00214AA2"/>
    <w:rsid w:val="00222370"/>
    <w:rsid w:val="002233A8"/>
    <w:rsid w:val="00223AF6"/>
    <w:rsid w:val="00224119"/>
    <w:rsid w:val="002241B4"/>
    <w:rsid w:val="002245D1"/>
    <w:rsid w:val="00226FD2"/>
    <w:rsid w:val="00227431"/>
    <w:rsid w:val="00230CBC"/>
    <w:rsid w:val="0023244B"/>
    <w:rsid w:val="002330F6"/>
    <w:rsid w:val="0023783F"/>
    <w:rsid w:val="00237B5E"/>
    <w:rsid w:val="00240BB1"/>
    <w:rsid w:val="00243FEB"/>
    <w:rsid w:val="00244CA6"/>
    <w:rsid w:val="00246B52"/>
    <w:rsid w:val="00250934"/>
    <w:rsid w:val="00250C74"/>
    <w:rsid w:val="00251B44"/>
    <w:rsid w:val="00252996"/>
    <w:rsid w:val="0025386E"/>
    <w:rsid w:val="00257ABE"/>
    <w:rsid w:val="002612B8"/>
    <w:rsid w:val="002725BE"/>
    <w:rsid w:val="00273A9A"/>
    <w:rsid w:val="00274E1D"/>
    <w:rsid w:val="002808D0"/>
    <w:rsid w:val="002811E7"/>
    <w:rsid w:val="00282378"/>
    <w:rsid w:val="002826C3"/>
    <w:rsid w:val="002827E4"/>
    <w:rsid w:val="00282F8D"/>
    <w:rsid w:val="00286144"/>
    <w:rsid w:val="00290684"/>
    <w:rsid w:val="00292858"/>
    <w:rsid w:val="002931A3"/>
    <w:rsid w:val="002A0AB4"/>
    <w:rsid w:val="002A0FED"/>
    <w:rsid w:val="002A1DE5"/>
    <w:rsid w:val="002A240F"/>
    <w:rsid w:val="002A4F65"/>
    <w:rsid w:val="002A515D"/>
    <w:rsid w:val="002A6E54"/>
    <w:rsid w:val="002B0BC4"/>
    <w:rsid w:val="002B41B7"/>
    <w:rsid w:val="002B4A20"/>
    <w:rsid w:val="002C0507"/>
    <w:rsid w:val="002C20B4"/>
    <w:rsid w:val="002C2F3B"/>
    <w:rsid w:val="002C6F2A"/>
    <w:rsid w:val="002C7537"/>
    <w:rsid w:val="002D0894"/>
    <w:rsid w:val="002D23AA"/>
    <w:rsid w:val="002E2799"/>
    <w:rsid w:val="002E290D"/>
    <w:rsid w:val="002E5A3A"/>
    <w:rsid w:val="002E6232"/>
    <w:rsid w:val="002E64EB"/>
    <w:rsid w:val="002E6C86"/>
    <w:rsid w:val="002F3BD9"/>
    <w:rsid w:val="002F48B3"/>
    <w:rsid w:val="002F56B6"/>
    <w:rsid w:val="0030090F"/>
    <w:rsid w:val="003048B0"/>
    <w:rsid w:val="003054CE"/>
    <w:rsid w:val="003138FD"/>
    <w:rsid w:val="00315325"/>
    <w:rsid w:val="0031689A"/>
    <w:rsid w:val="00322262"/>
    <w:rsid w:val="0032405C"/>
    <w:rsid w:val="00326A12"/>
    <w:rsid w:val="003273E1"/>
    <w:rsid w:val="003313AF"/>
    <w:rsid w:val="00332E18"/>
    <w:rsid w:val="00334A50"/>
    <w:rsid w:val="00334B75"/>
    <w:rsid w:val="00336670"/>
    <w:rsid w:val="0034234B"/>
    <w:rsid w:val="0035170B"/>
    <w:rsid w:val="003546A7"/>
    <w:rsid w:val="00360C79"/>
    <w:rsid w:val="003625FF"/>
    <w:rsid w:val="003633C0"/>
    <w:rsid w:val="00366C46"/>
    <w:rsid w:val="00367B4F"/>
    <w:rsid w:val="00372FC4"/>
    <w:rsid w:val="00375134"/>
    <w:rsid w:val="003758AB"/>
    <w:rsid w:val="00377F89"/>
    <w:rsid w:val="00381B1C"/>
    <w:rsid w:val="00390096"/>
    <w:rsid w:val="00391F29"/>
    <w:rsid w:val="00392262"/>
    <w:rsid w:val="003967A1"/>
    <w:rsid w:val="003A02CB"/>
    <w:rsid w:val="003A14C9"/>
    <w:rsid w:val="003A1B2C"/>
    <w:rsid w:val="003A1E0F"/>
    <w:rsid w:val="003A20F1"/>
    <w:rsid w:val="003A2518"/>
    <w:rsid w:val="003A322A"/>
    <w:rsid w:val="003A35F8"/>
    <w:rsid w:val="003A459D"/>
    <w:rsid w:val="003A4624"/>
    <w:rsid w:val="003A4ECF"/>
    <w:rsid w:val="003A61DB"/>
    <w:rsid w:val="003A6286"/>
    <w:rsid w:val="003A79C1"/>
    <w:rsid w:val="003B1FDF"/>
    <w:rsid w:val="003B3B10"/>
    <w:rsid w:val="003B3B6C"/>
    <w:rsid w:val="003B716C"/>
    <w:rsid w:val="003C492A"/>
    <w:rsid w:val="003C5A0D"/>
    <w:rsid w:val="003C667B"/>
    <w:rsid w:val="003C6DE2"/>
    <w:rsid w:val="003C7103"/>
    <w:rsid w:val="003C75C8"/>
    <w:rsid w:val="003D3015"/>
    <w:rsid w:val="003D608D"/>
    <w:rsid w:val="003D6B51"/>
    <w:rsid w:val="003E0A31"/>
    <w:rsid w:val="003E0B32"/>
    <w:rsid w:val="003E3126"/>
    <w:rsid w:val="003E4C28"/>
    <w:rsid w:val="003F21E9"/>
    <w:rsid w:val="003F286F"/>
    <w:rsid w:val="003F2FF5"/>
    <w:rsid w:val="003F476B"/>
    <w:rsid w:val="003F6F40"/>
    <w:rsid w:val="003F782E"/>
    <w:rsid w:val="00400905"/>
    <w:rsid w:val="004027B6"/>
    <w:rsid w:val="00402D11"/>
    <w:rsid w:val="00406E66"/>
    <w:rsid w:val="00407316"/>
    <w:rsid w:val="004106B6"/>
    <w:rsid w:val="0041187F"/>
    <w:rsid w:val="0041787B"/>
    <w:rsid w:val="004238F1"/>
    <w:rsid w:val="00423DA1"/>
    <w:rsid w:val="00424170"/>
    <w:rsid w:val="00424E4D"/>
    <w:rsid w:val="00425935"/>
    <w:rsid w:val="00426A25"/>
    <w:rsid w:val="00427D68"/>
    <w:rsid w:val="00430E88"/>
    <w:rsid w:val="00430FD9"/>
    <w:rsid w:val="00432D4A"/>
    <w:rsid w:val="00433069"/>
    <w:rsid w:val="0044091E"/>
    <w:rsid w:val="004446F9"/>
    <w:rsid w:val="00446701"/>
    <w:rsid w:val="004478D7"/>
    <w:rsid w:val="00447F28"/>
    <w:rsid w:val="00453FB0"/>
    <w:rsid w:val="00457819"/>
    <w:rsid w:val="004579FD"/>
    <w:rsid w:val="0046033D"/>
    <w:rsid w:val="0046051A"/>
    <w:rsid w:val="00461A9F"/>
    <w:rsid w:val="00462692"/>
    <w:rsid w:val="00463997"/>
    <w:rsid w:val="0046513E"/>
    <w:rsid w:val="004657A1"/>
    <w:rsid w:val="00465B24"/>
    <w:rsid w:val="00467165"/>
    <w:rsid w:val="00470E7C"/>
    <w:rsid w:val="00471A28"/>
    <w:rsid w:val="00475051"/>
    <w:rsid w:val="004758BF"/>
    <w:rsid w:val="0047692C"/>
    <w:rsid w:val="00477BAB"/>
    <w:rsid w:val="0048080A"/>
    <w:rsid w:val="00480D6C"/>
    <w:rsid w:val="00481716"/>
    <w:rsid w:val="004854C6"/>
    <w:rsid w:val="00491381"/>
    <w:rsid w:val="0049265D"/>
    <w:rsid w:val="00493709"/>
    <w:rsid w:val="00494E9B"/>
    <w:rsid w:val="00495ACD"/>
    <w:rsid w:val="00495D22"/>
    <w:rsid w:val="00496890"/>
    <w:rsid w:val="004A413E"/>
    <w:rsid w:val="004A4B7F"/>
    <w:rsid w:val="004A4CA9"/>
    <w:rsid w:val="004A505D"/>
    <w:rsid w:val="004A6204"/>
    <w:rsid w:val="004A62A4"/>
    <w:rsid w:val="004A6742"/>
    <w:rsid w:val="004A6E62"/>
    <w:rsid w:val="004A787A"/>
    <w:rsid w:val="004B10C9"/>
    <w:rsid w:val="004B3E53"/>
    <w:rsid w:val="004B5344"/>
    <w:rsid w:val="004C2CDB"/>
    <w:rsid w:val="004C44A5"/>
    <w:rsid w:val="004C5795"/>
    <w:rsid w:val="004D0C9E"/>
    <w:rsid w:val="004D1090"/>
    <w:rsid w:val="004D2428"/>
    <w:rsid w:val="004D2ECF"/>
    <w:rsid w:val="004D60FB"/>
    <w:rsid w:val="004E2BD8"/>
    <w:rsid w:val="004E514F"/>
    <w:rsid w:val="004E6263"/>
    <w:rsid w:val="004F0A4E"/>
    <w:rsid w:val="004F0B7D"/>
    <w:rsid w:val="004F2583"/>
    <w:rsid w:val="004F35CD"/>
    <w:rsid w:val="004F3CFB"/>
    <w:rsid w:val="004F481F"/>
    <w:rsid w:val="004F56BF"/>
    <w:rsid w:val="004F5A2A"/>
    <w:rsid w:val="004F5F89"/>
    <w:rsid w:val="00500091"/>
    <w:rsid w:val="005037E7"/>
    <w:rsid w:val="00503966"/>
    <w:rsid w:val="00516340"/>
    <w:rsid w:val="0052470D"/>
    <w:rsid w:val="005275BE"/>
    <w:rsid w:val="00531266"/>
    <w:rsid w:val="00531B3D"/>
    <w:rsid w:val="00533351"/>
    <w:rsid w:val="00533D03"/>
    <w:rsid w:val="00534757"/>
    <w:rsid w:val="0053594B"/>
    <w:rsid w:val="00541E17"/>
    <w:rsid w:val="005421BF"/>
    <w:rsid w:val="005422D9"/>
    <w:rsid w:val="00544377"/>
    <w:rsid w:val="00545183"/>
    <w:rsid w:val="00546A13"/>
    <w:rsid w:val="00552403"/>
    <w:rsid w:val="00552B6A"/>
    <w:rsid w:val="00553589"/>
    <w:rsid w:val="00554D0D"/>
    <w:rsid w:val="005566C4"/>
    <w:rsid w:val="00557763"/>
    <w:rsid w:val="00557833"/>
    <w:rsid w:val="00563DC5"/>
    <w:rsid w:val="00565CB5"/>
    <w:rsid w:val="00566815"/>
    <w:rsid w:val="00566B66"/>
    <w:rsid w:val="005675D4"/>
    <w:rsid w:val="00567AC3"/>
    <w:rsid w:val="005716E4"/>
    <w:rsid w:val="00571929"/>
    <w:rsid w:val="00571EA7"/>
    <w:rsid w:val="00574B30"/>
    <w:rsid w:val="0057708E"/>
    <w:rsid w:val="00577C43"/>
    <w:rsid w:val="00577E73"/>
    <w:rsid w:val="00581F79"/>
    <w:rsid w:val="00584812"/>
    <w:rsid w:val="00584B13"/>
    <w:rsid w:val="00584F31"/>
    <w:rsid w:val="00585CBD"/>
    <w:rsid w:val="00586F1D"/>
    <w:rsid w:val="005877DB"/>
    <w:rsid w:val="00587C85"/>
    <w:rsid w:val="005915E9"/>
    <w:rsid w:val="00591CDC"/>
    <w:rsid w:val="00592A27"/>
    <w:rsid w:val="00592A3E"/>
    <w:rsid w:val="00594049"/>
    <w:rsid w:val="005A18B9"/>
    <w:rsid w:val="005A4EB2"/>
    <w:rsid w:val="005A7017"/>
    <w:rsid w:val="005B04D4"/>
    <w:rsid w:val="005B0AE6"/>
    <w:rsid w:val="005B23ED"/>
    <w:rsid w:val="005B27CE"/>
    <w:rsid w:val="005B36CE"/>
    <w:rsid w:val="005B3A51"/>
    <w:rsid w:val="005B4C65"/>
    <w:rsid w:val="005C0B2A"/>
    <w:rsid w:val="005C2DE7"/>
    <w:rsid w:val="005C5D46"/>
    <w:rsid w:val="005C5F1B"/>
    <w:rsid w:val="005C64AC"/>
    <w:rsid w:val="005C6849"/>
    <w:rsid w:val="005C7BC6"/>
    <w:rsid w:val="005D1EDC"/>
    <w:rsid w:val="005D250D"/>
    <w:rsid w:val="005D5974"/>
    <w:rsid w:val="005E101A"/>
    <w:rsid w:val="005E1473"/>
    <w:rsid w:val="005E405D"/>
    <w:rsid w:val="005E4EA6"/>
    <w:rsid w:val="005E7F83"/>
    <w:rsid w:val="005F05BB"/>
    <w:rsid w:val="005F0D25"/>
    <w:rsid w:val="005F2F19"/>
    <w:rsid w:val="005F6D4B"/>
    <w:rsid w:val="00601241"/>
    <w:rsid w:val="00604C43"/>
    <w:rsid w:val="00606295"/>
    <w:rsid w:val="00607534"/>
    <w:rsid w:val="00610CAD"/>
    <w:rsid w:val="006110F1"/>
    <w:rsid w:val="006144DA"/>
    <w:rsid w:val="00617F91"/>
    <w:rsid w:val="00622583"/>
    <w:rsid w:val="0062361B"/>
    <w:rsid w:val="00624A07"/>
    <w:rsid w:val="006343F8"/>
    <w:rsid w:val="0063645C"/>
    <w:rsid w:val="006367B9"/>
    <w:rsid w:val="00636959"/>
    <w:rsid w:val="00640B9C"/>
    <w:rsid w:val="00644F4E"/>
    <w:rsid w:val="00647C26"/>
    <w:rsid w:val="00650125"/>
    <w:rsid w:val="00650D96"/>
    <w:rsid w:val="00653174"/>
    <w:rsid w:val="00654677"/>
    <w:rsid w:val="00654984"/>
    <w:rsid w:val="00654DD6"/>
    <w:rsid w:val="00657057"/>
    <w:rsid w:val="006572D9"/>
    <w:rsid w:val="0066019E"/>
    <w:rsid w:val="006603C8"/>
    <w:rsid w:val="006612AF"/>
    <w:rsid w:val="00665A08"/>
    <w:rsid w:val="00665A1C"/>
    <w:rsid w:val="00667C7F"/>
    <w:rsid w:val="00670ED3"/>
    <w:rsid w:val="00670EFF"/>
    <w:rsid w:val="006736F2"/>
    <w:rsid w:val="006816AC"/>
    <w:rsid w:val="00682919"/>
    <w:rsid w:val="0068443B"/>
    <w:rsid w:val="00685546"/>
    <w:rsid w:val="00685F32"/>
    <w:rsid w:val="00692F1B"/>
    <w:rsid w:val="00693678"/>
    <w:rsid w:val="006A0BC9"/>
    <w:rsid w:val="006A1BA8"/>
    <w:rsid w:val="006A2B84"/>
    <w:rsid w:val="006A2CCB"/>
    <w:rsid w:val="006A6FEF"/>
    <w:rsid w:val="006A7E74"/>
    <w:rsid w:val="006B2A59"/>
    <w:rsid w:val="006B4825"/>
    <w:rsid w:val="006B4B2C"/>
    <w:rsid w:val="006C03D8"/>
    <w:rsid w:val="006C128F"/>
    <w:rsid w:val="006C2281"/>
    <w:rsid w:val="006C44BE"/>
    <w:rsid w:val="006C5D97"/>
    <w:rsid w:val="006C7528"/>
    <w:rsid w:val="006C7863"/>
    <w:rsid w:val="006D00E4"/>
    <w:rsid w:val="006D0640"/>
    <w:rsid w:val="006D3810"/>
    <w:rsid w:val="006D56D2"/>
    <w:rsid w:val="006D58AE"/>
    <w:rsid w:val="006D5CD5"/>
    <w:rsid w:val="006E03E2"/>
    <w:rsid w:val="006E07EA"/>
    <w:rsid w:val="006E0C07"/>
    <w:rsid w:val="006E2BD2"/>
    <w:rsid w:val="006E2FDA"/>
    <w:rsid w:val="006E31AA"/>
    <w:rsid w:val="006E5720"/>
    <w:rsid w:val="006F3486"/>
    <w:rsid w:val="006F437C"/>
    <w:rsid w:val="006F53F5"/>
    <w:rsid w:val="007036EB"/>
    <w:rsid w:val="00704D77"/>
    <w:rsid w:val="00704DDB"/>
    <w:rsid w:val="00705608"/>
    <w:rsid w:val="00705B99"/>
    <w:rsid w:val="007112FD"/>
    <w:rsid w:val="00711465"/>
    <w:rsid w:val="00712A31"/>
    <w:rsid w:val="00713A31"/>
    <w:rsid w:val="0071420C"/>
    <w:rsid w:val="00714D5B"/>
    <w:rsid w:val="00714E38"/>
    <w:rsid w:val="00716B27"/>
    <w:rsid w:val="00717FAF"/>
    <w:rsid w:val="0072016E"/>
    <w:rsid w:val="00720371"/>
    <w:rsid w:val="007205DB"/>
    <w:rsid w:val="007217DD"/>
    <w:rsid w:val="00725873"/>
    <w:rsid w:val="007300BC"/>
    <w:rsid w:val="00732580"/>
    <w:rsid w:val="007335D5"/>
    <w:rsid w:val="007347D1"/>
    <w:rsid w:val="00736162"/>
    <w:rsid w:val="00736439"/>
    <w:rsid w:val="00740901"/>
    <w:rsid w:val="007430F2"/>
    <w:rsid w:val="00757614"/>
    <w:rsid w:val="00757C8F"/>
    <w:rsid w:val="007613C6"/>
    <w:rsid w:val="00763092"/>
    <w:rsid w:val="007664AF"/>
    <w:rsid w:val="00766E98"/>
    <w:rsid w:val="00767331"/>
    <w:rsid w:val="00767AC2"/>
    <w:rsid w:val="00771AEF"/>
    <w:rsid w:val="007727BC"/>
    <w:rsid w:val="00775863"/>
    <w:rsid w:val="00780D06"/>
    <w:rsid w:val="0078294D"/>
    <w:rsid w:val="007862C4"/>
    <w:rsid w:val="0078757D"/>
    <w:rsid w:val="0078775D"/>
    <w:rsid w:val="00794844"/>
    <w:rsid w:val="007959DC"/>
    <w:rsid w:val="00796A42"/>
    <w:rsid w:val="00796DC2"/>
    <w:rsid w:val="007A010F"/>
    <w:rsid w:val="007A1AB8"/>
    <w:rsid w:val="007A2AE9"/>
    <w:rsid w:val="007A3608"/>
    <w:rsid w:val="007A664F"/>
    <w:rsid w:val="007A7F17"/>
    <w:rsid w:val="007B1761"/>
    <w:rsid w:val="007B77EC"/>
    <w:rsid w:val="007C02DF"/>
    <w:rsid w:val="007C0760"/>
    <w:rsid w:val="007C394D"/>
    <w:rsid w:val="007C3C54"/>
    <w:rsid w:val="007C4231"/>
    <w:rsid w:val="007C481A"/>
    <w:rsid w:val="007C5390"/>
    <w:rsid w:val="007C5BF2"/>
    <w:rsid w:val="007C75AB"/>
    <w:rsid w:val="007D0280"/>
    <w:rsid w:val="007D6449"/>
    <w:rsid w:val="007D6627"/>
    <w:rsid w:val="007D71B4"/>
    <w:rsid w:val="007E02A3"/>
    <w:rsid w:val="007E1784"/>
    <w:rsid w:val="007E1D61"/>
    <w:rsid w:val="007E733A"/>
    <w:rsid w:val="007E7C48"/>
    <w:rsid w:val="007E7FF9"/>
    <w:rsid w:val="0080331C"/>
    <w:rsid w:val="00803B97"/>
    <w:rsid w:val="00804091"/>
    <w:rsid w:val="00804859"/>
    <w:rsid w:val="0080597C"/>
    <w:rsid w:val="00812418"/>
    <w:rsid w:val="0081411B"/>
    <w:rsid w:val="00814288"/>
    <w:rsid w:val="008147EB"/>
    <w:rsid w:val="0081585C"/>
    <w:rsid w:val="00816287"/>
    <w:rsid w:val="008207DF"/>
    <w:rsid w:val="008208C6"/>
    <w:rsid w:val="00821709"/>
    <w:rsid w:val="00821B05"/>
    <w:rsid w:val="008242C3"/>
    <w:rsid w:val="00826DDD"/>
    <w:rsid w:val="00830CBD"/>
    <w:rsid w:val="00833FA1"/>
    <w:rsid w:val="00837F15"/>
    <w:rsid w:val="008402DB"/>
    <w:rsid w:val="0084165F"/>
    <w:rsid w:val="0084282F"/>
    <w:rsid w:val="0084451B"/>
    <w:rsid w:val="008510ED"/>
    <w:rsid w:val="00853EC9"/>
    <w:rsid w:val="008619B9"/>
    <w:rsid w:val="00861FFF"/>
    <w:rsid w:val="00871280"/>
    <w:rsid w:val="00872A0C"/>
    <w:rsid w:val="008765D0"/>
    <w:rsid w:val="00876C28"/>
    <w:rsid w:val="008807BF"/>
    <w:rsid w:val="0088151F"/>
    <w:rsid w:val="008859C9"/>
    <w:rsid w:val="0089359C"/>
    <w:rsid w:val="00894E62"/>
    <w:rsid w:val="008A1ACA"/>
    <w:rsid w:val="008A5736"/>
    <w:rsid w:val="008A76E8"/>
    <w:rsid w:val="008B0F69"/>
    <w:rsid w:val="008B29E7"/>
    <w:rsid w:val="008B3348"/>
    <w:rsid w:val="008B38BE"/>
    <w:rsid w:val="008B3ADD"/>
    <w:rsid w:val="008B5C04"/>
    <w:rsid w:val="008B7048"/>
    <w:rsid w:val="008B7408"/>
    <w:rsid w:val="008C0928"/>
    <w:rsid w:val="008C12F3"/>
    <w:rsid w:val="008C2204"/>
    <w:rsid w:val="008C344F"/>
    <w:rsid w:val="008C37DB"/>
    <w:rsid w:val="008C5EA2"/>
    <w:rsid w:val="008D0799"/>
    <w:rsid w:val="008D2EAF"/>
    <w:rsid w:val="008D4F9D"/>
    <w:rsid w:val="008D7611"/>
    <w:rsid w:val="008E0E39"/>
    <w:rsid w:val="008E2C37"/>
    <w:rsid w:val="008E43E6"/>
    <w:rsid w:val="008E5D1B"/>
    <w:rsid w:val="008E62C1"/>
    <w:rsid w:val="008E665E"/>
    <w:rsid w:val="008F0779"/>
    <w:rsid w:val="00900D86"/>
    <w:rsid w:val="009056CB"/>
    <w:rsid w:val="00907AFE"/>
    <w:rsid w:val="00912CAF"/>
    <w:rsid w:val="00913012"/>
    <w:rsid w:val="009137E7"/>
    <w:rsid w:val="009146DA"/>
    <w:rsid w:val="0091587B"/>
    <w:rsid w:val="009258F9"/>
    <w:rsid w:val="00925C85"/>
    <w:rsid w:val="00927BC6"/>
    <w:rsid w:val="00930741"/>
    <w:rsid w:val="0093301A"/>
    <w:rsid w:val="00934370"/>
    <w:rsid w:val="00934681"/>
    <w:rsid w:val="00934E3B"/>
    <w:rsid w:val="00936A0D"/>
    <w:rsid w:val="00937356"/>
    <w:rsid w:val="00942583"/>
    <w:rsid w:val="00945D17"/>
    <w:rsid w:val="00946A13"/>
    <w:rsid w:val="009505F5"/>
    <w:rsid w:val="00957CA6"/>
    <w:rsid w:val="00957EF3"/>
    <w:rsid w:val="00960AB0"/>
    <w:rsid w:val="0096211E"/>
    <w:rsid w:val="00962164"/>
    <w:rsid w:val="009667C2"/>
    <w:rsid w:val="00970397"/>
    <w:rsid w:val="0097381F"/>
    <w:rsid w:val="0098000D"/>
    <w:rsid w:val="0098043F"/>
    <w:rsid w:val="00981341"/>
    <w:rsid w:val="00981C01"/>
    <w:rsid w:val="0098319B"/>
    <w:rsid w:val="0098370F"/>
    <w:rsid w:val="0098766D"/>
    <w:rsid w:val="00991098"/>
    <w:rsid w:val="00992143"/>
    <w:rsid w:val="009922B3"/>
    <w:rsid w:val="0099262A"/>
    <w:rsid w:val="00994BEF"/>
    <w:rsid w:val="00996860"/>
    <w:rsid w:val="00997BBC"/>
    <w:rsid w:val="009A005B"/>
    <w:rsid w:val="009A38A6"/>
    <w:rsid w:val="009A441B"/>
    <w:rsid w:val="009A4A1F"/>
    <w:rsid w:val="009A4EE1"/>
    <w:rsid w:val="009A6095"/>
    <w:rsid w:val="009B6A30"/>
    <w:rsid w:val="009C0BA6"/>
    <w:rsid w:val="009C21F5"/>
    <w:rsid w:val="009C2B2C"/>
    <w:rsid w:val="009C537A"/>
    <w:rsid w:val="009C5CFF"/>
    <w:rsid w:val="009C79F8"/>
    <w:rsid w:val="009D4DD4"/>
    <w:rsid w:val="009D604C"/>
    <w:rsid w:val="009D6481"/>
    <w:rsid w:val="009D7A0F"/>
    <w:rsid w:val="009E0289"/>
    <w:rsid w:val="009E2A7C"/>
    <w:rsid w:val="009E4D30"/>
    <w:rsid w:val="009E54E8"/>
    <w:rsid w:val="009E5718"/>
    <w:rsid w:val="009E5BC8"/>
    <w:rsid w:val="009E60E4"/>
    <w:rsid w:val="009F4E80"/>
    <w:rsid w:val="009F6C0A"/>
    <w:rsid w:val="00A03874"/>
    <w:rsid w:val="00A046C1"/>
    <w:rsid w:val="00A11973"/>
    <w:rsid w:val="00A11EED"/>
    <w:rsid w:val="00A11F0F"/>
    <w:rsid w:val="00A136D7"/>
    <w:rsid w:val="00A17F1B"/>
    <w:rsid w:val="00A209A1"/>
    <w:rsid w:val="00A216C7"/>
    <w:rsid w:val="00A21C23"/>
    <w:rsid w:val="00A21F8D"/>
    <w:rsid w:val="00A22920"/>
    <w:rsid w:val="00A22E8E"/>
    <w:rsid w:val="00A236C8"/>
    <w:rsid w:val="00A262F2"/>
    <w:rsid w:val="00A27202"/>
    <w:rsid w:val="00A27AAE"/>
    <w:rsid w:val="00A30A35"/>
    <w:rsid w:val="00A30FFD"/>
    <w:rsid w:val="00A31297"/>
    <w:rsid w:val="00A32F45"/>
    <w:rsid w:val="00A4046C"/>
    <w:rsid w:val="00A410ED"/>
    <w:rsid w:val="00A50393"/>
    <w:rsid w:val="00A519C1"/>
    <w:rsid w:val="00A530EC"/>
    <w:rsid w:val="00A54B8D"/>
    <w:rsid w:val="00A5507C"/>
    <w:rsid w:val="00A618A4"/>
    <w:rsid w:val="00A632C8"/>
    <w:rsid w:val="00A652F8"/>
    <w:rsid w:val="00A6592D"/>
    <w:rsid w:val="00A66330"/>
    <w:rsid w:val="00A70BA6"/>
    <w:rsid w:val="00A72852"/>
    <w:rsid w:val="00A74E95"/>
    <w:rsid w:val="00A7610D"/>
    <w:rsid w:val="00A77570"/>
    <w:rsid w:val="00A8213C"/>
    <w:rsid w:val="00A82801"/>
    <w:rsid w:val="00A8382E"/>
    <w:rsid w:val="00A83FDF"/>
    <w:rsid w:val="00A845ED"/>
    <w:rsid w:val="00A85818"/>
    <w:rsid w:val="00A85ED2"/>
    <w:rsid w:val="00A862D8"/>
    <w:rsid w:val="00A9139F"/>
    <w:rsid w:val="00A9196F"/>
    <w:rsid w:val="00A9250D"/>
    <w:rsid w:val="00A9361D"/>
    <w:rsid w:val="00A9542A"/>
    <w:rsid w:val="00A96A34"/>
    <w:rsid w:val="00A97670"/>
    <w:rsid w:val="00AA08E2"/>
    <w:rsid w:val="00AA2E2C"/>
    <w:rsid w:val="00AB1295"/>
    <w:rsid w:val="00AB1D7C"/>
    <w:rsid w:val="00AB2128"/>
    <w:rsid w:val="00AB3C35"/>
    <w:rsid w:val="00AB76FE"/>
    <w:rsid w:val="00AC584C"/>
    <w:rsid w:val="00AC6FCE"/>
    <w:rsid w:val="00AC7853"/>
    <w:rsid w:val="00AD4098"/>
    <w:rsid w:val="00AD4513"/>
    <w:rsid w:val="00AE08D9"/>
    <w:rsid w:val="00AE431A"/>
    <w:rsid w:val="00AE77B6"/>
    <w:rsid w:val="00AF039A"/>
    <w:rsid w:val="00AF1A90"/>
    <w:rsid w:val="00AF26D2"/>
    <w:rsid w:val="00AF38C4"/>
    <w:rsid w:val="00AF45F7"/>
    <w:rsid w:val="00AF6492"/>
    <w:rsid w:val="00B0442E"/>
    <w:rsid w:val="00B0486E"/>
    <w:rsid w:val="00B0556B"/>
    <w:rsid w:val="00B061D7"/>
    <w:rsid w:val="00B10BD0"/>
    <w:rsid w:val="00B11526"/>
    <w:rsid w:val="00B127B8"/>
    <w:rsid w:val="00B12BCF"/>
    <w:rsid w:val="00B177F5"/>
    <w:rsid w:val="00B21680"/>
    <w:rsid w:val="00B25E25"/>
    <w:rsid w:val="00B264CE"/>
    <w:rsid w:val="00B41453"/>
    <w:rsid w:val="00B42EB8"/>
    <w:rsid w:val="00B454BB"/>
    <w:rsid w:val="00B51BA9"/>
    <w:rsid w:val="00B530B7"/>
    <w:rsid w:val="00B53770"/>
    <w:rsid w:val="00B538EA"/>
    <w:rsid w:val="00B55E03"/>
    <w:rsid w:val="00B572BC"/>
    <w:rsid w:val="00B57C27"/>
    <w:rsid w:val="00B60C60"/>
    <w:rsid w:val="00B612EE"/>
    <w:rsid w:val="00B6299A"/>
    <w:rsid w:val="00B63144"/>
    <w:rsid w:val="00B64CD1"/>
    <w:rsid w:val="00B65097"/>
    <w:rsid w:val="00B65355"/>
    <w:rsid w:val="00B6537C"/>
    <w:rsid w:val="00B7178C"/>
    <w:rsid w:val="00B71B2D"/>
    <w:rsid w:val="00B71E8C"/>
    <w:rsid w:val="00B7514C"/>
    <w:rsid w:val="00B752EB"/>
    <w:rsid w:val="00B76BEB"/>
    <w:rsid w:val="00B76EC8"/>
    <w:rsid w:val="00B871E2"/>
    <w:rsid w:val="00B900EA"/>
    <w:rsid w:val="00B9064A"/>
    <w:rsid w:val="00B9606C"/>
    <w:rsid w:val="00BA12A2"/>
    <w:rsid w:val="00BA25D9"/>
    <w:rsid w:val="00BA3FD1"/>
    <w:rsid w:val="00BA485D"/>
    <w:rsid w:val="00BA4EAE"/>
    <w:rsid w:val="00BA5076"/>
    <w:rsid w:val="00BB0A45"/>
    <w:rsid w:val="00BB1480"/>
    <w:rsid w:val="00BB31F2"/>
    <w:rsid w:val="00BB7E7C"/>
    <w:rsid w:val="00BC3199"/>
    <w:rsid w:val="00BC3285"/>
    <w:rsid w:val="00BC5E37"/>
    <w:rsid w:val="00BC6E2A"/>
    <w:rsid w:val="00BC753D"/>
    <w:rsid w:val="00BC7957"/>
    <w:rsid w:val="00BD2125"/>
    <w:rsid w:val="00BD36C9"/>
    <w:rsid w:val="00BD4794"/>
    <w:rsid w:val="00BD6024"/>
    <w:rsid w:val="00BD670E"/>
    <w:rsid w:val="00BD6CC0"/>
    <w:rsid w:val="00BE0876"/>
    <w:rsid w:val="00BE1159"/>
    <w:rsid w:val="00BE16B4"/>
    <w:rsid w:val="00BE23F8"/>
    <w:rsid w:val="00BE2827"/>
    <w:rsid w:val="00BF108A"/>
    <w:rsid w:val="00BF25FD"/>
    <w:rsid w:val="00BF5523"/>
    <w:rsid w:val="00BF6AA1"/>
    <w:rsid w:val="00C00CCB"/>
    <w:rsid w:val="00C026C3"/>
    <w:rsid w:val="00C02ABC"/>
    <w:rsid w:val="00C039B9"/>
    <w:rsid w:val="00C0748F"/>
    <w:rsid w:val="00C10235"/>
    <w:rsid w:val="00C1218F"/>
    <w:rsid w:val="00C12B2B"/>
    <w:rsid w:val="00C14218"/>
    <w:rsid w:val="00C154D0"/>
    <w:rsid w:val="00C17615"/>
    <w:rsid w:val="00C2183A"/>
    <w:rsid w:val="00C27F4D"/>
    <w:rsid w:val="00C3103D"/>
    <w:rsid w:val="00C316F8"/>
    <w:rsid w:val="00C31E97"/>
    <w:rsid w:val="00C32F35"/>
    <w:rsid w:val="00C33D0A"/>
    <w:rsid w:val="00C342A6"/>
    <w:rsid w:val="00C349C4"/>
    <w:rsid w:val="00C35393"/>
    <w:rsid w:val="00C36666"/>
    <w:rsid w:val="00C36B82"/>
    <w:rsid w:val="00C376BB"/>
    <w:rsid w:val="00C40C4A"/>
    <w:rsid w:val="00C429E9"/>
    <w:rsid w:val="00C44C17"/>
    <w:rsid w:val="00C4563B"/>
    <w:rsid w:val="00C4636B"/>
    <w:rsid w:val="00C476A1"/>
    <w:rsid w:val="00C47A23"/>
    <w:rsid w:val="00C5452F"/>
    <w:rsid w:val="00C5592D"/>
    <w:rsid w:val="00C57D6A"/>
    <w:rsid w:val="00C62224"/>
    <w:rsid w:val="00C703E1"/>
    <w:rsid w:val="00C71352"/>
    <w:rsid w:val="00C72874"/>
    <w:rsid w:val="00C73E2C"/>
    <w:rsid w:val="00C75DC8"/>
    <w:rsid w:val="00C7720C"/>
    <w:rsid w:val="00C7791F"/>
    <w:rsid w:val="00C84BE0"/>
    <w:rsid w:val="00C84D11"/>
    <w:rsid w:val="00C84E6B"/>
    <w:rsid w:val="00C86A9A"/>
    <w:rsid w:val="00C87B6C"/>
    <w:rsid w:val="00C87BFC"/>
    <w:rsid w:val="00C90AE7"/>
    <w:rsid w:val="00C94F38"/>
    <w:rsid w:val="00C95030"/>
    <w:rsid w:val="00CA0796"/>
    <w:rsid w:val="00CA3C09"/>
    <w:rsid w:val="00CA4D5C"/>
    <w:rsid w:val="00CA537F"/>
    <w:rsid w:val="00CB1ED1"/>
    <w:rsid w:val="00CB4047"/>
    <w:rsid w:val="00CC0386"/>
    <w:rsid w:val="00CC10DD"/>
    <w:rsid w:val="00CC64BB"/>
    <w:rsid w:val="00CD11CC"/>
    <w:rsid w:val="00CD4F89"/>
    <w:rsid w:val="00CD6D22"/>
    <w:rsid w:val="00CE1149"/>
    <w:rsid w:val="00CE20F1"/>
    <w:rsid w:val="00CE4069"/>
    <w:rsid w:val="00CF19D3"/>
    <w:rsid w:val="00D0287B"/>
    <w:rsid w:val="00D03858"/>
    <w:rsid w:val="00D03A86"/>
    <w:rsid w:val="00D051F8"/>
    <w:rsid w:val="00D05FF9"/>
    <w:rsid w:val="00D070B1"/>
    <w:rsid w:val="00D1168F"/>
    <w:rsid w:val="00D12FCC"/>
    <w:rsid w:val="00D130B7"/>
    <w:rsid w:val="00D16AD9"/>
    <w:rsid w:val="00D16B47"/>
    <w:rsid w:val="00D175AA"/>
    <w:rsid w:val="00D249D5"/>
    <w:rsid w:val="00D2571E"/>
    <w:rsid w:val="00D30179"/>
    <w:rsid w:val="00D30614"/>
    <w:rsid w:val="00D41816"/>
    <w:rsid w:val="00D42909"/>
    <w:rsid w:val="00D43EEA"/>
    <w:rsid w:val="00D4469C"/>
    <w:rsid w:val="00D47A75"/>
    <w:rsid w:val="00D527A3"/>
    <w:rsid w:val="00D55191"/>
    <w:rsid w:val="00D5595E"/>
    <w:rsid w:val="00D5694A"/>
    <w:rsid w:val="00D57DBE"/>
    <w:rsid w:val="00D64031"/>
    <w:rsid w:val="00D67487"/>
    <w:rsid w:val="00D70E10"/>
    <w:rsid w:val="00D71761"/>
    <w:rsid w:val="00D7256F"/>
    <w:rsid w:val="00D747A2"/>
    <w:rsid w:val="00D7630F"/>
    <w:rsid w:val="00D76455"/>
    <w:rsid w:val="00D83AFF"/>
    <w:rsid w:val="00D85056"/>
    <w:rsid w:val="00D87638"/>
    <w:rsid w:val="00D934D2"/>
    <w:rsid w:val="00D94E8F"/>
    <w:rsid w:val="00D95358"/>
    <w:rsid w:val="00DA1EE6"/>
    <w:rsid w:val="00DA1F5C"/>
    <w:rsid w:val="00DA28AF"/>
    <w:rsid w:val="00DA30B7"/>
    <w:rsid w:val="00DA651E"/>
    <w:rsid w:val="00DB390B"/>
    <w:rsid w:val="00DB7BCD"/>
    <w:rsid w:val="00DC0CFE"/>
    <w:rsid w:val="00DC5FEE"/>
    <w:rsid w:val="00DD028D"/>
    <w:rsid w:val="00DD0DA9"/>
    <w:rsid w:val="00DD1227"/>
    <w:rsid w:val="00DD6242"/>
    <w:rsid w:val="00DE14CA"/>
    <w:rsid w:val="00DE1CB7"/>
    <w:rsid w:val="00DE327C"/>
    <w:rsid w:val="00DE5891"/>
    <w:rsid w:val="00DE5A53"/>
    <w:rsid w:val="00DF2EA8"/>
    <w:rsid w:val="00DF35A3"/>
    <w:rsid w:val="00DF45C9"/>
    <w:rsid w:val="00E01B87"/>
    <w:rsid w:val="00E01B8C"/>
    <w:rsid w:val="00E02F02"/>
    <w:rsid w:val="00E04407"/>
    <w:rsid w:val="00E05EA2"/>
    <w:rsid w:val="00E05F27"/>
    <w:rsid w:val="00E1451F"/>
    <w:rsid w:val="00E17515"/>
    <w:rsid w:val="00E17DD4"/>
    <w:rsid w:val="00E2099D"/>
    <w:rsid w:val="00E22AB2"/>
    <w:rsid w:val="00E22FB8"/>
    <w:rsid w:val="00E23045"/>
    <w:rsid w:val="00E25558"/>
    <w:rsid w:val="00E27930"/>
    <w:rsid w:val="00E31F5D"/>
    <w:rsid w:val="00E332BF"/>
    <w:rsid w:val="00E357FE"/>
    <w:rsid w:val="00E379BE"/>
    <w:rsid w:val="00E41A99"/>
    <w:rsid w:val="00E435BE"/>
    <w:rsid w:val="00E438FB"/>
    <w:rsid w:val="00E43FC1"/>
    <w:rsid w:val="00E445E1"/>
    <w:rsid w:val="00E44727"/>
    <w:rsid w:val="00E4592F"/>
    <w:rsid w:val="00E46077"/>
    <w:rsid w:val="00E47E09"/>
    <w:rsid w:val="00E47FAC"/>
    <w:rsid w:val="00E50A3C"/>
    <w:rsid w:val="00E5245D"/>
    <w:rsid w:val="00E53084"/>
    <w:rsid w:val="00E543C1"/>
    <w:rsid w:val="00E56377"/>
    <w:rsid w:val="00E637C8"/>
    <w:rsid w:val="00E63F10"/>
    <w:rsid w:val="00E64B6C"/>
    <w:rsid w:val="00E65E8D"/>
    <w:rsid w:val="00E667AA"/>
    <w:rsid w:val="00E6702D"/>
    <w:rsid w:val="00E711B0"/>
    <w:rsid w:val="00E7124A"/>
    <w:rsid w:val="00E71323"/>
    <w:rsid w:val="00E7208D"/>
    <w:rsid w:val="00E764DE"/>
    <w:rsid w:val="00E76B02"/>
    <w:rsid w:val="00E77289"/>
    <w:rsid w:val="00E77BB2"/>
    <w:rsid w:val="00E80F56"/>
    <w:rsid w:val="00E8214D"/>
    <w:rsid w:val="00E874A4"/>
    <w:rsid w:val="00E8792E"/>
    <w:rsid w:val="00E92FD4"/>
    <w:rsid w:val="00EA14F4"/>
    <w:rsid w:val="00EA50CF"/>
    <w:rsid w:val="00EB20FD"/>
    <w:rsid w:val="00EC0F5E"/>
    <w:rsid w:val="00EC4A43"/>
    <w:rsid w:val="00EC656C"/>
    <w:rsid w:val="00EC737C"/>
    <w:rsid w:val="00ED2ACD"/>
    <w:rsid w:val="00ED30C0"/>
    <w:rsid w:val="00ED366B"/>
    <w:rsid w:val="00ED3E7C"/>
    <w:rsid w:val="00ED676C"/>
    <w:rsid w:val="00EE24AA"/>
    <w:rsid w:val="00EE2776"/>
    <w:rsid w:val="00EE2B0A"/>
    <w:rsid w:val="00EE4604"/>
    <w:rsid w:val="00EE4E7D"/>
    <w:rsid w:val="00EF29E4"/>
    <w:rsid w:val="00EF3609"/>
    <w:rsid w:val="00EF39D9"/>
    <w:rsid w:val="00EF4BF1"/>
    <w:rsid w:val="00EF65A6"/>
    <w:rsid w:val="00EF763A"/>
    <w:rsid w:val="00F007EA"/>
    <w:rsid w:val="00F010E1"/>
    <w:rsid w:val="00F024C7"/>
    <w:rsid w:val="00F0261F"/>
    <w:rsid w:val="00F03223"/>
    <w:rsid w:val="00F033AF"/>
    <w:rsid w:val="00F03573"/>
    <w:rsid w:val="00F04440"/>
    <w:rsid w:val="00F073F5"/>
    <w:rsid w:val="00F10B9A"/>
    <w:rsid w:val="00F1178E"/>
    <w:rsid w:val="00F16268"/>
    <w:rsid w:val="00F20F6D"/>
    <w:rsid w:val="00F230A9"/>
    <w:rsid w:val="00F34940"/>
    <w:rsid w:val="00F35291"/>
    <w:rsid w:val="00F40166"/>
    <w:rsid w:val="00F4052C"/>
    <w:rsid w:val="00F42673"/>
    <w:rsid w:val="00F465F6"/>
    <w:rsid w:val="00F46D5C"/>
    <w:rsid w:val="00F529CC"/>
    <w:rsid w:val="00F53409"/>
    <w:rsid w:val="00F57302"/>
    <w:rsid w:val="00F61933"/>
    <w:rsid w:val="00F61B67"/>
    <w:rsid w:val="00F659AD"/>
    <w:rsid w:val="00F671AE"/>
    <w:rsid w:val="00F67509"/>
    <w:rsid w:val="00F67C78"/>
    <w:rsid w:val="00F67D4A"/>
    <w:rsid w:val="00F71012"/>
    <w:rsid w:val="00F73E12"/>
    <w:rsid w:val="00F768E9"/>
    <w:rsid w:val="00F7691B"/>
    <w:rsid w:val="00F76A19"/>
    <w:rsid w:val="00F77EC3"/>
    <w:rsid w:val="00F8440D"/>
    <w:rsid w:val="00F92031"/>
    <w:rsid w:val="00F92FEC"/>
    <w:rsid w:val="00F93A48"/>
    <w:rsid w:val="00F94AEA"/>
    <w:rsid w:val="00FA0FC2"/>
    <w:rsid w:val="00FA34EB"/>
    <w:rsid w:val="00FA5252"/>
    <w:rsid w:val="00FB2216"/>
    <w:rsid w:val="00FB3507"/>
    <w:rsid w:val="00FB493B"/>
    <w:rsid w:val="00FB788B"/>
    <w:rsid w:val="00FC00F3"/>
    <w:rsid w:val="00FC0702"/>
    <w:rsid w:val="00FC206B"/>
    <w:rsid w:val="00FC3AAF"/>
    <w:rsid w:val="00FC3CAE"/>
    <w:rsid w:val="00FC3D3F"/>
    <w:rsid w:val="00FD49E8"/>
    <w:rsid w:val="00FD742A"/>
    <w:rsid w:val="00FE0639"/>
    <w:rsid w:val="00FE117C"/>
    <w:rsid w:val="00FE2BA7"/>
    <w:rsid w:val="00FE3E8B"/>
    <w:rsid w:val="00FE474D"/>
    <w:rsid w:val="00FE5C12"/>
    <w:rsid w:val="00FE5EB4"/>
    <w:rsid w:val="00FF0582"/>
    <w:rsid w:val="00FF0689"/>
    <w:rsid w:val="00FF0834"/>
    <w:rsid w:val="00FF23D3"/>
    <w:rsid w:val="00FF3A49"/>
    <w:rsid w:val="00FF5056"/>
    <w:rsid w:val="00FF6E26"/>
  </w:rsids>
  <w:docVars>
    <w:docVar w:name="APPROVER" w:val="-"/>
    <w:docVar w:name="CONSENT" w:val="-"/>
    <w:docVar w:name="DATEREV" w:val="05/12/2014"/>
    <w:docVar w:name="DOC" w:val="POL-GEQ-TEC-001"/>
    <w:docVar w:name="ELABORATOR" w:val="-"/>
    <w:docVar w:name="REV" w:val="1"/>
    <w:docVar w:name="TITLE" w:val="Política de Segurança da Informação"/>
  </w:docVars>
  <m:mathPr>
    <m:mathFont m:val="Cambria Math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DE520718-0B43-4C80-84FD-6070ABE5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94D"/>
  </w:style>
  <w:style w:type="paragraph" w:styleId="Heading1">
    <w:name w:val="heading 1"/>
    <w:basedOn w:val="Normal"/>
    <w:next w:val="Normal"/>
    <w:qFormat/>
    <w:rsid w:val="007C394D"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7C394D"/>
    <w:pPr>
      <w:keepNext/>
      <w:outlineLvl w:val="1"/>
    </w:pPr>
    <w:rPr>
      <w:rFonts w:ascii="Bookman Old Style" w:hAnsi="Bookman Old Style"/>
      <w:sz w:val="24"/>
    </w:rPr>
  </w:style>
  <w:style w:type="paragraph" w:styleId="Heading3">
    <w:name w:val="heading 3"/>
    <w:basedOn w:val="Normal"/>
    <w:next w:val="Normal"/>
    <w:qFormat/>
    <w:rsid w:val="007C394D"/>
    <w:pPr>
      <w:keepNext/>
      <w:ind w:firstLine="709"/>
      <w:outlineLvl w:val="2"/>
    </w:pPr>
    <w:rPr>
      <w:rFonts w:ascii="Bookman Old Style" w:hAnsi="Bookman Old Style"/>
      <w:sz w:val="24"/>
    </w:rPr>
  </w:style>
  <w:style w:type="paragraph" w:styleId="Heading4">
    <w:name w:val="heading 4"/>
    <w:basedOn w:val="Normal"/>
    <w:next w:val="Normal"/>
    <w:link w:val="Ttulo4Char"/>
    <w:qFormat/>
    <w:rsid w:val="007C394D"/>
    <w:pPr>
      <w:keepNext/>
      <w:jc w:val="center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C394D"/>
    <w:pPr>
      <w:keepNext/>
      <w:jc w:val="center"/>
      <w:outlineLvl w:val="4"/>
    </w:pPr>
    <w:rPr>
      <w:b/>
      <w:i/>
      <w:sz w:val="96"/>
    </w:rPr>
  </w:style>
  <w:style w:type="paragraph" w:styleId="Heading6">
    <w:name w:val="heading 6"/>
    <w:basedOn w:val="Normal"/>
    <w:next w:val="Normal"/>
    <w:qFormat/>
    <w:rsid w:val="007C394D"/>
    <w:pPr>
      <w:keepNext/>
      <w:outlineLvl w:val="5"/>
    </w:pPr>
    <w:rPr>
      <w:rFonts w:ascii="Bookman Old Style" w:hAnsi="Bookman Old Style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C394D"/>
    <w:pPr>
      <w:ind w:firstLine="709"/>
    </w:pPr>
  </w:style>
  <w:style w:type="paragraph" w:styleId="Header">
    <w:name w:val="header"/>
    <w:basedOn w:val="Normal"/>
    <w:rsid w:val="007C394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RodapChar"/>
    <w:uiPriority w:val="99"/>
    <w:rsid w:val="007C394D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sid w:val="007C394D"/>
    <w:pPr>
      <w:jc w:val="both"/>
    </w:pPr>
    <w:rPr>
      <w:color w:val="000080"/>
      <w:sz w:val="24"/>
    </w:rPr>
  </w:style>
  <w:style w:type="character" w:styleId="PageNumber">
    <w:name w:val="page number"/>
    <w:basedOn w:val="DefaultParagraphFont"/>
    <w:uiPriority w:val="99"/>
    <w:rsid w:val="007C394D"/>
  </w:style>
  <w:style w:type="paragraph" w:styleId="BodyText2">
    <w:name w:val="Body Text 2"/>
    <w:basedOn w:val="Normal"/>
    <w:rsid w:val="007C394D"/>
    <w:pPr>
      <w:jc w:val="center"/>
    </w:pPr>
    <w:rPr>
      <w:rFonts w:ascii="Arial" w:hAnsi="Arial"/>
      <w:b/>
      <w:i/>
      <w:sz w:val="96"/>
    </w:rPr>
  </w:style>
  <w:style w:type="paragraph" w:styleId="NormalWeb">
    <w:name w:val="Normal (Web)"/>
    <w:basedOn w:val="Normal"/>
    <w:rsid w:val="005C7BC6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AB21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7E7C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u w:val="none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1F0F"/>
    <w:pPr>
      <w:tabs>
        <w:tab w:val="left" w:pos="851"/>
        <w:tab w:val="right" w:leader="dot" w:pos="8495"/>
      </w:tabs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E0C0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3BD9"/>
    <w:pPr>
      <w:tabs>
        <w:tab w:val="left" w:pos="851"/>
        <w:tab w:val="right" w:leader="dot" w:pos="8495"/>
      </w:tabs>
      <w:spacing w:after="100" w:line="276" w:lineRule="auto"/>
      <w:ind w:left="224"/>
    </w:pPr>
    <w:rPr>
      <w:rFonts w:ascii="Calibri" w:hAnsi="Calibri"/>
      <w:sz w:val="22"/>
      <w:szCs w:val="22"/>
      <w:lang w:eastAsia="en-US"/>
    </w:rPr>
  </w:style>
  <w:style w:type="paragraph" w:customStyle="1" w:styleId="Estilo1">
    <w:name w:val="Estilo1"/>
    <w:basedOn w:val="Heading4"/>
    <w:link w:val="Estilo1Char"/>
    <w:qFormat/>
    <w:rsid w:val="004D1090"/>
    <w:pPr>
      <w:spacing w:beforeLines="60" w:afterLines="60" w:line="280" w:lineRule="atLeast"/>
      <w:jc w:val="both"/>
    </w:pPr>
    <w:rPr>
      <w:rFonts w:ascii="Verdana" w:hAnsi="Verdana"/>
      <w:i w:val="0"/>
    </w:rPr>
  </w:style>
  <w:style w:type="paragraph" w:customStyle="1" w:styleId="Default">
    <w:name w:val="Default"/>
    <w:rsid w:val="005275B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tulo4Char">
    <w:name w:val="Título 4 Char"/>
    <w:basedOn w:val="DefaultParagraphFont"/>
    <w:link w:val="Heading4"/>
    <w:rsid w:val="004D1090"/>
    <w:rPr>
      <w:b/>
      <w:i/>
    </w:rPr>
  </w:style>
  <w:style w:type="character" w:customStyle="1" w:styleId="Estilo1Char">
    <w:name w:val="Estilo1 Char"/>
    <w:basedOn w:val="Ttulo4Char"/>
    <w:link w:val="Estilo1"/>
    <w:rsid w:val="004D1090"/>
    <w:rPr>
      <w:rFonts w:ascii="Verdana" w:hAnsi="Verdana"/>
      <w:b/>
      <w:i w:val="0"/>
    </w:rPr>
  </w:style>
  <w:style w:type="paragraph" w:styleId="ListParagraph">
    <w:name w:val="List Paragraph"/>
    <w:basedOn w:val="Normal"/>
    <w:uiPriority w:val="34"/>
    <w:qFormat/>
    <w:rsid w:val="00D12F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ighlightedVariable">
    <w:name w:val="Highlighted Variable"/>
    <w:rsid w:val="008510ED"/>
    <w:rPr>
      <w:color w:val="0000FF"/>
    </w:rPr>
  </w:style>
  <w:style w:type="character" w:styleId="Hyperlink">
    <w:name w:val="Hyperlink"/>
    <w:basedOn w:val="DefaultParagraphFont"/>
    <w:uiPriority w:val="99"/>
    <w:unhideWhenUsed/>
    <w:rsid w:val="00EC656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1F29"/>
    <w:rPr>
      <w:sz w:val="16"/>
      <w:szCs w:val="16"/>
    </w:rPr>
  </w:style>
  <w:style w:type="paragraph" w:styleId="CommentText">
    <w:name w:val="annotation text"/>
    <w:basedOn w:val="Normal"/>
    <w:link w:val="TextodecomentrioChar"/>
    <w:uiPriority w:val="99"/>
    <w:semiHidden/>
    <w:unhideWhenUsed/>
    <w:rsid w:val="00391F29"/>
  </w:style>
  <w:style w:type="character" w:customStyle="1" w:styleId="TextodecomentrioChar">
    <w:name w:val="Texto de comentário Char"/>
    <w:basedOn w:val="DefaultParagraphFont"/>
    <w:link w:val="CommentText"/>
    <w:uiPriority w:val="99"/>
    <w:semiHidden/>
    <w:rsid w:val="00391F29"/>
  </w:style>
  <w:style w:type="paragraph" w:styleId="CommentSubject">
    <w:name w:val="annotation subject"/>
    <w:basedOn w:val="CommentText"/>
    <w:next w:val="CommentText"/>
    <w:link w:val="AssuntodocomentrioChar"/>
    <w:uiPriority w:val="99"/>
    <w:semiHidden/>
    <w:unhideWhenUsed/>
    <w:rsid w:val="00391F29"/>
    <w:rPr>
      <w:b/>
      <w:bCs/>
    </w:rPr>
  </w:style>
  <w:style w:type="character" w:customStyle="1" w:styleId="AssuntodocomentrioChar">
    <w:name w:val="Assunto do comentário Char"/>
    <w:basedOn w:val="TextodecomentrioChar"/>
    <w:link w:val="CommentSubject"/>
    <w:uiPriority w:val="99"/>
    <w:semiHidden/>
    <w:rsid w:val="00391F29"/>
    <w:rPr>
      <w:b/>
      <w:bCs/>
    </w:rPr>
  </w:style>
  <w:style w:type="paragraph" w:styleId="Revision">
    <w:name w:val="Revision"/>
    <w:hidden/>
    <w:uiPriority w:val="99"/>
    <w:semiHidden/>
    <w:rsid w:val="008F0779"/>
  </w:style>
  <w:style w:type="paragraph" w:styleId="HTMLPreformatted">
    <w:name w:val="HTML Preformatted"/>
    <w:basedOn w:val="Normal"/>
    <w:link w:val="Pr-formataoHTMLChar"/>
    <w:uiPriority w:val="99"/>
    <w:unhideWhenUsed/>
    <w:rsid w:val="008F0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DefaultParagraphFont"/>
    <w:link w:val="HTMLPreformatted"/>
    <w:uiPriority w:val="99"/>
    <w:rsid w:val="008F0779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C039B9"/>
    <w:rPr>
      <w:i/>
      <w:iCs/>
    </w:rPr>
  </w:style>
  <w:style w:type="character" w:customStyle="1" w:styleId="apple-converted-space">
    <w:name w:val="apple-converted-space"/>
    <w:basedOn w:val="DefaultParagraphFont"/>
    <w:rsid w:val="00622583"/>
  </w:style>
  <w:style w:type="paragraph" w:styleId="NoSpacing">
    <w:name w:val="No Spacing"/>
    <w:link w:val="SemEspaamentoChar"/>
    <w:uiPriority w:val="1"/>
    <w:qFormat/>
    <w:rsid w:val="00934E3B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DefaultParagraphFont"/>
    <w:link w:val="NoSpacing"/>
    <w:uiPriority w:val="1"/>
    <w:rsid w:val="00934E3B"/>
    <w:rPr>
      <w:rFonts w:ascii="Calibri" w:hAnsi="Calibri"/>
      <w:sz w:val="22"/>
      <w:szCs w:val="22"/>
      <w:lang w:val="pt-BR" w:eastAsia="en-US" w:bidi="ar-SA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B0486E"/>
  </w:style>
  <w:style w:type="character" w:customStyle="1" w:styleId="TextodenotaderodapChar">
    <w:name w:val="Texto de nota de rodapé Char"/>
    <w:basedOn w:val="DefaultParagraphFont"/>
    <w:link w:val="FootnoteText"/>
    <w:uiPriority w:val="99"/>
    <w:semiHidden/>
    <w:rsid w:val="00B0486E"/>
  </w:style>
  <w:style w:type="character" w:styleId="FootnoteReference">
    <w:name w:val="footnote reference"/>
    <w:basedOn w:val="DefaultParagraphFont"/>
    <w:uiPriority w:val="99"/>
    <w:semiHidden/>
    <w:unhideWhenUsed/>
    <w:rsid w:val="00B0486E"/>
    <w:rPr>
      <w:vertAlign w:val="superscript"/>
    </w:rPr>
  </w:style>
  <w:style w:type="character" w:customStyle="1" w:styleId="RodapChar">
    <w:name w:val="Rodapé Char"/>
    <w:basedOn w:val="DefaultParagraphFont"/>
    <w:link w:val="Footer"/>
    <w:uiPriority w:val="99"/>
    <w:rsid w:val="00584F31"/>
  </w:style>
  <w:style w:type="paragraph" w:customStyle="1" w:styleId="Estilopadro">
    <w:name w:val="Estilo padrão"/>
    <w:rsid w:val="009D604C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tyles" Target="styles.xml"/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12" Type="http://schemas.openxmlformats.org/officeDocument/2006/relationships/numbering" Target="numbering.xml"/><Relationship Id="rId7" Type="http://schemas.openxmlformats.org/officeDocument/2006/relationships/header" Target="header1.xml"/><Relationship Id="rId2" Type="http://schemas.openxmlformats.org/officeDocument/2006/relationships/webSettings" Target="webSettings.xml"/><Relationship Id="rId16" Type="http://schemas.openxmlformats.org/officeDocument/2006/relationships/customXml" Target="../customXml/item5.xml"/><Relationship Id="rId1" Type="http://schemas.openxmlformats.org/officeDocument/2006/relationships/settings" Target="settings.xml"/><Relationship Id="rId11" Type="http://schemas.openxmlformats.org/officeDocument/2006/relationships/theme" Target="theme/theme1.xml"/><Relationship Id="rId6" Type="http://schemas.openxmlformats.org/officeDocument/2006/relationships/hyperlink" Target="mailto:seginfo.ti@edsonqueiroz.com.br" TargetMode="External"/><Relationship Id="rId5" Type="http://schemas.openxmlformats.org/officeDocument/2006/relationships/customXml" Target="../customXml/item2.xml"/><Relationship Id="rId15" Type="http://schemas.openxmlformats.org/officeDocument/2006/relationships/customXml" Target="../customXml/item4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1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C8B840E5794E40F3AF7EC5F99436C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07DD9-8B8F-4E62-8E81-034B0EC1BD91}"/>
      </w:docPartPr>
      <w:docPartBody>
        <w:p w:rsidR="003A79C1" w:rsidP="007C02DF">
          <w:pPr>
            <w:pStyle w:val="C8B840E5794E40F3AF7EC5F99436C09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[Digite o título do documento]</w:t>
          </w:r>
        </w:p>
      </w:docPartBody>
    </w:docPart>
    <w:docPart>
      <w:docPartPr>
        <w:name w:val="D49657103F1A4F06B68F4F1D40BA7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9349-97ED-4989-83FA-E8EA8EED2933}"/>
      </w:docPartPr>
      <w:docPartBody>
        <w:p w:rsidR="003A79C1" w:rsidP="007C02DF">
          <w:pPr>
            <w:pStyle w:val="D49657103F1A4F06B68F4F1D40BA77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C02DF"/>
    <w:rsid w:val="00015C2A"/>
    <w:rsid w:val="000B30C6"/>
    <w:rsid w:val="000D2786"/>
    <w:rsid w:val="000E00DB"/>
    <w:rsid w:val="000E2A93"/>
    <w:rsid w:val="00107975"/>
    <w:rsid w:val="001677AF"/>
    <w:rsid w:val="00204032"/>
    <w:rsid w:val="00222F25"/>
    <w:rsid w:val="00244862"/>
    <w:rsid w:val="00265632"/>
    <w:rsid w:val="002845E0"/>
    <w:rsid w:val="002C59BE"/>
    <w:rsid w:val="002F4586"/>
    <w:rsid w:val="003157A4"/>
    <w:rsid w:val="00342930"/>
    <w:rsid w:val="00346086"/>
    <w:rsid w:val="003729EE"/>
    <w:rsid w:val="003767CC"/>
    <w:rsid w:val="00387C8B"/>
    <w:rsid w:val="003A79C1"/>
    <w:rsid w:val="003C1453"/>
    <w:rsid w:val="00421118"/>
    <w:rsid w:val="004262D6"/>
    <w:rsid w:val="0046458B"/>
    <w:rsid w:val="00483980"/>
    <w:rsid w:val="0049164C"/>
    <w:rsid w:val="004F2D85"/>
    <w:rsid w:val="00556495"/>
    <w:rsid w:val="005642E9"/>
    <w:rsid w:val="0056646A"/>
    <w:rsid w:val="00572FD6"/>
    <w:rsid w:val="005B3F8F"/>
    <w:rsid w:val="005C13F1"/>
    <w:rsid w:val="006312FA"/>
    <w:rsid w:val="006741D4"/>
    <w:rsid w:val="00694B59"/>
    <w:rsid w:val="006C4AA4"/>
    <w:rsid w:val="006E3926"/>
    <w:rsid w:val="006F3C92"/>
    <w:rsid w:val="007030EA"/>
    <w:rsid w:val="00707EBD"/>
    <w:rsid w:val="0076643F"/>
    <w:rsid w:val="007C02DF"/>
    <w:rsid w:val="007C4522"/>
    <w:rsid w:val="007E2865"/>
    <w:rsid w:val="00815038"/>
    <w:rsid w:val="00841463"/>
    <w:rsid w:val="00841596"/>
    <w:rsid w:val="00843BA8"/>
    <w:rsid w:val="008A54DE"/>
    <w:rsid w:val="008E1154"/>
    <w:rsid w:val="008F0E6F"/>
    <w:rsid w:val="009161E0"/>
    <w:rsid w:val="00965337"/>
    <w:rsid w:val="00991927"/>
    <w:rsid w:val="009A53A2"/>
    <w:rsid w:val="00A137E9"/>
    <w:rsid w:val="00A25784"/>
    <w:rsid w:val="00A53EE4"/>
    <w:rsid w:val="00A5717F"/>
    <w:rsid w:val="00A942B1"/>
    <w:rsid w:val="00AB05D4"/>
    <w:rsid w:val="00AB0B9E"/>
    <w:rsid w:val="00AC745E"/>
    <w:rsid w:val="00B91F4D"/>
    <w:rsid w:val="00BC73DA"/>
    <w:rsid w:val="00BE29B0"/>
    <w:rsid w:val="00C33E8E"/>
    <w:rsid w:val="00C442F1"/>
    <w:rsid w:val="00CA29BF"/>
    <w:rsid w:val="00CD2CCC"/>
    <w:rsid w:val="00CD6710"/>
    <w:rsid w:val="00CE1F2F"/>
    <w:rsid w:val="00CF0E34"/>
    <w:rsid w:val="00CF7D55"/>
    <w:rsid w:val="00DF2FAD"/>
    <w:rsid w:val="00E074CA"/>
    <w:rsid w:val="00E52ED7"/>
    <w:rsid w:val="00E5367D"/>
    <w:rsid w:val="00E650A6"/>
    <w:rsid w:val="00E928E5"/>
    <w:rsid w:val="00ED04CC"/>
    <w:rsid w:val="00F5695D"/>
    <w:rsid w:val="00FB4079"/>
    <w:rsid w:val="00FE5F6B"/>
  </w:rsids>
  <m:mathPr>
    <m:mathFont m:val="Cambria Math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B840E5794E40F3AF7EC5F99436C091">
    <w:name w:val="C8B840E5794E40F3AF7EC5F99436C091"/>
    <w:rsid w:val="007C02DF"/>
  </w:style>
  <w:style w:type="paragraph" w:customStyle="1" w:styleId="D49657103F1A4F06B68F4F1D40BA7729">
    <w:name w:val="D49657103F1A4F06B68F4F1D40BA7729"/>
    <w:rsid w:val="007C02DF"/>
  </w:style>
  <w:style w:type="paragraph" w:customStyle="1" w:styleId="F90D4338046C4C45804C064675E65910">
    <w:name w:val="F90D4338046C4C45804C064675E65910"/>
    <w:rsid w:val="007C02DF"/>
  </w:style>
  <w:style w:type="paragraph" w:customStyle="1" w:styleId="E1FCC23E8EF548F08C9B10B7BFCC8860">
    <w:name w:val="E1FCC23E8EF548F08C9B10B7BFCC8860"/>
    <w:rsid w:val="007C02DF"/>
  </w:style>
  <w:style w:type="paragraph" w:customStyle="1" w:styleId="8644FDC9765B48C88EE90B2D7FAC2934">
    <w:name w:val="8644FDC9765B48C88EE90B2D7FAC2934"/>
    <w:rsid w:val="007C0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2CF1AC570C204688DED86EB41D5930" ma:contentTypeVersion="20" ma:contentTypeDescription="Crie um novo documento." ma:contentTypeScope="" ma:versionID="e7e1024e49e95e1c4b646b2692900f75">
  <xsd:schema xmlns:xsd="http://www.w3.org/2001/XMLSchema" xmlns:xs="http://www.w3.org/2001/XMLSchema" xmlns:p="http://schemas.microsoft.com/office/2006/metadata/properties" xmlns:ns2="15368184-299f-4cac-acbe-1b41a8c57da3" xmlns:ns3="e4cf966d-9526-4c0e-9bff-c7b3a71bb157" targetNamespace="http://schemas.microsoft.com/office/2006/metadata/properties" ma:root="true" ma:fieldsID="8312eeca0a3ff1ef8d36769a900a533d" ns2:_="" ns3:_="">
    <xsd:import namespace="15368184-299f-4cac-acbe-1b41a8c57da3"/>
    <xsd:import namespace="e4cf966d-9526-4c0e-9bff-c7b3a71bb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ender" minOccurs="0"/>
                <xsd:element ref="ns2:MediaServiceObjectDetectorVersions" minOccurs="0"/>
                <xsd:element ref="ns2:Data" minOccurs="0"/>
                <xsd:element ref="ns2:Pesso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68184-299f-4cac-acbe-1b41a8c57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eecd48a-3561-4242-b13c-3cae0d2113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nder" ma:index="23" nillable="true" ma:displayName="ender" ma:format="Hyperlink" ma:internalName="end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a" ma:index="25" nillable="true" ma:displayName="Data" ma:format="DateOnly" ma:internalName="Data">
      <xsd:simpleType>
        <xsd:restriction base="dms:DateTime"/>
      </xsd:simpleType>
    </xsd:element>
    <xsd:element name="Pessoa" ma:index="26" nillable="true" ma:displayName="Pessoa" ma:format="Dropdown" ma:list="UserInfo" ma:SharePointGroup="0" ma:internalName="Pesso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f966d-9526-4c0e-9bff-c7b3a71bb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dcec0e5-ecbc-42e4-abd2-a00f99fe6a00}" ma:internalName="TaxCatchAll" ma:showField="CatchAllData" ma:web="e4cf966d-9526-4c0e-9bff-c7b3a71bb1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ssoa xmlns="15368184-299f-4cac-acbe-1b41a8c57da3">
      <UserInfo>
        <DisplayName/>
        <AccountId xsi:nil="true"/>
        <AccountType/>
      </UserInfo>
    </Pessoa>
    <TaxCatchAll xmlns="e4cf966d-9526-4c0e-9bff-c7b3a71bb157" xsi:nil="true"/>
    <Data xmlns="15368184-299f-4cac-acbe-1b41a8c57da3" xsi:nil="true"/>
    <lcf76f155ced4ddcb4097134ff3c332f xmlns="15368184-299f-4cac-acbe-1b41a8c57da3">
      <Terms xmlns="http://schemas.microsoft.com/office/infopath/2007/PartnerControls"/>
    </lcf76f155ced4ddcb4097134ff3c332f>
    <ender xmlns="15368184-299f-4cac-acbe-1b41a8c57da3">
      <Url xsi:nil="true"/>
      <Description xsi:nil="true"/>
    </ender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BC2014-5805-4760-BF4A-3F96AAF4FC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EFD176-6779-430E-BF3A-E8D2DEB4BE1B}"/>
</file>

<file path=customXml/itemProps4.xml><?xml version="1.0" encoding="utf-8"?>
<ds:datastoreItem xmlns:ds="http://schemas.openxmlformats.org/officeDocument/2006/customXml" ds:itemID="{9F666989-5DCF-4697-8CCF-DF968EE242EB}"/>
</file>

<file path=customXml/itemProps5.xml><?xml version="1.0" encoding="utf-8"?>
<ds:datastoreItem xmlns:ds="http://schemas.openxmlformats.org/officeDocument/2006/customXml" ds:itemID="{D14A5598-E041-4F7C-B159-9E37545D07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2506</Words>
  <Characters>13538</Characters>
  <Application>Microsoft Office Word</Application>
  <DocSecurity>0</DocSecurity>
  <Lines>112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Política da Segurança da Informação</vt:lpstr>
      <vt:lpstr>Política de Crédito</vt:lpstr>
    </vt:vector>
  </TitlesOfParts>
  <Company>Grupo Edson Queiroz</Company>
  <LinksUpToDate>false</LinksUpToDate>
  <CharactersWithSpaces>16012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Política da Segurança da Informação</dc:title>
  <dc:subject>Grupo Edson Queiroz</dc:subject>
  <dc:creator>Ailomar</dc:creator>
  <cp:lastModifiedBy>Gabriella Venancio</cp:lastModifiedBy>
  <cp:revision>32</cp:revision>
  <cp:lastPrinted>2016-04-12T19:28:00Z</cp:lastPrinted>
  <dcterms:created xsi:type="dcterms:W3CDTF">2014-11-04T13:02:00Z</dcterms:created>
  <dcterms:modified xsi:type="dcterms:W3CDTF">2016-04-12T19:28:00Z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0x010100F02CF1AC570C204688DED86EB41D5930</vt:lpwstr>
  </property>
</Properties>
</file>