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495442"/>
    <w:p w14:paraId="0BFEFC12" w14:textId="3BF65E36" w:rsidR="00A66330" w:rsidRPr="005F5806" w:rsidRDefault="002F2DE5" w:rsidP="00B025EB">
      <w:pPr>
        <w:pStyle w:val="SemEspaamento"/>
        <w:rPr>
          <w:rFonts w:asciiTheme="majorHAnsi" w:eastAsiaTheme="majorEastAsia" w:hAnsiTheme="majorHAnsi" w:cstheme="majorBidi"/>
          <w:sz w:val="72"/>
          <w:szCs w:val="72"/>
        </w:rPr>
      </w:pPr>
      <w:r w:rsidRPr="005F5806">
        <w:rPr>
          <w:noProof/>
        </w:rPr>
        <mc:AlternateContent>
          <mc:Choice Requires="wps">
            <w:drawing>
              <wp:anchor distT="0" distB="0" distL="114300" distR="114300" simplePos="0" relativeHeight="251658240" behindDoc="0" locked="0" layoutInCell="0" allowOverlap="1" wp14:anchorId="0E9626C2" wp14:editId="6328228E">
                <wp:simplePos x="0" y="0"/>
                <wp:positionH relativeFrom="page">
                  <wp:align>center</wp:align>
                </wp:positionH>
                <wp:positionV relativeFrom="page">
                  <wp:align>bottom</wp:align>
                </wp:positionV>
                <wp:extent cx="7933912" cy="1524190"/>
                <wp:effectExtent l="0" t="0" r="24130" b="190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3912" cy="1524190"/>
                        </a:xfrm>
                        <a:prstGeom prst="rect">
                          <a:avLst/>
                        </a:prstGeom>
                        <a:solidFill>
                          <a:schemeClr val="tx2"/>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105000</wp14:pctWidth>
                </wp14:sizeRelH>
                <wp14:sizeRelV relativeFrom="topMargin">
                  <wp14:pctHeight>90000</wp14:pctHeight>
                </wp14:sizeRelV>
              </wp:anchor>
            </w:drawing>
          </mc:Choice>
          <mc:Fallback xmlns:w16du="http://schemas.microsoft.com/office/word/2023/wordml/word16du">
            <w:pict>
              <v:rect w14:anchorId="5D2CCE95" id="Rectangle 2" o:spid="_x0000_s1026" style="position:absolute;margin-left:0;margin-top:0;width:624.7pt;height:120pt;z-index:2516582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" o:allowincell="f" fillcolor="#1f497d [3215]" strokecolor="#31849b [2408]">
                <w10:wrap anchorx="page" anchory="page"/>
              </v:rect>
            </w:pict>
          </mc:Fallback>
        </mc:AlternateContent>
      </w:r>
      <w:r w:rsidRPr="005F5806">
        <w:rPr>
          <w:noProof/>
        </w:rPr>
        <mc:AlternateContent>
          <mc:Choice Requires="wps">
            <w:drawing>
              <wp:anchor distT="0" distB="0" distL="114300" distR="114300" simplePos="0" relativeHeight="251664384" behindDoc="0" locked="0" layoutInCell="0" allowOverlap="1" wp14:anchorId="31599813" wp14:editId="722C3D1C">
                <wp:simplePos x="0" y="0"/>
                <wp:positionH relativeFrom="leftMargin">
                  <wp:align>center</wp:align>
                </wp:positionH>
                <wp:positionV relativeFrom="page">
                  <wp:align>center</wp:align>
                </wp:positionV>
                <wp:extent cx="90805" cy="11228070"/>
                <wp:effectExtent l="0" t="0" r="4445"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807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105000</wp14:pctHeight>
                </wp14:sizeRelV>
              </wp:anchor>
            </w:drawing>
          </mc:Choice>
          <mc:Fallback xmlns:w16du="http://schemas.microsoft.com/office/word/2023/wordml/word16du">
            <w:pict>
              <v:rect id="Rectangle 5" o:spid="_x0000_s1026" style="width:7.15pt;height:882.9pt;margin-top:0;margin-left:0;mso-height-percent:1050;mso-height-relative:page;mso-position-horizontal:center;mso-position-horizontal-relative:left-margin-area;mso-position-vertical:center;mso-position-vertical-relative:page;mso-width-percent:0;mso-width-relative:page;mso-wrap-distance-bottom:0;mso-wrap-distance-left:9pt;mso-wrap-distance-right:9pt;mso-wrap-distance-top:0;mso-wrap-style:square;position:absolute;v-text-anchor:top;visibility:visible;z-index:251665408" o:allowincell="f" fillcolor="white" strokecolor="#31849b"/>
            </w:pict>
          </mc:Fallback>
        </mc:AlternateContent>
      </w:r>
      <w:r w:rsidRPr="005F5806">
        <w:rPr>
          <w:noProof/>
        </w:rPr>
        <mc:AlternateContent>
          <mc:Choice Requires="wps">
            <w:drawing>
              <wp:anchor distT="0" distB="0" distL="114300" distR="114300" simplePos="0" relativeHeight="251662336" behindDoc="0" locked="0" layoutInCell="0" allowOverlap="1" wp14:anchorId="552BE233" wp14:editId="26314798">
                <wp:simplePos x="0" y="0"/>
                <wp:positionH relativeFrom="rightMargin">
                  <wp:align>center</wp:align>
                </wp:positionH>
                <wp:positionV relativeFrom="page">
                  <wp:align>center</wp:align>
                </wp:positionV>
                <wp:extent cx="90805" cy="1122807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807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105000</wp14:pctHeight>
                </wp14:sizeRelV>
              </wp:anchor>
            </w:drawing>
          </mc:Choice>
          <mc:Fallback xmlns:w16du="http://schemas.microsoft.com/office/word/2023/wordml/word16du">
            <w:pict>
              <v:rect id="Rectangle 4" o:spid="_x0000_s1027" style="width:7.15pt;height:882.9pt;margin-top:0;margin-left:0;mso-height-percent:1050;mso-height-relative:page;mso-position-horizontal:center;mso-position-horizontal-relative:right-margin-area;mso-position-vertical:center;mso-position-vertical-relative:page;mso-width-percent:0;mso-width-relative:page;mso-wrap-distance-bottom:0;mso-wrap-distance-left:9pt;mso-wrap-distance-right:9pt;mso-wrap-distance-top:0;mso-wrap-style:square;position:absolute;v-text-anchor:top;visibility:visible;z-index:251663360" o:allowincell="f" fillcolor="white" strokecolor="#31849b"/>
            </w:pict>
          </mc:Fallback>
        </mc:AlternateContent>
      </w:r>
      <w:r w:rsidRPr="005F5806">
        <w:rPr>
          <w:noProof/>
        </w:rPr>
        <mc:AlternateContent>
          <mc:Choice Requires="wps">
            <w:drawing>
              <wp:anchor distT="0" distB="0" distL="114300" distR="114300" simplePos="0" relativeHeight="251660288" behindDoc="0" locked="0" layoutInCell="0" allowOverlap="1" wp14:anchorId="0F919B71" wp14:editId="171A7905">
                <wp:simplePos x="0" y="0"/>
                <wp:positionH relativeFrom="page">
                  <wp:align>center</wp:align>
                </wp:positionH>
                <wp:positionV relativeFrom="topMargin">
                  <wp:align>top</wp:align>
                </wp:positionV>
                <wp:extent cx="7933912" cy="1524190"/>
                <wp:effectExtent l="0" t="0" r="24130"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3912" cy="1524190"/>
                        </a:xfrm>
                        <a:prstGeom prst="rect">
                          <a:avLst/>
                        </a:prstGeom>
                        <a:solidFill>
                          <a:schemeClr val="tx2"/>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105000</wp14:pctWidth>
                </wp14:sizeRelH>
                <wp14:sizeRelV relativeFrom="topMargin">
                  <wp14:pctHeight>90000</wp14:pctHeight>
                </wp14:sizeRelV>
              </wp:anchor>
            </w:drawing>
          </mc:Choice>
          <mc:Fallback xmlns:w16du="http://schemas.microsoft.com/office/word/2023/wordml/word16du">
            <w:pict>
              <v:rect w14:anchorId="096E79F7" id="Rectangle 3" o:spid="_x0000_s1026" style="position:absolute;margin-left:0;margin-top:0;width:624.7pt;height:120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" o:allowincell="f" fillcolor="#1f497d [3215]" strokecolor="#31849b [2408]">
                <w10:wrap anchorx="page" anchory="margin"/>
              </v:rect>
            </w:pict>
          </mc:Fallback>
        </mc:AlternateContent>
      </w:r>
    </w:p>
    <w:p w14:paraId="5018EFEB" w14:textId="77777777" w:rsidR="00A66330" w:rsidRPr="005F5806" w:rsidRDefault="00000000" w:rsidP="000E3FFB">
      <w:pPr>
        <w:pStyle w:val="SemEspaamento"/>
        <w:spacing w:before="120" w:after="120" w:line="240" w:lineRule="atLeast"/>
        <w:rPr>
          <w:rFonts w:asciiTheme="majorHAnsi" w:eastAsiaTheme="majorEastAsia" w:hAnsiTheme="majorHAnsi" w:cstheme="majorBidi"/>
          <w:sz w:val="72"/>
          <w:szCs w:val="72"/>
        </w:rPr>
      </w:pPr>
      <w:sdt>
        <w:sdtPr>
          <w:rPr>
            <w:rFonts w:asciiTheme="majorHAnsi" w:eastAsiaTheme="majorEastAsia" w:hAnsiTheme="majorHAnsi" w:cstheme="majorBidi"/>
            <w:color w:val="000000" w:themeColor="text1"/>
            <w:sz w:val="70"/>
            <w:szCs w:val="70"/>
          </w:rPr>
          <w:alias w:val="Título"/>
          <w:id w:val="14700071"/>
          <w:placeholder>
            <w:docPart w:val="C8B840E5794E40F3AF7EC5F99436C091"/>
          </w:placeholder>
          <w:dataBinding w:prefixMappings="xmlns:ns0='http://schemas.openxmlformats.org/package/2006/metadata/core-properties' xmlns:ns1='http://purl.org/dc/elements/1.1/'" w:xpath="/ns0:coreProperties[1]/ns1:title[1]" w:storeItemID="{6C3C8BC8-F283-45AE-878A-BAB7291924A1}"/>
          <w:text/>
        </w:sdtPr>
        <w:sdtContent>
          <w:r w:rsidR="00523D5F" w:rsidRPr="00C25E83">
            <w:rPr>
              <w:rFonts w:asciiTheme="majorHAnsi" w:eastAsiaTheme="majorEastAsia" w:hAnsiTheme="majorHAnsi" w:cstheme="majorBidi"/>
              <w:color w:val="000000" w:themeColor="text1"/>
              <w:sz w:val="70"/>
              <w:szCs w:val="70"/>
            </w:rPr>
            <w:t>Política de Suprimentos</w:t>
          </w:r>
        </w:sdtContent>
      </w:sdt>
    </w:p>
    <w:sdt>
      <w:sdtPr>
        <w:rPr>
          <w:rFonts w:asciiTheme="majorHAnsi" w:eastAsiaTheme="majorEastAsia" w:hAnsiTheme="majorHAnsi" w:cstheme="majorBidi"/>
          <w:sz w:val="36"/>
          <w:szCs w:val="36"/>
        </w:rPr>
        <w:alias w:val="Subtítulo"/>
        <w:id w:val="14700077"/>
        <w:placeholder>
          <w:docPart w:val="D49657103F1A4F06B68F4F1D40BA7729"/>
        </w:placeholder>
        <w:dataBinding w:prefixMappings="xmlns:ns0='http://schemas.openxmlformats.org/package/2006/metadata/core-properties' xmlns:ns1='http://purl.org/dc/elements/1.1/'" w:xpath="/ns0:coreProperties[1]/ns1:subject[1]" w:storeItemID="{6C3C8BC8-F283-45AE-878A-BAB7291924A1}"/>
        <w:text/>
      </w:sdtPr>
      <w:sdtContent>
        <w:p w14:paraId="67B8D8BE" w14:textId="77777777" w:rsidR="00A66330" w:rsidRPr="005F5806" w:rsidRDefault="002F2DE5" w:rsidP="000E3FFB">
          <w:pPr>
            <w:pStyle w:val="SemEspaamento"/>
            <w:spacing w:before="120" w:after="120" w:line="240" w:lineRule="atLeast"/>
            <w:rPr>
              <w:rFonts w:asciiTheme="majorHAnsi" w:eastAsiaTheme="majorEastAsia" w:hAnsiTheme="majorHAnsi" w:cstheme="majorBidi"/>
              <w:sz w:val="36"/>
              <w:szCs w:val="36"/>
            </w:rPr>
          </w:pPr>
          <w:r w:rsidRPr="000C6F54">
            <w:rPr>
              <w:rFonts w:asciiTheme="majorHAnsi" w:eastAsiaTheme="majorEastAsia" w:hAnsiTheme="majorHAnsi" w:cstheme="majorBidi"/>
              <w:sz w:val="36"/>
              <w:szCs w:val="36"/>
            </w:rPr>
            <w:t>Grupo Edson Queiroz</w:t>
          </w:r>
        </w:p>
      </w:sdtContent>
    </w:sdt>
    <w:p w14:paraId="395FF114" w14:textId="77777777" w:rsidR="00A66330" w:rsidRPr="005F5806" w:rsidRDefault="00A66330" w:rsidP="000E3FFB">
      <w:pPr>
        <w:pStyle w:val="SemEspaamento"/>
        <w:spacing w:before="120" w:after="120" w:line="240" w:lineRule="atLeast"/>
        <w:rPr>
          <w:rFonts w:asciiTheme="majorHAnsi" w:eastAsiaTheme="majorEastAsia" w:hAnsiTheme="majorHAnsi" w:cstheme="majorBidi"/>
          <w:sz w:val="36"/>
          <w:szCs w:val="36"/>
        </w:rPr>
      </w:pPr>
    </w:p>
    <w:p w14:paraId="30B05001" w14:textId="77777777" w:rsidR="00A66330" w:rsidRPr="005F5806" w:rsidRDefault="00A66330" w:rsidP="000E3FFB">
      <w:pPr>
        <w:pStyle w:val="SemEspaamento"/>
        <w:spacing w:before="120" w:after="120" w:line="240" w:lineRule="atLeast"/>
        <w:rPr>
          <w:rFonts w:asciiTheme="majorHAnsi" w:eastAsiaTheme="majorEastAsia" w:hAnsiTheme="majorHAnsi" w:cstheme="majorBidi"/>
          <w:sz w:val="36"/>
          <w:szCs w:val="36"/>
        </w:rPr>
      </w:pPr>
    </w:p>
    <w:p w14:paraId="76F9F1A1" w14:textId="77777777" w:rsidR="00A66330" w:rsidRPr="005F5806" w:rsidRDefault="002F2DE5" w:rsidP="000E3FFB">
      <w:pPr>
        <w:pStyle w:val="SemEspaamento"/>
        <w:spacing w:before="120" w:after="120" w:line="240" w:lineRule="atLeast"/>
        <w:rPr>
          <w:color w:val="FF0000"/>
        </w:rPr>
      </w:pPr>
      <w:r w:rsidRPr="005F5806">
        <w:rPr>
          <w:rFonts w:ascii="Verdana" w:hAnsi="Verdana"/>
          <w:color w:val="FF0000"/>
        </w:rPr>
        <w:br w:type="page"/>
      </w:r>
    </w:p>
    <w:p w14:paraId="6DB7A153" w14:textId="77777777" w:rsidR="001E1B11" w:rsidRPr="005F5806" w:rsidRDefault="002F2DE5" w:rsidP="000E3FFB">
      <w:pPr>
        <w:pStyle w:val="Ttulo4"/>
        <w:spacing w:before="120" w:after="120" w:line="240" w:lineRule="atLeast"/>
        <w:rPr>
          <w:rFonts w:ascii="Verdana" w:hAnsi="Verdana"/>
          <w:i w:val="0"/>
        </w:rPr>
      </w:pPr>
      <w:r w:rsidRPr="005F5806">
        <w:rPr>
          <w:rFonts w:ascii="Verdana" w:hAnsi="Verdana"/>
          <w:i w:val="0"/>
        </w:rPr>
        <w:lastRenderedPageBreak/>
        <w:t>ÍNDICE</w:t>
      </w:r>
    </w:p>
    <w:p w14:paraId="40ABA741" w14:textId="74B018B4" w:rsidR="0023176C" w:rsidRDefault="002F2DE5">
      <w:pPr>
        <w:pStyle w:val="Sumrio1"/>
        <w:rPr>
          <w:rFonts w:asciiTheme="minorHAnsi" w:eastAsiaTheme="minorEastAsia" w:hAnsiTheme="minorHAnsi" w:cstheme="minorBidi"/>
          <w:noProof/>
          <w:kern w:val="2"/>
          <w:sz w:val="24"/>
          <w:szCs w:val="24"/>
          <w:lang w:eastAsia="pt-BR"/>
          <w14:ligatures w14:val="standardContextual"/>
        </w:rPr>
      </w:pPr>
      <w:r w:rsidRPr="005F5806">
        <w:rPr>
          <w:rFonts w:ascii="Verdana" w:hAnsi="Verdana"/>
          <w:color w:val="FF0000"/>
        </w:rPr>
        <w:fldChar w:fldCharType="begin"/>
      </w:r>
      <w:r w:rsidR="00B12BCF" w:rsidRPr="005F5806">
        <w:rPr>
          <w:rFonts w:ascii="Verdana" w:hAnsi="Verdana"/>
          <w:color w:val="FF0000"/>
        </w:rPr>
        <w:instrText xml:space="preserve"> TOC \o "1-3" \h \z \u </w:instrText>
      </w:r>
      <w:r w:rsidRPr="005F5806">
        <w:rPr>
          <w:rFonts w:ascii="Verdana" w:hAnsi="Verdana"/>
          <w:color w:val="FF0000"/>
        </w:rPr>
        <w:fldChar w:fldCharType="separate"/>
      </w:r>
      <w:hyperlink w:anchor="_Toc168322007" w:history="1">
        <w:r w:rsidR="0023176C" w:rsidRPr="00955049">
          <w:rPr>
            <w:rStyle w:val="Hyperlink"/>
            <w:noProof/>
          </w:rPr>
          <w:t>1.</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APRESENTAÇÃO</w:t>
        </w:r>
        <w:r w:rsidR="0023176C">
          <w:rPr>
            <w:noProof/>
            <w:webHidden/>
          </w:rPr>
          <w:tab/>
        </w:r>
        <w:r w:rsidR="0023176C">
          <w:rPr>
            <w:noProof/>
            <w:webHidden/>
          </w:rPr>
          <w:fldChar w:fldCharType="begin"/>
        </w:r>
        <w:r w:rsidR="0023176C">
          <w:rPr>
            <w:noProof/>
            <w:webHidden/>
          </w:rPr>
          <w:instrText xml:space="preserve"> PAGEREF _Toc168322007 \h </w:instrText>
        </w:r>
        <w:r w:rsidR="0023176C">
          <w:rPr>
            <w:noProof/>
            <w:webHidden/>
          </w:rPr>
        </w:r>
        <w:r w:rsidR="0023176C">
          <w:rPr>
            <w:noProof/>
            <w:webHidden/>
          </w:rPr>
          <w:fldChar w:fldCharType="separate"/>
        </w:r>
        <w:r w:rsidR="0023176C">
          <w:rPr>
            <w:noProof/>
            <w:webHidden/>
          </w:rPr>
          <w:t>4</w:t>
        </w:r>
        <w:r w:rsidR="0023176C">
          <w:rPr>
            <w:noProof/>
            <w:webHidden/>
          </w:rPr>
          <w:fldChar w:fldCharType="end"/>
        </w:r>
      </w:hyperlink>
    </w:p>
    <w:p w14:paraId="143C2E4D" w14:textId="4558E4FA"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08" w:history="1">
        <w:r w:rsidR="0023176C" w:rsidRPr="00955049">
          <w:rPr>
            <w:rStyle w:val="Hyperlink"/>
            <w:noProof/>
          </w:rPr>
          <w:t>1.1.</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Objetivo</w:t>
        </w:r>
        <w:r w:rsidR="0023176C">
          <w:rPr>
            <w:noProof/>
            <w:webHidden/>
          </w:rPr>
          <w:tab/>
        </w:r>
        <w:r w:rsidR="0023176C">
          <w:rPr>
            <w:noProof/>
            <w:webHidden/>
          </w:rPr>
          <w:fldChar w:fldCharType="begin"/>
        </w:r>
        <w:r w:rsidR="0023176C">
          <w:rPr>
            <w:noProof/>
            <w:webHidden/>
          </w:rPr>
          <w:instrText xml:space="preserve"> PAGEREF _Toc168322008 \h </w:instrText>
        </w:r>
        <w:r w:rsidR="0023176C">
          <w:rPr>
            <w:noProof/>
            <w:webHidden/>
          </w:rPr>
        </w:r>
        <w:r w:rsidR="0023176C">
          <w:rPr>
            <w:noProof/>
            <w:webHidden/>
          </w:rPr>
          <w:fldChar w:fldCharType="separate"/>
        </w:r>
        <w:r w:rsidR="0023176C">
          <w:rPr>
            <w:noProof/>
            <w:webHidden/>
          </w:rPr>
          <w:t>4</w:t>
        </w:r>
        <w:r w:rsidR="0023176C">
          <w:rPr>
            <w:noProof/>
            <w:webHidden/>
          </w:rPr>
          <w:fldChar w:fldCharType="end"/>
        </w:r>
      </w:hyperlink>
    </w:p>
    <w:p w14:paraId="63C8F099" w14:textId="1FBAD046"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09" w:history="1">
        <w:r w:rsidR="0023176C" w:rsidRPr="00955049">
          <w:rPr>
            <w:rStyle w:val="Hyperlink"/>
            <w:noProof/>
          </w:rPr>
          <w:t>1.2.</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Abrangência</w:t>
        </w:r>
        <w:r w:rsidR="0023176C">
          <w:rPr>
            <w:noProof/>
            <w:webHidden/>
          </w:rPr>
          <w:tab/>
        </w:r>
        <w:r w:rsidR="0023176C">
          <w:rPr>
            <w:noProof/>
            <w:webHidden/>
          </w:rPr>
          <w:fldChar w:fldCharType="begin"/>
        </w:r>
        <w:r w:rsidR="0023176C">
          <w:rPr>
            <w:noProof/>
            <w:webHidden/>
          </w:rPr>
          <w:instrText xml:space="preserve"> PAGEREF _Toc168322009 \h </w:instrText>
        </w:r>
        <w:r w:rsidR="0023176C">
          <w:rPr>
            <w:noProof/>
            <w:webHidden/>
          </w:rPr>
        </w:r>
        <w:r w:rsidR="0023176C">
          <w:rPr>
            <w:noProof/>
            <w:webHidden/>
          </w:rPr>
          <w:fldChar w:fldCharType="separate"/>
        </w:r>
        <w:r w:rsidR="0023176C">
          <w:rPr>
            <w:noProof/>
            <w:webHidden/>
          </w:rPr>
          <w:t>4</w:t>
        </w:r>
        <w:r w:rsidR="0023176C">
          <w:rPr>
            <w:noProof/>
            <w:webHidden/>
          </w:rPr>
          <w:fldChar w:fldCharType="end"/>
        </w:r>
      </w:hyperlink>
    </w:p>
    <w:p w14:paraId="2EC3195D" w14:textId="22093978"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0" w:history="1">
        <w:r w:rsidR="0023176C" w:rsidRPr="00955049">
          <w:rPr>
            <w:rStyle w:val="Hyperlink"/>
            <w:noProof/>
          </w:rPr>
          <w:t>1.3.</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Vigência</w:t>
        </w:r>
        <w:r w:rsidR="0023176C">
          <w:rPr>
            <w:noProof/>
            <w:webHidden/>
          </w:rPr>
          <w:tab/>
        </w:r>
        <w:r w:rsidR="0023176C">
          <w:rPr>
            <w:noProof/>
            <w:webHidden/>
          </w:rPr>
          <w:fldChar w:fldCharType="begin"/>
        </w:r>
        <w:r w:rsidR="0023176C">
          <w:rPr>
            <w:noProof/>
            <w:webHidden/>
          </w:rPr>
          <w:instrText xml:space="preserve"> PAGEREF _Toc168322010 \h </w:instrText>
        </w:r>
        <w:r w:rsidR="0023176C">
          <w:rPr>
            <w:noProof/>
            <w:webHidden/>
          </w:rPr>
        </w:r>
        <w:r w:rsidR="0023176C">
          <w:rPr>
            <w:noProof/>
            <w:webHidden/>
          </w:rPr>
          <w:fldChar w:fldCharType="separate"/>
        </w:r>
        <w:r w:rsidR="0023176C">
          <w:rPr>
            <w:noProof/>
            <w:webHidden/>
          </w:rPr>
          <w:t>4</w:t>
        </w:r>
        <w:r w:rsidR="0023176C">
          <w:rPr>
            <w:noProof/>
            <w:webHidden/>
          </w:rPr>
          <w:fldChar w:fldCharType="end"/>
        </w:r>
      </w:hyperlink>
    </w:p>
    <w:p w14:paraId="0DB0E153" w14:textId="17709C17"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1" w:history="1">
        <w:r w:rsidR="0023176C" w:rsidRPr="00955049">
          <w:rPr>
            <w:rStyle w:val="Hyperlink"/>
            <w:rFonts w:eastAsia="Verdana" w:cs="Verdana"/>
            <w:bCs/>
            <w:noProof/>
          </w:rPr>
          <w:t>1.4.</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bCs/>
            <w:noProof/>
          </w:rPr>
          <w:t>Área técnica responsável</w:t>
        </w:r>
        <w:r w:rsidR="0023176C">
          <w:rPr>
            <w:noProof/>
            <w:webHidden/>
          </w:rPr>
          <w:tab/>
        </w:r>
        <w:r w:rsidR="0023176C">
          <w:rPr>
            <w:noProof/>
            <w:webHidden/>
          </w:rPr>
          <w:fldChar w:fldCharType="begin"/>
        </w:r>
        <w:r w:rsidR="0023176C">
          <w:rPr>
            <w:noProof/>
            <w:webHidden/>
          </w:rPr>
          <w:instrText xml:space="preserve"> PAGEREF _Toc168322011 \h </w:instrText>
        </w:r>
        <w:r w:rsidR="0023176C">
          <w:rPr>
            <w:noProof/>
            <w:webHidden/>
          </w:rPr>
        </w:r>
        <w:r w:rsidR="0023176C">
          <w:rPr>
            <w:noProof/>
            <w:webHidden/>
          </w:rPr>
          <w:fldChar w:fldCharType="separate"/>
        </w:r>
        <w:r w:rsidR="0023176C">
          <w:rPr>
            <w:noProof/>
            <w:webHidden/>
          </w:rPr>
          <w:t>4</w:t>
        </w:r>
        <w:r w:rsidR="0023176C">
          <w:rPr>
            <w:noProof/>
            <w:webHidden/>
          </w:rPr>
          <w:fldChar w:fldCharType="end"/>
        </w:r>
      </w:hyperlink>
    </w:p>
    <w:p w14:paraId="55C0ED24" w14:textId="611E5062"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2" w:history="1">
        <w:r w:rsidR="0023176C" w:rsidRPr="00955049">
          <w:rPr>
            <w:rStyle w:val="Hyperlink"/>
            <w:noProof/>
          </w:rPr>
          <w:t>1.5.</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Aprovação</w:t>
        </w:r>
        <w:r w:rsidR="0023176C">
          <w:rPr>
            <w:noProof/>
            <w:webHidden/>
          </w:rPr>
          <w:tab/>
        </w:r>
        <w:r w:rsidR="0023176C">
          <w:rPr>
            <w:noProof/>
            <w:webHidden/>
          </w:rPr>
          <w:fldChar w:fldCharType="begin"/>
        </w:r>
        <w:r w:rsidR="0023176C">
          <w:rPr>
            <w:noProof/>
            <w:webHidden/>
          </w:rPr>
          <w:instrText xml:space="preserve"> PAGEREF _Toc168322012 \h </w:instrText>
        </w:r>
        <w:r w:rsidR="0023176C">
          <w:rPr>
            <w:noProof/>
            <w:webHidden/>
          </w:rPr>
        </w:r>
        <w:r w:rsidR="0023176C">
          <w:rPr>
            <w:noProof/>
            <w:webHidden/>
          </w:rPr>
          <w:fldChar w:fldCharType="separate"/>
        </w:r>
        <w:r w:rsidR="0023176C">
          <w:rPr>
            <w:noProof/>
            <w:webHidden/>
          </w:rPr>
          <w:t>4</w:t>
        </w:r>
        <w:r w:rsidR="0023176C">
          <w:rPr>
            <w:noProof/>
            <w:webHidden/>
          </w:rPr>
          <w:fldChar w:fldCharType="end"/>
        </w:r>
      </w:hyperlink>
    </w:p>
    <w:p w14:paraId="65565C90" w14:textId="464B59E5"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13" w:history="1">
        <w:r w:rsidR="0023176C" w:rsidRPr="00955049">
          <w:rPr>
            <w:rStyle w:val="Hyperlink"/>
            <w:noProof/>
          </w:rPr>
          <w:t>2.</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CONCEITOS E DEFINIÇÕES</w:t>
        </w:r>
        <w:r w:rsidR="0023176C">
          <w:rPr>
            <w:noProof/>
            <w:webHidden/>
          </w:rPr>
          <w:tab/>
        </w:r>
        <w:r w:rsidR="0023176C">
          <w:rPr>
            <w:noProof/>
            <w:webHidden/>
          </w:rPr>
          <w:fldChar w:fldCharType="begin"/>
        </w:r>
        <w:r w:rsidR="0023176C">
          <w:rPr>
            <w:noProof/>
            <w:webHidden/>
          </w:rPr>
          <w:instrText xml:space="preserve"> PAGEREF _Toc168322013 \h </w:instrText>
        </w:r>
        <w:r w:rsidR="0023176C">
          <w:rPr>
            <w:noProof/>
            <w:webHidden/>
          </w:rPr>
        </w:r>
        <w:r w:rsidR="0023176C">
          <w:rPr>
            <w:noProof/>
            <w:webHidden/>
          </w:rPr>
          <w:fldChar w:fldCharType="separate"/>
        </w:r>
        <w:r w:rsidR="0023176C">
          <w:rPr>
            <w:noProof/>
            <w:webHidden/>
          </w:rPr>
          <w:t>5</w:t>
        </w:r>
        <w:r w:rsidR="0023176C">
          <w:rPr>
            <w:noProof/>
            <w:webHidden/>
          </w:rPr>
          <w:fldChar w:fldCharType="end"/>
        </w:r>
      </w:hyperlink>
    </w:p>
    <w:p w14:paraId="3D29DC06" w14:textId="2E863D83"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14" w:history="1">
        <w:r w:rsidR="0023176C" w:rsidRPr="00955049">
          <w:rPr>
            <w:rStyle w:val="Hyperlink"/>
            <w:noProof/>
          </w:rPr>
          <w:t>3.</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DOCUMENTOS DE REFERÊNCIA</w:t>
        </w:r>
        <w:r w:rsidR="0023176C">
          <w:rPr>
            <w:noProof/>
            <w:webHidden/>
          </w:rPr>
          <w:tab/>
        </w:r>
        <w:r w:rsidR="0023176C">
          <w:rPr>
            <w:noProof/>
            <w:webHidden/>
          </w:rPr>
          <w:fldChar w:fldCharType="begin"/>
        </w:r>
        <w:r w:rsidR="0023176C">
          <w:rPr>
            <w:noProof/>
            <w:webHidden/>
          </w:rPr>
          <w:instrText xml:space="preserve"> PAGEREF _Toc168322014 \h </w:instrText>
        </w:r>
        <w:r w:rsidR="0023176C">
          <w:rPr>
            <w:noProof/>
            <w:webHidden/>
          </w:rPr>
        </w:r>
        <w:r w:rsidR="0023176C">
          <w:rPr>
            <w:noProof/>
            <w:webHidden/>
          </w:rPr>
          <w:fldChar w:fldCharType="separate"/>
        </w:r>
        <w:r w:rsidR="0023176C">
          <w:rPr>
            <w:noProof/>
            <w:webHidden/>
          </w:rPr>
          <w:t>7</w:t>
        </w:r>
        <w:r w:rsidR="0023176C">
          <w:rPr>
            <w:noProof/>
            <w:webHidden/>
          </w:rPr>
          <w:fldChar w:fldCharType="end"/>
        </w:r>
      </w:hyperlink>
    </w:p>
    <w:p w14:paraId="09EAB89C" w14:textId="5098D422"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15" w:history="1">
        <w:r w:rsidR="0023176C" w:rsidRPr="00955049">
          <w:rPr>
            <w:rStyle w:val="Hyperlink"/>
            <w:noProof/>
          </w:rPr>
          <w:t>4.</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DIRETRIZES</w:t>
        </w:r>
        <w:r w:rsidR="0023176C">
          <w:rPr>
            <w:noProof/>
            <w:webHidden/>
          </w:rPr>
          <w:tab/>
        </w:r>
        <w:r w:rsidR="0023176C">
          <w:rPr>
            <w:noProof/>
            <w:webHidden/>
          </w:rPr>
          <w:fldChar w:fldCharType="begin"/>
        </w:r>
        <w:r w:rsidR="0023176C">
          <w:rPr>
            <w:noProof/>
            <w:webHidden/>
          </w:rPr>
          <w:instrText xml:space="preserve"> PAGEREF _Toc168322015 \h </w:instrText>
        </w:r>
        <w:r w:rsidR="0023176C">
          <w:rPr>
            <w:noProof/>
            <w:webHidden/>
          </w:rPr>
        </w:r>
        <w:r w:rsidR="0023176C">
          <w:rPr>
            <w:noProof/>
            <w:webHidden/>
          </w:rPr>
          <w:fldChar w:fldCharType="separate"/>
        </w:r>
        <w:r w:rsidR="0023176C">
          <w:rPr>
            <w:noProof/>
            <w:webHidden/>
          </w:rPr>
          <w:t>7</w:t>
        </w:r>
        <w:r w:rsidR="0023176C">
          <w:rPr>
            <w:noProof/>
            <w:webHidden/>
          </w:rPr>
          <w:fldChar w:fldCharType="end"/>
        </w:r>
      </w:hyperlink>
    </w:p>
    <w:p w14:paraId="0CB8F7C4" w14:textId="174BA49A"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6" w:history="1">
        <w:r w:rsidR="0023176C" w:rsidRPr="00955049">
          <w:rPr>
            <w:rStyle w:val="Hyperlink"/>
            <w:noProof/>
          </w:rPr>
          <w:t>4.1.</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Gerais</w:t>
        </w:r>
        <w:r w:rsidR="0023176C">
          <w:rPr>
            <w:noProof/>
            <w:webHidden/>
          </w:rPr>
          <w:tab/>
        </w:r>
        <w:r w:rsidR="0023176C">
          <w:rPr>
            <w:noProof/>
            <w:webHidden/>
          </w:rPr>
          <w:fldChar w:fldCharType="begin"/>
        </w:r>
        <w:r w:rsidR="0023176C">
          <w:rPr>
            <w:noProof/>
            <w:webHidden/>
          </w:rPr>
          <w:instrText xml:space="preserve"> PAGEREF _Toc168322016 \h </w:instrText>
        </w:r>
        <w:r w:rsidR="0023176C">
          <w:rPr>
            <w:noProof/>
            <w:webHidden/>
          </w:rPr>
        </w:r>
        <w:r w:rsidR="0023176C">
          <w:rPr>
            <w:noProof/>
            <w:webHidden/>
          </w:rPr>
          <w:fldChar w:fldCharType="separate"/>
        </w:r>
        <w:r w:rsidR="0023176C">
          <w:rPr>
            <w:noProof/>
            <w:webHidden/>
          </w:rPr>
          <w:t>7</w:t>
        </w:r>
        <w:r w:rsidR="0023176C">
          <w:rPr>
            <w:noProof/>
            <w:webHidden/>
          </w:rPr>
          <w:fldChar w:fldCharType="end"/>
        </w:r>
      </w:hyperlink>
    </w:p>
    <w:p w14:paraId="2F05CB6F" w14:textId="5EB40ADF"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7" w:history="1">
        <w:r w:rsidR="0023176C" w:rsidRPr="00955049">
          <w:rPr>
            <w:rStyle w:val="Hyperlink"/>
            <w:noProof/>
          </w:rPr>
          <w:t>4.2.</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Tipos de compra</w:t>
        </w:r>
        <w:r w:rsidR="0023176C">
          <w:rPr>
            <w:noProof/>
            <w:webHidden/>
          </w:rPr>
          <w:tab/>
        </w:r>
        <w:r w:rsidR="0023176C">
          <w:rPr>
            <w:noProof/>
            <w:webHidden/>
          </w:rPr>
          <w:fldChar w:fldCharType="begin"/>
        </w:r>
        <w:r w:rsidR="0023176C">
          <w:rPr>
            <w:noProof/>
            <w:webHidden/>
          </w:rPr>
          <w:instrText xml:space="preserve"> PAGEREF _Toc168322017 \h </w:instrText>
        </w:r>
        <w:r w:rsidR="0023176C">
          <w:rPr>
            <w:noProof/>
            <w:webHidden/>
          </w:rPr>
        </w:r>
        <w:r w:rsidR="0023176C">
          <w:rPr>
            <w:noProof/>
            <w:webHidden/>
          </w:rPr>
          <w:fldChar w:fldCharType="separate"/>
        </w:r>
        <w:r w:rsidR="0023176C">
          <w:rPr>
            <w:noProof/>
            <w:webHidden/>
          </w:rPr>
          <w:t>9</w:t>
        </w:r>
        <w:r w:rsidR="0023176C">
          <w:rPr>
            <w:noProof/>
            <w:webHidden/>
          </w:rPr>
          <w:fldChar w:fldCharType="end"/>
        </w:r>
      </w:hyperlink>
    </w:p>
    <w:p w14:paraId="0C5A21C4" w14:textId="75044E01"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8" w:history="1">
        <w:r w:rsidR="0023176C" w:rsidRPr="00955049">
          <w:rPr>
            <w:rStyle w:val="Hyperlink"/>
            <w:noProof/>
          </w:rPr>
          <w:t>4.3.</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Compras suportadas por contrato formal</w:t>
        </w:r>
        <w:r w:rsidR="0023176C">
          <w:rPr>
            <w:noProof/>
            <w:webHidden/>
          </w:rPr>
          <w:tab/>
        </w:r>
        <w:r w:rsidR="0023176C">
          <w:rPr>
            <w:noProof/>
            <w:webHidden/>
          </w:rPr>
          <w:fldChar w:fldCharType="begin"/>
        </w:r>
        <w:r w:rsidR="0023176C">
          <w:rPr>
            <w:noProof/>
            <w:webHidden/>
          </w:rPr>
          <w:instrText xml:space="preserve"> PAGEREF _Toc168322018 \h </w:instrText>
        </w:r>
        <w:r w:rsidR="0023176C">
          <w:rPr>
            <w:noProof/>
            <w:webHidden/>
          </w:rPr>
        </w:r>
        <w:r w:rsidR="0023176C">
          <w:rPr>
            <w:noProof/>
            <w:webHidden/>
          </w:rPr>
          <w:fldChar w:fldCharType="separate"/>
        </w:r>
        <w:r w:rsidR="0023176C">
          <w:rPr>
            <w:noProof/>
            <w:webHidden/>
          </w:rPr>
          <w:t>10</w:t>
        </w:r>
        <w:r w:rsidR="0023176C">
          <w:rPr>
            <w:noProof/>
            <w:webHidden/>
          </w:rPr>
          <w:fldChar w:fldCharType="end"/>
        </w:r>
      </w:hyperlink>
    </w:p>
    <w:p w14:paraId="78CE17C5" w14:textId="4A77D040"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19" w:history="1">
        <w:r w:rsidR="0023176C" w:rsidRPr="00955049">
          <w:rPr>
            <w:rStyle w:val="Hyperlink"/>
            <w:noProof/>
          </w:rPr>
          <w:t>4.4.</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Aquisição de Capex</w:t>
        </w:r>
        <w:r w:rsidR="0023176C">
          <w:rPr>
            <w:noProof/>
            <w:webHidden/>
          </w:rPr>
          <w:tab/>
        </w:r>
        <w:r w:rsidR="0023176C">
          <w:rPr>
            <w:noProof/>
            <w:webHidden/>
          </w:rPr>
          <w:fldChar w:fldCharType="begin"/>
        </w:r>
        <w:r w:rsidR="0023176C">
          <w:rPr>
            <w:noProof/>
            <w:webHidden/>
          </w:rPr>
          <w:instrText xml:space="preserve"> PAGEREF _Toc168322019 \h </w:instrText>
        </w:r>
        <w:r w:rsidR="0023176C">
          <w:rPr>
            <w:noProof/>
            <w:webHidden/>
          </w:rPr>
        </w:r>
        <w:r w:rsidR="0023176C">
          <w:rPr>
            <w:noProof/>
            <w:webHidden/>
          </w:rPr>
          <w:fldChar w:fldCharType="separate"/>
        </w:r>
        <w:r w:rsidR="0023176C">
          <w:rPr>
            <w:noProof/>
            <w:webHidden/>
          </w:rPr>
          <w:t>11</w:t>
        </w:r>
        <w:r w:rsidR="0023176C">
          <w:rPr>
            <w:noProof/>
            <w:webHidden/>
          </w:rPr>
          <w:fldChar w:fldCharType="end"/>
        </w:r>
      </w:hyperlink>
    </w:p>
    <w:p w14:paraId="1572C9EB" w14:textId="4E9869E7"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20" w:history="1">
        <w:r w:rsidR="0023176C" w:rsidRPr="00955049">
          <w:rPr>
            <w:rStyle w:val="Hyperlink"/>
            <w:noProof/>
          </w:rPr>
          <w:t>4.5.</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Bloqueio de fornecedores</w:t>
        </w:r>
        <w:r w:rsidR="0023176C">
          <w:rPr>
            <w:noProof/>
            <w:webHidden/>
          </w:rPr>
          <w:tab/>
        </w:r>
        <w:r w:rsidR="0023176C">
          <w:rPr>
            <w:noProof/>
            <w:webHidden/>
          </w:rPr>
          <w:fldChar w:fldCharType="begin"/>
        </w:r>
        <w:r w:rsidR="0023176C">
          <w:rPr>
            <w:noProof/>
            <w:webHidden/>
          </w:rPr>
          <w:instrText xml:space="preserve"> PAGEREF _Toc168322020 \h </w:instrText>
        </w:r>
        <w:r w:rsidR="0023176C">
          <w:rPr>
            <w:noProof/>
            <w:webHidden/>
          </w:rPr>
        </w:r>
        <w:r w:rsidR="0023176C">
          <w:rPr>
            <w:noProof/>
            <w:webHidden/>
          </w:rPr>
          <w:fldChar w:fldCharType="separate"/>
        </w:r>
        <w:r w:rsidR="0023176C">
          <w:rPr>
            <w:noProof/>
            <w:webHidden/>
          </w:rPr>
          <w:t>11</w:t>
        </w:r>
        <w:r w:rsidR="0023176C">
          <w:rPr>
            <w:noProof/>
            <w:webHidden/>
          </w:rPr>
          <w:fldChar w:fldCharType="end"/>
        </w:r>
      </w:hyperlink>
    </w:p>
    <w:p w14:paraId="6FB8FED4" w14:textId="51E4E0FE"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21" w:history="1">
        <w:r w:rsidR="0023176C" w:rsidRPr="00955049">
          <w:rPr>
            <w:rStyle w:val="Hyperlink"/>
            <w:noProof/>
          </w:rPr>
          <w:t>4.6.</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Negociações de compra</w:t>
        </w:r>
        <w:r w:rsidR="0023176C">
          <w:rPr>
            <w:noProof/>
            <w:webHidden/>
          </w:rPr>
          <w:tab/>
        </w:r>
        <w:r w:rsidR="0023176C">
          <w:rPr>
            <w:noProof/>
            <w:webHidden/>
          </w:rPr>
          <w:fldChar w:fldCharType="begin"/>
        </w:r>
        <w:r w:rsidR="0023176C">
          <w:rPr>
            <w:noProof/>
            <w:webHidden/>
          </w:rPr>
          <w:instrText xml:space="preserve"> PAGEREF _Toc168322021 \h </w:instrText>
        </w:r>
        <w:r w:rsidR="0023176C">
          <w:rPr>
            <w:noProof/>
            <w:webHidden/>
          </w:rPr>
        </w:r>
        <w:r w:rsidR="0023176C">
          <w:rPr>
            <w:noProof/>
            <w:webHidden/>
          </w:rPr>
          <w:fldChar w:fldCharType="separate"/>
        </w:r>
        <w:r w:rsidR="0023176C">
          <w:rPr>
            <w:noProof/>
            <w:webHidden/>
          </w:rPr>
          <w:t>12</w:t>
        </w:r>
        <w:r w:rsidR="0023176C">
          <w:rPr>
            <w:noProof/>
            <w:webHidden/>
          </w:rPr>
          <w:fldChar w:fldCharType="end"/>
        </w:r>
      </w:hyperlink>
    </w:p>
    <w:p w14:paraId="27150FA4" w14:textId="51442697"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22" w:history="1">
        <w:r w:rsidR="0023176C" w:rsidRPr="00955049">
          <w:rPr>
            <w:rStyle w:val="Hyperlink"/>
            <w:noProof/>
          </w:rPr>
          <w:t>4.7.</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Efetivação de compras</w:t>
        </w:r>
        <w:r w:rsidR="0023176C">
          <w:rPr>
            <w:noProof/>
            <w:webHidden/>
          </w:rPr>
          <w:tab/>
        </w:r>
        <w:r w:rsidR="0023176C">
          <w:rPr>
            <w:noProof/>
            <w:webHidden/>
          </w:rPr>
          <w:fldChar w:fldCharType="begin"/>
        </w:r>
        <w:r w:rsidR="0023176C">
          <w:rPr>
            <w:noProof/>
            <w:webHidden/>
          </w:rPr>
          <w:instrText xml:space="preserve"> PAGEREF _Toc168322022 \h </w:instrText>
        </w:r>
        <w:r w:rsidR="0023176C">
          <w:rPr>
            <w:noProof/>
            <w:webHidden/>
          </w:rPr>
        </w:r>
        <w:r w:rsidR="0023176C">
          <w:rPr>
            <w:noProof/>
            <w:webHidden/>
          </w:rPr>
          <w:fldChar w:fldCharType="separate"/>
        </w:r>
        <w:r w:rsidR="0023176C">
          <w:rPr>
            <w:noProof/>
            <w:webHidden/>
          </w:rPr>
          <w:t>13</w:t>
        </w:r>
        <w:r w:rsidR="0023176C">
          <w:rPr>
            <w:noProof/>
            <w:webHidden/>
          </w:rPr>
          <w:fldChar w:fldCharType="end"/>
        </w:r>
      </w:hyperlink>
    </w:p>
    <w:p w14:paraId="6E05CD88" w14:textId="67A3C728"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23" w:history="1">
        <w:r w:rsidR="0023176C" w:rsidRPr="00955049">
          <w:rPr>
            <w:rStyle w:val="Hyperlink"/>
            <w:noProof/>
          </w:rPr>
          <w:t>4.8.</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Adiantamento</w:t>
        </w:r>
        <w:r w:rsidR="0023176C">
          <w:rPr>
            <w:noProof/>
            <w:webHidden/>
          </w:rPr>
          <w:tab/>
        </w:r>
        <w:r w:rsidR="0023176C">
          <w:rPr>
            <w:noProof/>
            <w:webHidden/>
          </w:rPr>
          <w:fldChar w:fldCharType="begin"/>
        </w:r>
        <w:r w:rsidR="0023176C">
          <w:rPr>
            <w:noProof/>
            <w:webHidden/>
          </w:rPr>
          <w:instrText xml:space="preserve"> PAGEREF _Toc168322023 \h </w:instrText>
        </w:r>
        <w:r w:rsidR="0023176C">
          <w:rPr>
            <w:noProof/>
            <w:webHidden/>
          </w:rPr>
        </w:r>
        <w:r w:rsidR="0023176C">
          <w:rPr>
            <w:noProof/>
            <w:webHidden/>
          </w:rPr>
          <w:fldChar w:fldCharType="separate"/>
        </w:r>
        <w:r w:rsidR="0023176C">
          <w:rPr>
            <w:noProof/>
            <w:webHidden/>
          </w:rPr>
          <w:t>13</w:t>
        </w:r>
        <w:r w:rsidR="0023176C">
          <w:rPr>
            <w:noProof/>
            <w:webHidden/>
          </w:rPr>
          <w:fldChar w:fldCharType="end"/>
        </w:r>
      </w:hyperlink>
    </w:p>
    <w:p w14:paraId="6FAADB21" w14:textId="1FAA9718"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24" w:history="1">
        <w:r w:rsidR="0023176C" w:rsidRPr="00955049">
          <w:rPr>
            <w:rStyle w:val="Hyperlink"/>
            <w:noProof/>
          </w:rPr>
          <w:t>4.9.</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Aprovações</w:t>
        </w:r>
        <w:r w:rsidR="0023176C">
          <w:rPr>
            <w:noProof/>
            <w:webHidden/>
          </w:rPr>
          <w:tab/>
        </w:r>
        <w:r w:rsidR="0023176C">
          <w:rPr>
            <w:noProof/>
            <w:webHidden/>
          </w:rPr>
          <w:fldChar w:fldCharType="begin"/>
        </w:r>
        <w:r w:rsidR="0023176C">
          <w:rPr>
            <w:noProof/>
            <w:webHidden/>
          </w:rPr>
          <w:instrText xml:space="preserve"> PAGEREF _Toc168322024 \h </w:instrText>
        </w:r>
        <w:r w:rsidR="0023176C">
          <w:rPr>
            <w:noProof/>
            <w:webHidden/>
          </w:rPr>
        </w:r>
        <w:r w:rsidR="0023176C">
          <w:rPr>
            <w:noProof/>
            <w:webHidden/>
          </w:rPr>
          <w:fldChar w:fldCharType="separate"/>
        </w:r>
        <w:r w:rsidR="0023176C">
          <w:rPr>
            <w:noProof/>
            <w:webHidden/>
          </w:rPr>
          <w:t>13</w:t>
        </w:r>
        <w:r w:rsidR="0023176C">
          <w:rPr>
            <w:noProof/>
            <w:webHidden/>
          </w:rPr>
          <w:fldChar w:fldCharType="end"/>
        </w:r>
      </w:hyperlink>
    </w:p>
    <w:p w14:paraId="08A58398" w14:textId="7F4BA849"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25" w:history="1">
        <w:r w:rsidR="0023176C" w:rsidRPr="00955049">
          <w:rPr>
            <w:rStyle w:val="Hyperlink"/>
            <w:noProof/>
          </w:rPr>
          <w:t>5.</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DIVULGAÇÃO E DISSEMINAÇÃO</w:t>
        </w:r>
        <w:r w:rsidR="0023176C">
          <w:rPr>
            <w:noProof/>
            <w:webHidden/>
          </w:rPr>
          <w:tab/>
        </w:r>
        <w:r w:rsidR="0023176C">
          <w:rPr>
            <w:noProof/>
            <w:webHidden/>
          </w:rPr>
          <w:fldChar w:fldCharType="begin"/>
        </w:r>
        <w:r w:rsidR="0023176C">
          <w:rPr>
            <w:noProof/>
            <w:webHidden/>
          </w:rPr>
          <w:instrText xml:space="preserve"> PAGEREF _Toc168322025 \h </w:instrText>
        </w:r>
        <w:r w:rsidR="0023176C">
          <w:rPr>
            <w:noProof/>
            <w:webHidden/>
          </w:rPr>
        </w:r>
        <w:r w:rsidR="0023176C">
          <w:rPr>
            <w:noProof/>
            <w:webHidden/>
          </w:rPr>
          <w:fldChar w:fldCharType="separate"/>
        </w:r>
        <w:r w:rsidR="0023176C">
          <w:rPr>
            <w:noProof/>
            <w:webHidden/>
          </w:rPr>
          <w:t>14</w:t>
        </w:r>
        <w:r w:rsidR="0023176C">
          <w:rPr>
            <w:noProof/>
            <w:webHidden/>
          </w:rPr>
          <w:fldChar w:fldCharType="end"/>
        </w:r>
      </w:hyperlink>
    </w:p>
    <w:p w14:paraId="50B60269" w14:textId="580C847A"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26" w:history="1">
        <w:r w:rsidR="0023176C" w:rsidRPr="00955049">
          <w:rPr>
            <w:rStyle w:val="Hyperlink"/>
            <w:noProof/>
          </w:rPr>
          <w:t>6.</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CONSEQUÊNCIAS</w:t>
        </w:r>
        <w:r w:rsidR="0023176C">
          <w:rPr>
            <w:noProof/>
            <w:webHidden/>
          </w:rPr>
          <w:tab/>
        </w:r>
        <w:r w:rsidR="0023176C">
          <w:rPr>
            <w:noProof/>
            <w:webHidden/>
          </w:rPr>
          <w:fldChar w:fldCharType="begin"/>
        </w:r>
        <w:r w:rsidR="0023176C">
          <w:rPr>
            <w:noProof/>
            <w:webHidden/>
          </w:rPr>
          <w:instrText xml:space="preserve"> PAGEREF _Toc168322026 \h </w:instrText>
        </w:r>
        <w:r w:rsidR="0023176C">
          <w:rPr>
            <w:noProof/>
            <w:webHidden/>
          </w:rPr>
        </w:r>
        <w:r w:rsidR="0023176C">
          <w:rPr>
            <w:noProof/>
            <w:webHidden/>
          </w:rPr>
          <w:fldChar w:fldCharType="separate"/>
        </w:r>
        <w:r w:rsidR="0023176C">
          <w:rPr>
            <w:noProof/>
            <w:webHidden/>
          </w:rPr>
          <w:t>15</w:t>
        </w:r>
        <w:r w:rsidR="0023176C">
          <w:rPr>
            <w:noProof/>
            <w:webHidden/>
          </w:rPr>
          <w:fldChar w:fldCharType="end"/>
        </w:r>
      </w:hyperlink>
    </w:p>
    <w:p w14:paraId="718745B7" w14:textId="0502231B"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27" w:history="1">
        <w:r w:rsidR="0023176C" w:rsidRPr="00955049">
          <w:rPr>
            <w:rStyle w:val="Hyperlink"/>
            <w:noProof/>
          </w:rPr>
          <w:t>7.</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RESPONSABILIDADES</w:t>
        </w:r>
        <w:r w:rsidR="0023176C">
          <w:rPr>
            <w:noProof/>
            <w:webHidden/>
          </w:rPr>
          <w:tab/>
        </w:r>
        <w:r w:rsidR="0023176C">
          <w:rPr>
            <w:noProof/>
            <w:webHidden/>
          </w:rPr>
          <w:fldChar w:fldCharType="begin"/>
        </w:r>
        <w:r w:rsidR="0023176C">
          <w:rPr>
            <w:noProof/>
            <w:webHidden/>
          </w:rPr>
          <w:instrText xml:space="preserve"> PAGEREF _Toc168322027 \h </w:instrText>
        </w:r>
        <w:r w:rsidR="0023176C">
          <w:rPr>
            <w:noProof/>
            <w:webHidden/>
          </w:rPr>
        </w:r>
        <w:r w:rsidR="0023176C">
          <w:rPr>
            <w:noProof/>
            <w:webHidden/>
          </w:rPr>
          <w:fldChar w:fldCharType="separate"/>
        </w:r>
        <w:r w:rsidR="0023176C">
          <w:rPr>
            <w:noProof/>
            <w:webHidden/>
          </w:rPr>
          <w:t>15</w:t>
        </w:r>
        <w:r w:rsidR="0023176C">
          <w:rPr>
            <w:noProof/>
            <w:webHidden/>
          </w:rPr>
          <w:fldChar w:fldCharType="end"/>
        </w:r>
      </w:hyperlink>
    </w:p>
    <w:p w14:paraId="6D8A79EF" w14:textId="6EA36D2E"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28" w:history="1">
        <w:r w:rsidR="0023176C" w:rsidRPr="00955049">
          <w:rPr>
            <w:rStyle w:val="Hyperlink"/>
            <w:noProof/>
          </w:rPr>
          <w:t>7.1.</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Área de Auditoria</w:t>
        </w:r>
        <w:r w:rsidR="0023176C">
          <w:rPr>
            <w:noProof/>
            <w:webHidden/>
          </w:rPr>
          <w:tab/>
        </w:r>
        <w:r w:rsidR="0023176C">
          <w:rPr>
            <w:noProof/>
            <w:webHidden/>
          </w:rPr>
          <w:fldChar w:fldCharType="begin"/>
        </w:r>
        <w:r w:rsidR="0023176C">
          <w:rPr>
            <w:noProof/>
            <w:webHidden/>
          </w:rPr>
          <w:instrText xml:space="preserve"> PAGEREF _Toc168322028 \h </w:instrText>
        </w:r>
        <w:r w:rsidR="0023176C">
          <w:rPr>
            <w:noProof/>
            <w:webHidden/>
          </w:rPr>
        </w:r>
        <w:r w:rsidR="0023176C">
          <w:rPr>
            <w:noProof/>
            <w:webHidden/>
          </w:rPr>
          <w:fldChar w:fldCharType="separate"/>
        </w:r>
        <w:r w:rsidR="0023176C">
          <w:rPr>
            <w:noProof/>
            <w:webHidden/>
          </w:rPr>
          <w:t>15</w:t>
        </w:r>
        <w:r w:rsidR="0023176C">
          <w:rPr>
            <w:noProof/>
            <w:webHidden/>
          </w:rPr>
          <w:fldChar w:fldCharType="end"/>
        </w:r>
      </w:hyperlink>
    </w:p>
    <w:p w14:paraId="7474BAC9" w14:textId="47572A8A" w:rsidR="0023176C" w:rsidRDefault="00000000">
      <w:pPr>
        <w:pStyle w:val="Sumrio3"/>
        <w:rPr>
          <w:rFonts w:asciiTheme="minorHAnsi" w:eastAsiaTheme="minorEastAsia" w:hAnsiTheme="minorHAnsi" w:cstheme="minorBidi"/>
          <w:noProof/>
          <w:kern w:val="2"/>
          <w:sz w:val="24"/>
          <w:szCs w:val="24"/>
          <w:lang w:eastAsia="pt-BR"/>
          <w14:ligatures w14:val="standardContextual"/>
        </w:rPr>
      </w:pPr>
      <w:hyperlink w:anchor="_Toc168322029" w:history="1">
        <w:r w:rsidR="0023176C" w:rsidRPr="00955049">
          <w:rPr>
            <w:rStyle w:val="Hyperlink"/>
            <w:noProof/>
          </w:rPr>
          <w:t>7.1.1.</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 xml:space="preserve">Aprovar baseline e fee, após validação pela Unidade de Negócio, em toda contratação com pagamento condicionado a </w:t>
        </w:r>
        <w:r w:rsidR="0023176C" w:rsidRPr="00955049">
          <w:rPr>
            <w:rStyle w:val="Hyperlink"/>
            <w:i/>
            <w:iCs/>
            <w:noProof/>
          </w:rPr>
          <w:t>success fee;</w:t>
        </w:r>
        <w:r w:rsidR="0023176C">
          <w:rPr>
            <w:noProof/>
            <w:webHidden/>
          </w:rPr>
          <w:tab/>
        </w:r>
        <w:r w:rsidR="0023176C">
          <w:rPr>
            <w:noProof/>
            <w:webHidden/>
          </w:rPr>
          <w:fldChar w:fldCharType="begin"/>
        </w:r>
        <w:r w:rsidR="0023176C">
          <w:rPr>
            <w:noProof/>
            <w:webHidden/>
          </w:rPr>
          <w:instrText xml:space="preserve"> PAGEREF _Toc168322029 \h </w:instrText>
        </w:r>
        <w:r w:rsidR="0023176C">
          <w:rPr>
            <w:noProof/>
            <w:webHidden/>
          </w:rPr>
        </w:r>
        <w:r w:rsidR="0023176C">
          <w:rPr>
            <w:noProof/>
            <w:webHidden/>
          </w:rPr>
          <w:fldChar w:fldCharType="separate"/>
        </w:r>
        <w:r w:rsidR="0023176C">
          <w:rPr>
            <w:noProof/>
            <w:webHidden/>
          </w:rPr>
          <w:t>15</w:t>
        </w:r>
        <w:r w:rsidR="0023176C">
          <w:rPr>
            <w:noProof/>
            <w:webHidden/>
          </w:rPr>
          <w:fldChar w:fldCharType="end"/>
        </w:r>
      </w:hyperlink>
    </w:p>
    <w:p w14:paraId="3D2E9FB0" w14:textId="0746F418"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30" w:history="1">
        <w:r w:rsidR="0023176C" w:rsidRPr="00955049">
          <w:rPr>
            <w:rStyle w:val="Hyperlink"/>
            <w:noProof/>
          </w:rPr>
          <w:t>7.2.</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 xml:space="preserve">Área de Performance de </w:t>
        </w:r>
        <w:r w:rsidR="0023176C" w:rsidRPr="00955049">
          <w:rPr>
            <w:rStyle w:val="Hyperlink"/>
            <w:i/>
            <w:iCs/>
            <w:noProof/>
          </w:rPr>
          <w:t>Supply Chain</w:t>
        </w:r>
        <w:r w:rsidR="0023176C">
          <w:rPr>
            <w:noProof/>
            <w:webHidden/>
          </w:rPr>
          <w:tab/>
        </w:r>
        <w:r w:rsidR="0023176C">
          <w:rPr>
            <w:noProof/>
            <w:webHidden/>
          </w:rPr>
          <w:fldChar w:fldCharType="begin"/>
        </w:r>
        <w:r w:rsidR="0023176C">
          <w:rPr>
            <w:noProof/>
            <w:webHidden/>
          </w:rPr>
          <w:instrText xml:space="preserve"> PAGEREF _Toc168322030 \h </w:instrText>
        </w:r>
        <w:r w:rsidR="0023176C">
          <w:rPr>
            <w:noProof/>
            <w:webHidden/>
          </w:rPr>
        </w:r>
        <w:r w:rsidR="0023176C">
          <w:rPr>
            <w:noProof/>
            <w:webHidden/>
          </w:rPr>
          <w:fldChar w:fldCharType="separate"/>
        </w:r>
        <w:r w:rsidR="0023176C">
          <w:rPr>
            <w:noProof/>
            <w:webHidden/>
          </w:rPr>
          <w:t>15</w:t>
        </w:r>
        <w:r w:rsidR="0023176C">
          <w:rPr>
            <w:noProof/>
            <w:webHidden/>
          </w:rPr>
          <w:fldChar w:fldCharType="end"/>
        </w:r>
      </w:hyperlink>
    </w:p>
    <w:p w14:paraId="40B107B7" w14:textId="0A6C75AF"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31" w:history="1">
        <w:r w:rsidR="0023176C" w:rsidRPr="00955049">
          <w:rPr>
            <w:rStyle w:val="Hyperlink"/>
            <w:noProof/>
          </w:rPr>
          <w:t>7.3.</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Departamento Jurídico</w:t>
        </w:r>
        <w:r w:rsidR="0023176C">
          <w:rPr>
            <w:noProof/>
            <w:webHidden/>
          </w:rPr>
          <w:tab/>
        </w:r>
        <w:r w:rsidR="0023176C">
          <w:rPr>
            <w:noProof/>
            <w:webHidden/>
          </w:rPr>
          <w:fldChar w:fldCharType="begin"/>
        </w:r>
        <w:r w:rsidR="0023176C">
          <w:rPr>
            <w:noProof/>
            <w:webHidden/>
          </w:rPr>
          <w:instrText xml:space="preserve"> PAGEREF _Toc168322031 \h </w:instrText>
        </w:r>
        <w:r w:rsidR="0023176C">
          <w:rPr>
            <w:noProof/>
            <w:webHidden/>
          </w:rPr>
        </w:r>
        <w:r w:rsidR="0023176C">
          <w:rPr>
            <w:noProof/>
            <w:webHidden/>
          </w:rPr>
          <w:fldChar w:fldCharType="separate"/>
        </w:r>
        <w:r w:rsidR="0023176C">
          <w:rPr>
            <w:noProof/>
            <w:webHidden/>
          </w:rPr>
          <w:t>16</w:t>
        </w:r>
        <w:r w:rsidR="0023176C">
          <w:rPr>
            <w:noProof/>
            <w:webHidden/>
          </w:rPr>
          <w:fldChar w:fldCharType="end"/>
        </w:r>
      </w:hyperlink>
    </w:p>
    <w:p w14:paraId="6281DD15" w14:textId="30DBB2F6"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32" w:history="1">
        <w:r w:rsidR="0023176C" w:rsidRPr="00955049">
          <w:rPr>
            <w:rStyle w:val="Hyperlink"/>
            <w:noProof/>
          </w:rPr>
          <w:t>7.4.</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 xml:space="preserve">Diretor Corporativo da </w:t>
        </w:r>
        <w:r w:rsidR="0023176C" w:rsidRPr="00955049">
          <w:rPr>
            <w:rStyle w:val="Hyperlink"/>
            <w:i/>
            <w:iCs/>
            <w:noProof/>
          </w:rPr>
          <w:t>Holding</w:t>
        </w:r>
        <w:r w:rsidR="0023176C">
          <w:rPr>
            <w:noProof/>
            <w:webHidden/>
          </w:rPr>
          <w:tab/>
        </w:r>
        <w:r w:rsidR="0023176C">
          <w:rPr>
            <w:noProof/>
            <w:webHidden/>
          </w:rPr>
          <w:fldChar w:fldCharType="begin"/>
        </w:r>
        <w:r w:rsidR="0023176C">
          <w:rPr>
            <w:noProof/>
            <w:webHidden/>
          </w:rPr>
          <w:instrText xml:space="preserve"> PAGEREF _Toc168322032 \h </w:instrText>
        </w:r>
        <w:r w:rsidR="0023176C">
          <w:rPr>
            <w:noProof/>
            <w:webHidden/>
          </w:rPr>
        </w:r>
        <w:r w:rsidR="0023176C">
          <w:rPr>
            <w:noProof/>
            <w:webHidden/>
          </w:rPr>
          <w:fldChar w:fldCharType="separate"/>
        </w:r>
        <w:r w:rsidR="0023176C">
          <w:rPr>
            <w:noProof/>
            <w:webHidden/>
          </w:rPr>
          <w:t>16</w:t>
        </w:r>
        <w:r w:rsidR="0023176C">
          <w:rPr>
            <w:noProof/>
            <w:webHidden/>
          </w:rPr>
          <w:fldChar w:fldCharType="end"/>
        </w:r>
      </w:hyperlink>
    </w:p>
    <w:p w14:paraId="2B0B5429" w14:textId="41FC4542"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33" w:history="1">
        <w:r w:rsidR="0023176C" w:rsidRPr="00955049">
          <w:rPr>
            <w:rStyle w:val="Hyperlink"/>
            <w:noProof/>
          </w:rPr>
          <w:t>7.5.</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Diretor Superintendente do Negócio</w:t>
        </w:r>
        <w:r w:rsidR="0023176C">
          <w:rPr>
            <w:noProof/>
            <w:webHidden/>
          </w:rPr>
          <w:tab/>
        </w:r>
        <w:r w:rsidR="0023176C">
          <w:rPr>
            <w:noProof/>
            <w:webHidden/>
          </w:rPr>
          <w:fldChar w:fldCharType="begin"/>
        </w:r>
        <w:r w:rsidR="0023176C">
          <w:rPr>
            <w:noProof/>
            <w:webHidden/>
          </w:rPr>
          <w:instrText xml:space="preserve"> PAGEREF _Toc168322033 \h </w:instrText>
        </w:r>
        <w:r w:rsidR="0023176C">
          <w:rPr>
            <w:noProof/>
            <w:webHidden/>
          </w:rPr>
        </w:r>
        <w:r w:rsidR="0023176C">
          <w:rPr>
            <w:noProof/>
            <w:webHidden/>
          </w:rPr>
          <w:fldChar w:fldCharType="separate"/>
        </w:r>
        <w:r w:rsidR="0023176C">
          <w:rPr>
            <w:noProof/>
            <w:webHidden/>
          </w:rPr>
          <w:t>16</w:t>
        </w:r>
        <w:r w:rsidR="0023176C">
          <w:rPr>
            <w:noProof/>
            <w:webHidden/>
          </w:rPr>
          <w:fldChar w:fldCharType="end"/>
        </w:r>
      </w:hyperlink>
    </w:p>
    <w:p w14:paraId="6CA86117" w14:textId="6F057E45"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34" w:history="1">
        <w:r w:rsidR="0023176C" w:rsidRPr="00955049">
          <w:rPr>
            <w:rStyle w:val="Hyperlink"/>
            <w:noProof/>
          </w:rPr>
          <w:t>7.6.</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Diretoria Administrativa Financeira</w:t>
        </w:r>
        <w:r w:rsidR="0023176C">
          <w:rPr>
            <w:noProof/>
            <w:webHidden/>
          </w:rPr>
          <w:tab/>
        </w:r>
        <w:r w:rsidR="0023176C">
          <w:rPr>
            <w:noProof/>
            <w:webHidden/>
          </w:rPr>
          <w:fldChar w:fldCharType="begin"/>
        </w:r>
        <w:r w:rsidR="0023176C">
          <w:rPr>
            <w:noProof/>
            <w:webHidden/>
          </w:rPr>
          <w:instrText xml:space="preserve"> PAGEREF _Toc168322034 \h </w:instrText>
        </w:r>
        <w:r w:rsidR="0023176C">
          <w:rPr>
            <w:noProof/>
            <w:webHidden/>
          </w:rPr>
        </w:r>
        <w:r w:rsidR="0023176C">
          <w:rPr>
            <w:noProof/>
            <w:webHidden/>
          </w:rPr>
          <w:fldChar w:fldCharType="separate"/>
        </w:r>
        <w:r w:rsidR="0023176C">
          <w:rPr>
            <w:noProof/>
            <w:webHidden/>
          </w:rPr>
          <w:t>16</w:t>
        </w:r>
        <w:r w:rsidR="0023176C">
          <w:rPr>
            <w:noProof/>
            <w:webHidden/>
          </w:rPr>
          <w:fldChar w:fldCharType="end"/>
        </w:r>
      </w:hyperlink>
    </w:p>
    <w:p w14:paraId="12A1920A" w14:textId="3F50BF5A" w:rsidR="0023176C" w:rsidRDefault="00000000">
      <w:pPr>
        <w:pStyle w:val="Sumrio2"/>
        <w:rPr>
          <w:rFonts w:asciiTheme="minorHAnsi" w:eastAsiaTheme="minorEastAsia" w:hAnsiTheme="minorHAnsi" w:cstheme="minorBidi"/>
          <w:noProof/>
          <w:kern w:val="2"/>
          <w:sz w:val="24"/>
          <w:szCs w:val="24"/>
          <w:lang w:eastAsia="pt-BR"/>
          <w14:ligatures w14:val="standardContextual"/>
        </w:rPr>
      </w:pPr>
      <w:hyperlink w:anchor="_Toc168322035" w:history="1">
        <w:r w:rsidR="0023176C" w:rsidRPr="00955049">
          <w:rPr>
            <w:rStyle w:val="Hyperlink"/>
            <w:noProof/>
          </w:rPr>
          <w:t>7.7.</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 xml:space="preserve">Unidade de Negócio/Áreas da </w:t>
        </w:r>
        <w:r w:rsidR="0023176C" w:rsidRPr="00955049">
          <w:rPr>
            <w:rStyle w:val="Hyperlink"/>
            <w:i/>
            <w:iCs/>
            <w:noProof/>
          </w:rPr>
          <w:t>Holding</w:t>
        </w:r>
        <w:r w:rsidR="0023176C">
          <w:rPr>
            <w:noProof/>
            <w:webHidden/>
          </w:rPr>
          <w:tab/>
        </w:r>
        <w:r w:rsidR="0023176C">
          <w:rPr>
            <w:noProof/>
            <w:webHidden/>
          </w:rPr>
          <w:fldChar w:fldCharType="begin"/>
        </w:r>
        <w:r w:rsidR="0023176C">
          <w:rPr>
            <w:noProof/>
            <w:webHidden/>
          </w:rPr>
          <w:instrText xml:space="preserve"> PAGEREF _Toc168322035 \h </w:instrText>
        </w:r>
        <w:r w:rsidR="0023176C">
          <w:rPr>
            <w:noProof/>
            <w:webHidden/>
          </w:rPr>
        </w:r>
        <w:r w:rsidR="0023176C">
          <w:rPr>
            <w:noProof/>
            <w:webHidden/>
          </w:rPr>
          <w:fldChar w:fldCharType="separate"/>
        </w:r>
        <w:r w:rsidR="0023176C">
          <w:rPr>
            <w:noProof/>
            <w:webHidden/>
          </w:rPr>
          <w:t>16</w:t>
        </w:r>
        <w:r w:rsidR="0023176C">
          <w:rPr>
            <w:noProof/>
            <w:webHidden/>
          </w:rPr>
          <w:fldChar w:fldCharType="end"/>
        </w:r>
      </w:hyperlink>
    </w:p>
    <w:p w14:paraId="5B6C45A6" w14:textId="61C4119A" w:rsidR="0023176C" w:rsidRDefault="00000000">
      <w:pPr>
        <w:pStyle w:val="Sumrio1"/>
        <w:rPr>
          <w:rFonts w:asciiTheme="minorHAnsi" w:eastAsiaTheme="minorEastAsia" w:hAnsiTheme="minorHAnsi" w:cstheme="minorBidi"/>
          <w:noProof/>
          <w:kern w:val="2"/>
          <w:sz w:val="24"/>
          <w:szCs w:val="24"/>
          <w:lang w:eastAsia="pt-BR"/>
          <w14:ligatures w14:val="standardContextual"/>
        </w:rPr>
      </w:pPr>
      <w:hyperlink w:anchor="_Toc168322036" w:history="1">
        <w:r w:rsidR="0023176C" w:rsidRPr="00955049">
          <w:rPr>
            <w:rStyle w:val="Hyperlink"/>
            <w:noProof/>
          </w:rPr>
          <w:t>8.</w:t>
        </w:r>
        <w:r w:rsidR="0023176C">
          <w:rPr>
            <w:rFonts w:asciiTheme="minorHAnsi" w:eastAsiaTheme="minorEastAsia" w:hAnsiTheme="minorHAnsi" w:cstheme="minorBidi"/>
            <w:noProof/>
            <w:kern w:val="2"/>
            <w:sz w:val="24"/>
            <w:szCs w:val="24"/>
            <w:lang w:eastAsia="pt-BR"/>
            <w14:ligatures w14:val="standardContextual"/>
          </w:rPr>
          <w:tab/>
        </w:r>
        <w:r w:rsidR="0023176C" w:rsidRPr="00955049">
          <w:rPr>
            <w:rStyle w:val="Hyperlink"/>
            <w:noProof/>
          </w:rPr>
          <w:t>EXCEÇÕES</w:t>
        </w:r>
        <w:r w:rsidR="0023176C">
          <w:rPr>
            <w:noProof/>
            <w:webHidden/>
          </w:rPr>
          <w:tab/>
        </w:r>
        <w:r w:rsidR="0023176C">
          <w:rPr>
            <w:noProof/>
            <w:webHidden/>
          </w:rPr>
          <w:fldChar w:fldCharType="begin"/>
        </w:r>
        <w:r w:rsidR="0023176C">
          <w:rPr>
            <w:noProof/>
            <w:webHidden/>
          </w:rPr>
          <w:instrText xml:space="preserve"> PAGEREF _Toc168322036 \h </w:instrText>
        </w:r>
        <w:r w:rsidR="0023176C">
          <w:rPr>
            <w:noProof/>
            <w:webHidden/>
          </w:rPr>
        </w:r>
        <w:r w:rsidR="0023176C">
          <w:rPr>
            <w:noProof/>
            <w:webHidden/>
          </w:rPr>
          <w:fldChar w:fldCharType="separate"/>
        </w:r>
        <w:r w:rsidR="0023176C">
          <w:rPr>
            <w:noProof/>
            <w:webHidden/>
          </w:rPr>
          <w:t>16</w:t>
        </w:r>
        <w:r w:rsidR="0023176C">
          <w:rPr>
            <w:noProof/>
            <w:webHidden/>
          </w:rPr>
          <w:fldChar w:fldCharType="end"/>
        </w:r>
      </w:hyperlink>
    </w:p>
    <w:p w14:paraId="6797BAD4" w14:textId="63B8DE19" w:rsidR="00F715D7" w:rsidRDefault="002F2DE5" w:rsidP="00153E38">
      <w:pPr>
        <w:pStyle w:val="Sumrio1"/>
        <w:rPr>
          <w:color w:val="FF0000"/>
        </w:rPr>
      </w:pPr>
      <w:r w:rsidRPr="005F5806">
        <w:rPr>
          <w:color w:val="FF0000"/>
        </w:rPr>
        <w:fldChar w:fldCharType="end"/>
      </w:r>
    </w:p>
    <w:p w14:paraId="78E22A22" w14:textId="77777777" w:rsidR="0023176C" w:rsidRDefault="0023176C" w:rsidP="0023176C">
      <w:pPr>
        <w:rPr>
          <w:lang w:eastAsia="en-US"/>
        </w:rPr>
      </w:pPr>
    </w:p>
    <w:p w14:paraId="59DF5FA3" w14:textId="77777777" w:rsidR="0023176C" w:rsidRDefault="0023176C" w:rsidP="0023176C">
      <w:pPr>
        <w:rPr>
          <w:lang w:eastAsia="en-US"/>
        </w:rPr>
      </w:pPr>
    </w:p>
    <w:p w14:paraId="71E7041B" w14:textId="77777777" w:rsidR="0023176C" w:rsidRDefault="0023176C" w:rsidP="0023176C">
      <w:pPr>
        <w:rPr>
          <w:lang w:eastAsia="en-US"/>
        </w:rPr>
      </w:pPr>
    </w:p>
    <w:p w14:paraId="3BDE9AFB" w14:textId="77777777" w:rsidR="0023176C" w:rsidRDefault="0023176C" w:rsidP="0023176C">
      <w:pPr>
        <w:rPr>
          <w:lang w:eastAsia="en-US"/>
        </w:rPr>
      </w:pPr>
    </w:p>
    <w:p w14:paraId="3236BF37" w14:textId="77777777" w:rsidR="0023176C" w:rsidRDefault="0023176C" w:rsidP="0023176C">
      <w:pPr>
        <w:rPr>
          <w:lang w:eastAsia="en-US"/>
        </w:rPr>
      </w:pPr>
    </w:p>
    <w:p w14:paraId="36FD8489" w14:textId="77777777" w:rsidR="0023176C" w:rsidRDefault="0023176C" w:rsidP="0023176C">
      <w:pPr>
        <w:rPr>
          <w:lang w:eastAsia="en-US"/>
        </w:rPr>
      </w:pPr>
    </w:p>
    <w:p w14:paraId="2D1F9DD2" w14:textId="77777777" w:rsidR="0023176C" w:rsidRDefault="0023176C" w:rsidP="0023176C">
      <w:pPr>
        <w:rPr>
          <w:lang w:eastAsia="en-US"/>
        </w:rPr>
      </w:pPr>
    </w:p>
    <w:p w14:paraId="0EB2B4DE" w14:textId="77777777" w:rsidR="0023176C" w:rsidRDefault="0023176C" w:rsidP="0023176C">
      <w:pPr>
        <w:rPr>
          <w:lang w:eastAsia="en-US"/>
        </w:rPr>
      </w:pPr>
    </w:p>
    <w:p w14:paraId="51EA91F0" w14:textId="77777777" w:rsidR="0023176C" w:rsidRDefault="0023176C" w:rsidP="0023176C">
      <w:pPr>
        <w:rPr>
          <w:lang w:eastAsia="en-US"/>
        </w:rPr>
      </w:pPr>
    </w:p>
    <w:p w14:paraId="016DFAB3" w14:textId="77777777" w:rsidR="0023176C" w:rsidRDefault="0023176C" w:rsidP="0023176C">
      <w:pPr>
        <w:rPr>
          <w:lang w:eastAsia="en-US"/>
        </w:rPr>
      </w:pPr>
    </w:p>
    <w:p w14:paraId="492C1D78" w14:textId="77777777" w:rsidR="0023176C" w:rsidRDefault="0023176C" w:rsidP="0023176C">
      <w:pPr>
        <w:rPr>
          <w:lang w:eastAsia="en-US"/>
        </w:rPr>
      </w:pPr>
    </w:p>
    <w:p w14:paraId="5E14BB11" w14:textId="77777777" w:rsidR="0023176C" w:rsidRDefault="0023176C" w:rsidP="0023176C">
      <w:pPr>
        <w:rPr>
          <w:lang w:eastAsia="en-US"/>
        </w:rPr>
      </w:pPr>
    </w:p>
    <w:p w14:paraId="3C94FEBB" w14:textId="77777777" w:rsidR="0023176C" w:rsidRDefault="0023176C" w:rsidP="0023176C">
      <w:pPr>
        <w:rPr>
          <w:lang w:eastAsia="en-US"/>
        </w:rPr>
      </w:pPr>
    </w:p>
    <w:p w14:paraId="5F72EF42" w14:textId="77777777" w:rsidR="0023176C" w:rsidRDefault="0023176C" w:rsidP="0023176C">
      <w:pPr>
        <w:rPr>
          <w:lang w:eastAsia="en-US"/>
        </w:rPr>
      </w:pPr>
    </w:p>
    <w:p w14:paraId="09A7EE19" w14:textId="77777777" w:rsidR="0023176C" w:rsidRDefault="0023176C" w:rsidP="0023176C">
      <w:pPr>
        <w:rPr>
          <w:lang w:eastAsia="en-US"/>
        </w:rPr>
      </w:pPr>
    </w:p>
    <w:p w14:paraId="25706640" w14:textId="77777777" w:rsidR="0023176C" w:rsidRDefault="0023176C" w:rsidP="0023176C">
      <w:pPr>
        <w:rPr>
          <w:lang w:eastAsia="en-US"/>
        </w:rPr>
      </w:pPr>
    </w:p>
    <w:p w14:paraId="0CA93094" w14:textId="77777777" w:rsidR="0023176C" w:rsidRDefault="0023176C" w:rsidP="0023176C">
      <w:pPr>
        <w:rPr>
          <w:lang w:eastAsia="en-US"/>
        </w:rPr>
      </w:pPr>
    </w:p>
    <w:p w14:paraId="282702BC" w14:textId="77777777" w:rsidR="0023176C" w:rsidRDefault="0023176C" w:rsidP="0023176C">
      <w:pPr>
        <w:rPr>
          <w:lang w:eastAsia="en-US"/>
        </w:rPr>
      </w:pPr>
    </w:p>
    <w:p w14:paraId="7CD3FF69" w14:textId="77777777" w:rsidR="0023176C" w:rsidRDefault="0023176C" w:rsidP="0023176C">
      <w:pPr>
        <w:rPr>
          <w:lang w:eastAsia="en-US"/>
        </w:rPr>
      </w:pPr>
    </w:p>
    <w:p w14:paraId="735BBEDF" w14:textId="77777777" w:rsidR="0023176C" w:rsidRDefault="0023176C" w:rsidP="0023176C">
      <w:pPr>
        <w:rPr>
          <w:lang w:eastAsia="en-US"/>
        </w:rPr>
      </w:pPr>
    </w:p>
    <w:p w14:paraId="47F4B66B" w14:textId="77777777" w:rsidR="0023176C" w:rsidRDefault="0023176C" w:rsidP="0023176C">
      <w:pPr>
        <w:rPr>
          <w:lang w:eastAsia="en-US"/>
        </w:rPr>
      </w:pPr>
    </w:p>
    <w:p w14:paraId="651D7704" w14:textId="77777777" w:rsidR="0023176C" w:rsidRDefault="0023176C" w:rsidP="0023176C">
      <w:pPr>
        <w:rPr>
          <w:lang w:eastAsia="en-US"/>
        </w:rPr>
      </w:pPr>
    </w:p>
    <w:p w14:paraId="461E6E6E" w14:textId="77777777" w:rsidR="0023176C" w:rsidRDefault="0023176C" w:rsidP="0023176C">
      <w:pPr>
        <w:rPr>
          <w:lang w:eastAsia="en-US"/>
        </w:rPr>
      </w:pPr>
    </w:p>
    <w:p w14:paraId="2C45E02B" w14:textId="77777777" w:rsidR="0023176C" w:rsidRDefault="0023176C" w:rsidP="0023176C">
      <w:pPr>
        <w:rPr>
          <w:lang w:eastAsia="en-US"/>
        </w:rPr>
      </w:pPr>
    </w:p>
    <w:p w14:paraId="3A7CEFAB" w14:textId="77777777" w:rsidR="0023176C" w:rsidRDefault="0023176C" w:rsidP="0023176C">
      <w:pPr>
        <w:rPr>
          <w:lang w:eastAsia="en-US"/>
        </w:rPr>
      </w:pPr>
    </w:p>
    <w:p w14:paraId="614AB35A" w14:textId="77777777" w:rsidR="0023176C" w:rsidRDefault="0023176C" w:rsidP="0023176C">
      <w:pPr>
        <w:rPr>
          <w:lang w:eastAsia="en-US"/>
        </w:rPr>
      </w:pPr>
    </w:p>
    <w:p w14:paraId="269F7E5E" w14:textId="77777777" w:rsidR="0023176C" w:rsidRDefault="0023176C" w:rsidP="0023176C">
      <w:pPr>
        <w:rPr>
          <w:lang w:eastAsia="en-US"/>
        </w:rPr>
      </w:pPr>
    </w:p>
    <w:p w14:paraId="0201D06A" w14:textId="77777777" w:rsidR="0023176C" w:rsidRDefault="0023176C" w:rsidP="0023176C">
      <w:pPr>
        <w:rPr>
          <w:lang w:eastAsia="en-US"/>
        </w:rPr>
      </w:pPr>
    </w:p>
    <w:p w14:paraId="68C0DA7F" w14:textId="77777777" w:rsidR="0023176C" w:rsidRDefault="0023176C" w:rsidP="0023176C">
      <w:pPr>
        <w:rPr>
          <w:lang w:eastAsia="en-US"/>
        </w:rPr>
      </w:pPr>
    </w:p>
    <w:p w14:paraId="4CF939CB" w14:textId="77777777" w:rsidR="0023176C" w:rsidRDefault="0023176C" w:rsidP="0023176C">
      <w:pPr>
        <w:rPr>
          <w:lang w:eastAsia="en-US"/>
        </w:rPr>
      </w:pPr>
    </w:p>
    <w:p w14:paraId="1F36922A" w14:textId="77777777" w:rsidR="0023176C" w:rsidRDefault="0023176C" w:rsidP="0023176C">
      <w:pPr>
        <w:rPr>
          <w:lang w:eastAsia="en-US"/>
        </w:rPr>
      </w:pPr>
    </w:p>
    <w:p w14:paraId="6EB6B37C" w14:textId="77777777" w:rsidR="0023176C" w:rsidRDefault="0023176C" w:rsidP="0023176C">
      <w:pPr>
        <w:rPr>
          <w:lang w:eastAsia="en-US"/>
        </w:rPr>
      </w:pPr>
    </w:p>
    <w:p w14:paraId="248334AA" w14:textId="77777777" w:rsidR="0023176C" w:rsidRDefault="0023176C" w:rsidP="0023176C">
      <w:pPr>
        <w:rPr>
          <w:lang w:eastAsia="en-US"/>
        </w:rPr>
      </w:pPr>
    </w:p>
    <w:p w14:paraId="4153EAE8" w14:textId="77777777" w:rsidR="0023176C" w:rsidRDefault="0023176C" w:rsidP="0023176C">
      <w:pPr>
        <w:rPr>
          <w:lang w:eastAsia="en-US"/>
        </w:rPr>
      </w:pPr>
    </w:p>
    <w:p w14:paraId="731DD680" w14:textId="77777777" w:rsidR="0023176C" w:rsidRDefault="0023176C" w:rsidP="0023176C">
      <w:pPr>
        <w:rPr>
          <w:lang w:eastAsia="en-US"/>
        </w:rPr>
      </w:pPr>
    </w:p>
    <w:p w14:paraId="486E77C8" w14:textId="77777777" w:rsidR="0023176C" w:rsidRDefault="0023176C" w:rsidP="0023176C">
      <w:pPr>
        <w:rPr>
          <w:lang w:eastAsia="en-US"/>
        </w:rPr>
      </w:pPr>
    </w:p>
    <w:p w14:paraId="7CDE880E" w14:textId="77777777" w:rsidR="0023176C" w:rsidRDefault="0023176C" w:rsidP="0023176C">
      <w:pPr>
        <w:rPr>
          <w:lang w:eastAsia="en-US"/>
        </w:rPr>
      </w:pPr>
    </w:p>
    <w:p w14:paraId="5D5C4F1D" w14:textId="77777777" w:rsidR="0023176C" w:rsidRDefault="0023176C" w:rsidP="0023176C">
      <w:pPr>
        <w:rPr>
          <w:lang w:eastAsia="en-US"/>
        </w:rPr>
      </w:pPr>
    </w:p>
    <w:p w14:paraId="6F8E5C6E" w14:textId="77777777" w:rsidR="0023176C" w:rsidRDefault="0023176C" w:rsidP="0023176C">
      <w:pPr>
        <w:rPr>
          <w:lang w:eastAsia="en-US"/>
        </w:rPr>
      </w:pPr>
    </w:p>
    <w:p w14:paraId="67C66623" w14:textId="77777777" w:rsidR="0023176C" w:rsidRDefault="0023176C" w:rsidP="0023176C">
      <w:pPr>
        <w:rPr>
          <w:lang w:eastAsia="en-US"/>
        </w:rPr>
      </w:pPr>
    </w:p>
    <w:p w14:paraId="7DE778F5" w14:textId="77777777" w:rsidR="0023176C" w:rsidRDefault="0023176C" w:rsidP="0023176C">
      <w:pPr>
        <w:rPr>
          <w:lang w:eastAsia="en-US"/>
        </w:rPr>
      </w:pPr>
    </w:p>
    <w:p w14:paraId="20F775BC" w14:textId="77777777" w:rsidR="0023176C" w:rsidRDefault="0023176C" w:rsidP="0023176C">
      <w:pPr>
        <w:rPr>
          <w:lang w:eastAsia="en-US"/>
        </w:rPr>
      </w:pPr>
    </w:p>
    <w:p w14:paraId="15A4CDFA" w14:textId="77777777" w:rsidR="0023176C" w:rsidRDefault="0023176C" w:rsidP="0023176C">
      <w:pPr>
        <w:rPr>
          <w:lang w:eastAsia="en-US"/>
        </w:rPr>
      </w:pPr>
    </w:p>
    <w:p w14:paraId="050299BA" w14:textId="67F1BF52" w:rsidR="002F2DE5" w:rsidRPr="005F5806" w:rsidRDefault="00F715D7" w:rsidP="0023176C">
      <w:pPr>
        <w:pStyle w:val="Ttulo1"/>
        <w:numPr>
          <w:ilvl w:val="0"/>
          <w:numId w:val="1"/>
        </w:numPr>
        <w:tabs>
          <w:tab w:val="clear" w:pos="562"/>
          <w:tab w:val="num" w:pos="851"/>
        </w:tabs>
        <w:spacing w:beforeLines="120" w:before="288" w:afterLines="120" w:after="288" w:line="240" w:lineRule="atLeast"/>
        <w:ind w:left="851" w:hanging="851"/>
      </w:pPr>
      <w:bookmarkStart w:id="1" w:name="_Toc326600083"/>
      <w:bookmarkStart w:id="2" w:name="_Toc146640109"/>
      <w:bookmarkStart w:id="3" w:name="_Toc168322007"/>
      <w:r>
        <w:lastRenderedPageBreak/>
        <w:t>AP</w:t>
      </w:r>
      <w:r w:rsidR="002F2DE5" w:rsidRPr="005F5806">
        <w:t>RESENTAÇÃO</w:t>
      </w:r>
      <w:bookmarkEnd w:id="1"/>
      <w:bookmarkEnd w:id="2"/>
      <w:bookmarkEnd w:id="3"/>
    </w:p>
    <w:p w14:paraId="4FD03336" w14:textId="77777777" w:rsidR="002F2DE5" w:rsidRPr="005F5806" w:rsidRDefault="002F2DE5" w:rsidP="00467220">
      <w:pPr>
        <w:pStyle w:val="Ttulo2"/>
        <w:numPr>
          <w:ilvl w:val="1"/>
          <w:numId w:val="1"/>
        </w:numPr>
        <w:tabs>
          <w:tab w:val="clear" w:pos="420"/>
          <w:tab w:val="num" w:pos="851"/>
        </w:tabs>
        <w:spacing w:beforeLines="120" w:before="288" w:afterLines="120" w:after="288" w:line="240" w:lineRule="atLeast"/>
        <w:ind w:left="851" w:hanging="851"/>
      </w:pPr>
      <w:bookmarkStart w:id="4" w:name="_Toc326600084"/>
      <w:bookmarkStart w:id="5" w:name="_Toc146640110"/>
      <w:bookmarkStart w:id="6" w:name="_Toc168322008"/>
      <w:r w:rsidRPr="005F5806">
        <w:t>Objetivo</w:t>
      </w:r>
      <w:bookmarkEnd w:id="4"/>
      <w:bookmarkEnd w:id="5"/>
      <w:bookmarkEnd w:id="6"/>
    </w:p>
    <w:p w14:paraId="014972C4" w14:textId="77777777" w:rsidR="002F2DE5" w:rsidRPr="005F5806" w:rsidRDefault="002F2DE5" w:rsidP="00467220">
      <w:pPr>
        <w:pStyle w:val="Default"/>
        <w:tabs>
          <w:tab w:val="num" w:pos="0"/>
        </w:tabs>
        <w:spacing w:beforeLines="120" w:before="288" w:afterLines="120" w:after="288" w:line="240" w:lineRule="atLeast"/>
        <w:jc w:val="both"/>
        <w:rPr>
          <w:rFonts w:ascii="Verdana" w:hAnsi="Verdana"/>
          <w:sz w:val="20"/>
          <w:szCs w:val="20"/>
        </w:rPr>
      </w:pPr>
      <w:bookmarkStart w:id="7" w:name="_Toc326600085"/>
      <w:r w:rsidRPr="005F5806">
        <w:rPr>
          <w:rFonts w:ascii="Verdana" w:hAnsi="Verdana"/>
          <w:sz w:val="20"/>
          <w:szCs w:val="20"/>
        </w:rPr>
        <w:t>Esta política tem como objetivo estabelecer as diretrizes para o processo de aquisição de bens e serviços do Grupo Edson Queiroz (GEQ), abrangendo desde a necessidade de compra até a formalização do Documento de Compra.</w:t>
      </w:r>
    </w:p>
    <w:p w14:paraId="79C47C00" w14:textId="77777777" w:rsidR="002F2DE5" w:rsidRPr="005F5806" w:rsidRDefault="002F2DE5" w:rsidP="00467220">
      <w:pPr>
        <w:pStyle w:val="Ttulo2"/>
        <w:numPr>
          <w:ilvl w:val="1"/>
          <w:numId w:val="1"/>
        </w:numPr>
        <w:tabs>
          <w:tab w:val="clear" w:pos="420"/>
          <w:tab w:val="num" w:pos="851"/>
        </w:tabs>
        <w:spacing w:beforeLines="120" w:before="288" w:afterLines="120" w:after="288" w:line="240" w:lineRule="atLeast"/>
        <w:ind w:left="851" w:hanging="851"/>
      </w:pPr>
      <w:bookmarkStart w:id="8" w:name="_Toc146640111"/>
      <w:bookmarkStart w:id="9" w:name="_Toc168322009"/>
      <w:r w:rsidRPr="005F5806">
        <w:t>Abrangência</w:t>
      </w:r>
      <w:bookmarkEnd w:id="7"/>
      <w:bookmarkEnd w:id="8"/>
      <w:bookmarkEnd w:id="9"/>
    </w:p>
    <w:p w14:paraId="01D6120D" w14:textId="77777777" w:rsidR="002F2DE5" w:rsidRPr="005F5806" w:rsidRDefault="002F2DE5" w:rsidP="00467220">
      <w:pPr>
        <w:pStyle w:val="Default"/>
        <w:tabs>
          <w:tab w:val="num" w:pos="0"/>
        </w:tabs>
        <w:spacing w:beforeLines="120" w:before="288" w:afterLines="120" w:after="288" w:line="240" w:lineRule="atLeast"/>
        <w:jc w:val="both"/>
        <w:rPr>
          <w:rFonts w:ascii="Verdana" w:hAnsi="Verdana"/>
        </w:rPr>
      </w:pPr>
      <w:r w:rsidRPr="005F5806">
        <w:rPr>
          <w:rFonts w:ascii="Verdana" w:hAnsi="Verdana"/>
          <w:sz w:val="20"/>
          <w:szCs w:val="20"/>
        </w:rPr>
        <w:t>Esta política é aplicável a todas as empresas do Grupo Edson Queiroz.</w:t>
      </w:r>
    </w:p>
    <w:p w14:paraId="0C7F3A18" w14:textId="77777777" w:rsidR="002F2DE5" w:rsidRPr="005F5806" w:rsidRDefault="002F2DE5" w:rsidP="00467220">
      <w:pPr>
        <w:pStyle w:val="Ttulo2"/>
        <w:numPr>
          <w:ilvl w:val="1"/>
          <w:numId w:val="1"/>
        </w:numPr>
        <w:tabs>
          <w:tab w:val="clear" w:pos="420"/>
          <w:tab w:val="num" w:pos="851"/>
        </w:tabs>
        <w:spacing w:beforeLines="120" w:before="288" w:afterLines="120" w:after="288" w:line="240" w:lineRule="atLeast"/>
        <w:ind w:left="851" w:hanging="851"/>
      </w:pPr>
      <w:bookmarkStart w:id="10" w:name="_Toc326600086"/>
      <w:bookmarkStart w:id="11" w:name="_Toc146640112"/>
      <w:bookmarkStart w:id="12" w:name="_Toc168322010"/>
      <w:r w:rsidRPr="005F5806">
        <w:t>Vigência</w:t>
      </w:r>
      <w:bookmarkEnd w:id="10"/>
      <w:bookmarkEnd w:id="11"/>
      <w:bookmarkEnd w:id="12"/>
    </w:p>
    <w:p w14:paraId="07E45522" w14:textId="425F90DF" w:rsidR="002F2DE5" w:rsidRPr="005F5806" w:rsidRDefault="002F2DE5" w:rsidP="00467220">
      <w:pPr>
        <w:pStyle w:val="Default"/>
        <w:tabs>
          <w:tab w:val="num" w:pos="0"/>
        </w:tabs>
        <w:spacing w:beforeLines="120" w:before="288" w:afterLines="120" w:after="288" w:line="240" w:lineRule="atLeast"/>
        <w:jc w:val="both"/>
        <w:rPr>
          <w:rFonts w:ascii="Verdana" w:hAnsi="Verdana"/>
          <w:sz w:val="20"/>
          <w:szCs w:val="20"/>
        </w:rPr>
      </w:pPr>
      <w:r w:rsidRPr="005F5806">
        <w:rPr>
          <w:rFonts w:ascii="Verdana" w:hAnsi="Verdana"/>
          <w:sz w:val="20"/>
          <w:szCs w:val="20"/>
        </w:rPr>
        <w:t xml:space="preserve">Esta política terá prazo indeterminado e entrará em vigor a partir da data de sua </w:t>
      </w:r>
      <w:r w:rsidR="00990361">
        <w:rPr>
          <w:rFonts w:ascii="Verdana" w:hAnsi="Verdana"/>
          <w:sz w:val="20"/>
          <w:szCs w:val="20"/>
        </w:rPr>
        <w:t>assinatura</w:t>
      </w:r>
      <w:r w:rsidRPr="005F5806">
        <w:rPr>
          <w:rFonts w:ascii="Verdana" w:hAnsi="Verdana"/>
          <w:sz w:val="20"/>
          <w:szCs w:val="20"/>
        </w:rPr>
        <w:t>, com revisão periódica a cada 12 meses</w:t>
      </w:r>
      <w:r w:rsidR="003235E7">
        <w:rPr>
          <w:rFonts w:ascii="Verdana" w:hAnsi="Verdana"/>
          <w:sz w:val="20"/>
          <w:szCs w:val="20"/>
        </w:rPr>
        <w:t>.</w:t>
      </w:r>
    </w:p>
    <w:p w14:paraId="5DA2BC7A" w14:textId="1370DB32" w:rsidR="002F2DE5" w:rsidRPr="005F5806" w:rsidRDefault="002F2DE5" w:rsidP="00467220">
      <w:pPr>
        <w:pStyle w:val="Ttulo2"/>
        <w:numPr>
          <w:ilvl w:val="1"/>
          <w:numId w:val="1"/>
        </w:numPr>
        <w:tabs>
          <w:tab w:val="clear" w:pos="420"/>
          <w:tab w:val="num" w:pos="851"/>
        </w:tabs>
        <w:spacing w:beforeLines="120" w:before="288" w:afterLines="120" w:after="288" w:line="240" w:lineRule="atLeast"/>
        <w:ind w:left="851" w:hanging="851"/>
        <w:rPr>
          <w:rFonts w:eastAsia="Verdana" w:cs="Verdana"/>
          <w:bCs/>
        </w:rPr>
      </w:pPr>
      <w:bookmarkStart w:id="13" w:name="_Toc168322011"/>
      <w:bookmarkStart w:id="14" w:name="_Toc326600087"/>
      <w:bookmarkStart w:id="15" w:name="_Toc146640113"/>
      <w:r w:rsidRPr="005F5806">
        <w:rPr>
          <w:bCs/>
        </w:rPr>
        <w:t>Área técnica responsável</w:t>
      </w:r>
      <w:bookmarkEnd w:id="13"/>
      <w:r w:rsidRPr="005F5806">
        <w:rPr>
          <w:bCs/>
        </w:rPr>
        <w:t xml:space="preserve"> </w:t>
      </w:r>
      <w:bookmarkEnd w:id="14"/>
      <w:bookmarkEnd w:id="15"/>
    </w:p>
    <w:p w14:paraId="47257BAD" w14:textId="6377E432" w:rsidR="002F2DE5" w:rsidRPr="005F5806" w:rsidRDefault="002F2DE5" w:rsidP="00467220">
      <w:pPr>
        <w:pStyle w:val="Default"/>
        <w:spacing w:beforeLines="120" w:before="288" w:afterLines="120" w:after="288" w:line="240" w:lineRule="atLeast"/>
        <w:jc w:val="both"/>
        <w:rPr>
          <w:rFonts w:ascii="Verdana" w:hAnsi="Verdana"/>
          <w:sz w:val="20"/>
          <w:szCs w:val="20"/>
        </w:rPr>
      </w:pPr>
      <w:r w:rsidRPr="005F5806">
        <w:rPr>
          <w:rFonts w:ascii="Verdana" w:hAnsi="Verdana"/>
          <w:sz w:val="20"/>
          <w:szCs w:val="20"/>
        </w:rPr>
        <w:t xml:space="preserve">O conteúdo dessa política é de responsabilidade </w:t>
      </w:r>
      <w:r w:rsidRPr="00757173">
        <w:rPr>
          <w:rFonts w:ascii="Verdana" w:hAnsi="Verdana"/>
          <w:sz w:val="20"/>
          <w:szCs w:val="20"/>
        </w:rPr>
        <w:t xml:space="preserve">da </w:t>
      </w:r>
      <w:r w:rsidR="00FD6FEF">
        <w:rPr>
          <w:rFonts w:ascii="Verdana" w:hAnsi="Verdana"/>
          <w:sz w:val="20"/>
          <w:szCs w:val="20"/>
        </w:rPr>
        <w:t>Coordenação</w:t>
      </w:r>
      <w:r w:rsidRPr="00757173">
        <w:rPr>
          <w:rFonts w:ascii="Verdana" w:hAnsi="Verdana"/>
          <w:sz w:val="20"/>
          <w:szCs w:val="20"/>
        </w:rPr>
        <w:t xml:space="preserve"> de Performance de </w:t>
      </w:r>
      <w:proofErr w:type="spellStart"/>
      <w:r w:rsidRPr="00732922">
        <w:rPr>
          <w:rFonts w:ascii="Verdana" w:hAnsi="Verdana"/>
          <w:i/>
          <w:iCs/>
          <w:sz w:val="20"/>
          <w:szCs w:val="20"/>
        </w:rPr>
        <w:t>Supply</w:t>
      </w:r>
      <w:proofErr w:type="spellEnd"/>
      <w:r w:rsidRPr="00732922">
        <w:rPr>
          <w:rFonts w:ascii="Verdana" w:hAnsi="Verdana"/>
          <w:i/>
          <w:iCs/>
          <w:sz w:val="20"/>
          <w:szCs w:val="20"/>
        </w:rPr>
        <w:t xml:space="preserve"> Chain</w:t>
      </w:r>
      <w:r w:rsidRPr="002A32FE">
        <w:rPr>
          <w:rFonts w:ascii="Verdana" w:hAnsi="Verdana"/>
          <w:sz w:val="20"/>
          <w:szCs w:val="20"/>
        </w:rPr>
        <w:t>, assim como sua revisão, atualização</w:t>
      </w:r>
      <w:r>
        <w:rPr>
          <w:rFonts w:ascii="Verdana" w:hAnsi="Verdana"/>
          <w:sz w:val="20"/>
          <w:szCs w:val="20"/>
        </w:rPr>
        <w:t>, divulgação</w:t>
      </w:r>
      <w:r w:rsidRPr="002A32FE">
        <w:rPr>
          <w:rFonts w:ascii="Verdana" w:hAnsi="Verdana"/>
          <w:sz w:val="20"/>
          <w:szCs w:val="20"/>
        </w:rPr>
        <w:t xml:space="preserve"> e monitoramento de seu cumprimento.</w:t>
      </w:r>
    </w:p>
    <w:p w14:paraId="04066941" w14:textId="77777777" w:rsidR="002F2DE5" w:rsidRPr="005F5806" w:rsidRDefault="002F2DE5" w:rsidP="00467220">
      <w:pPr>
        <w:pStyle w:val="Ttulo2"/>
        <w:numPr>
          <w:ilvl w:val="1"/>
          <w:numId w:val="1"/>
        </w:numPr>
        <w:tabs>
          <w:tab w:val="clear" w:pos="420"/>
          <w:tab w:val="num" w:pos="851"/>
        </w:tabs>
        <w:spacing w:beforeLines="120" w:before="288" w:afterLines="120" w:after="288" w:line="240" w:lineRule="atLeast"/>
        <w:ind w:left="851" w:hanging="851"/>
      </w:pPr>
      <w:r w:rsidRPr="005F5806">
        <w:t xml:space="preserve"> </w:t>
      </w:r>
      <w:bookmarkStart w:id="16" w:name="_Toc326600088"/>
      <w:bookmarkStart w:id="17" w:name="_Toc146640114"/>
      <w:bookmarkStart w:id="18" w:name="_Toc168322012"/>
      <w:r w:rsidRPr="005F5806">
        <w:t>Aprovação</w:t>
      </w:r>
      <w:bookmarkEnd w:id="16"/>
      <w:bookmarkEnd w:id="17"/>
      <w:bookmarkEnd w:id="18"/>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5670"/>
      </w:tblGrid>
      <w:tr w:rsidR="00467220" w:rsidRPr="005F5806" w14:paraId="44A88C22" w14:textId="77777777" w:rsidTr="00467220">
        <w:trPr>
          <w:trHeight w:val="782"/>
        </w:trPr>
        <w:tc>
          <w:tcPr>
            <w:tcW w:w="2830" w:type="dxa"/>
            <w:tcBorders>
              <w:top w:val="single" w:sz="4" w:space="0" w:color="FFFFFF"/>
              <w:left w:val="single" w:sz="4" w:space="0" w:color="FFFFFF"/>
              <w:right w:val="nil"/>
            </w:tcBorders>
            <w:vAlign w:val="center"/>
          </w:tcPr>
          <w:p w14:paraId="05008815" w14:textId="77777777" w:rsidR="00467220" w:rsidRPr="005F5806" w:rsidRDefault="00467220" w:rsidP="00BC3005">
            <w:pPr>
              <w:tabs>
                <w:tab w:val="num" w:pos="567"/>
              </w:tabs>
              <w:spacing w:before="120" w:after="120" w:line="240" w:lineRule="atLeast"/>
              <w:ind w:left="567" w:hanging="567"/>
              <w:rPr>
                <w:rFonts w:ascii="Verdana" w:hAnsi="Verdana"/>
              </w:rPr>
            </w:pPr>
            <w:r w:rsidRPr="005F5806">
              <w:rPr>
                <w:rFonts w:ascii="Verdana" w:hAnsi="Verdana"/>
              </w:rPr>
              <w:t xml:space="preserve">Carlos </w:t>
            </w:r>
            <w:proofErr w:type="spellStart"/>
            <w:r w:rsidRPr="005F5806">
              <w:rPr>
                <w:rFonts w:ascii="Verdana" w:hAnsi="Verdana"/>
              </w:rPr>
              <w:t>Rotella</w:t>
            </w:r>
            <w:proofErr w:type="spellEnd"/>
          </w:p>
        </w:tc>
        <w:tc>
          <w:tcPr>
            <w:tcW w:w="5670" w:type="dxa"/>
            <w:tcBorders>
              <w:top w:val="single" w:sz="4" w:space="0" w:color="FFFFFF"/>
              <w:left w:val="nil"/>
              <w:right w:val="nil"/>
            </w:tcBorders>
            <w:vAlign w:val="center"/>
          </w:tcPr>
          <w:p w14:paraId="00713A37" w14:textId="242E9A9C" w:rsidR="00467220" w:rsidRPr="005F5806" w:rsidRDefault="00467220" w:rsidP="00BC3005">
            <w:pPr>
              <w:tabs>
                <w:tab w:val="num" w:pos="567"/>
              </w:tabs>
              <w:spacing w:before="120" w:after="120" w:line="240" w:lineRule="atLeast"/>
              <w:ind w:left="567" w:hanging="567"/>
              <w:rPr>
                <w:rFonts w:ascii="Verdana" w:hAnsi="Verdana"/>
              </w:rPr>
            </w:pPr>
            <w:r w:rsidRPr="005F5806">
              <w:rPr>
                <w:rFonts w:ascii="Verdana" w:hAnsi="Verdana"/>
              </w:rPr>
              <w:t>Presidente</w:t>
            </w:r>
            <w:r w:rsidR="00A25853">
              <w:rPr>
                <w:rFonts w:ascii="Verdana" w:hAnsi="Verdana"/>
              </w:rPr>
              <w:t xml:space="preserve"> Executivo</w:t>
            </w:r>
          </w:p>
        </w:tc>
      </w:tr>
      <w:tr w:rsidR="00467220" w:rsidRPr="005F5806" w14:paraId="27D611E4" w14:textId="77777777" w:rsidTr="00467220">
        <w:trPr>
          <w:trHeight w:val="782"/>
        </w:trPr>
        <w:tc>
          <w:tcPr>
            <w:tcW w:w="2830" w:type="dxa"/>
            <w:tcBorders>
              <w:top w:val="single" w:sz="4" w:space="0" w:color="FFFFFF"/>
              <w:left w:val="single" w:sz="4" w:space="0" w:color="FFFFFF"/>
              <w:right w:val="nil"/>
            </w:tcBorders>
            <w:vAlign w:val="center"/>
          </w:tcPr>
          <w:p w14:paraId="1114D1FA" w14:textId="067C7473" w:rsidR="00467220" w:rsidRPr="005F5806" w:rsidDel="004D6F02" w:rsidRDefault="00467220" w:rsidP="00BC3005">
            <w:pPr>
              <w:tabs>
                <w:tab w:val="num" w:pos="567"/>
              </w:tabs>
              <w:spacing w:before="120" w:after="120" w:line="240" w:lineRule="atLeast"/>
              <w:ind w:left="567" w:hanging="567"/>
              <w:rPr>
                <w:rFonts w:ascii="Verdana" w:hAnsi="Verdana"/>
              </w:rPr>
            </w:pPr>
            <w:r>
              <w:rPr>
                <w:rFonts w:ascii="Verdana" w:hAnsi="Verdana"/>
              </w:rPr>
              <w:t>Paula Nogueira</w:t>
            </w:r>
          </w:p>
        </w:tc>
        <w:tc>
          <w:tcPr>
            <w:tcW w:w="5670" w:type="dxa"/>
            <w:tcBorders>
              <w:top w:val="single" w:sz="4" w:space="0" w:color="FFFFFF"/>
              <w:left w:val="nil"/>
              <w:right w:val="nil"/>
            </w:tcBorders>
            <w:vAlign w:val="center"/>
          </w:tcPr>
          <w:p w14:paraId="140AF9CC" w14:textId="77777777" w:rsidR="00467220" w:rsidRPr="005F5806" w:rsidRDefault="00467220" w:rsidP="00BC3005">
            <w:pPr>
              <w:tabs>
                <w:tab w:val="num" w:pos="851"/>
              </w:tabs>
              <w:spacing w:beforeLines="120" w:before="288" w:afterLines="120" w:after="288" w:line="240" w:lineRule="atLeast"/>
              <w:ind w:left="851" w:hanging="851"/>
              <w:jc w:val="both"/>
              <w:rPr>
                <w:rFonts w:ascii="Verdana" w:hAnsi="Verdana"/>
              </w:rPr>
            </w:pPr>
            <w:r>
              <w:rPr>
                <w:rFonts w:ascii="Verdana" w:hAnsi="Verdana"/>
              </w:rPr>
              <w:t>Diretora Executiva Jurídica</w:t>
            </w:r>
          </w:p>
        </w:tc>
      </w:tr>
      <w:tr w:rsidR="00467220" w:rsidRPr="005F5806" w14:paraId="0D3CC188" w14:textId="77777777" w:rsidTr="00467220">
        <w:trPr>
          <w:trHeight w:val="782"/>
        </w:trPr>
        <w:tc>
          <w:tcPr>
            <w:tcW w:w="2830" w:type="dxa"/>
            <w:tcBorders>
              <w:top w:val="single" w:sz="4" w:space="0" w:color="FFFFFF"/>
              <w:left w:val="single" w:sz="4" w:space="0" w:color="FFFFFF"/>
              <w:right w:val="nil"/>
            </w:tcBorders>
            <w:vAlign w:val="center"/>
          </w:tcPr>
          <w:p w14:paraId="5A7927DA" w14:textId="77777777" w:rsidR="00467220" w:rsidRPr="005F5806" w:rsidRDefault="00467220" w:rsidP="00BC3005">
            <w:pPr>
              <w:tabs>
                <w:tab w:val="num" w:pos="567"/>
              </w:tabs>
              <w:spacing w:before="120" w:after="120" w:line="240" w:lineRule="atLeast"/>
              <w:ind w:left="567" w:hanging="567"/>
              <w:rPr>
                <w:rFonts w:ascii="Verdana" w:hAnsi="Verdana"/>
              </w:rPr>
            </w:pPr>
            <w:r w:rsidRPr="005F5806">
              <w:rPr>
                <w:rFonts w:ascii="Verdana" w:hAnsi="Verdana"/>
              </w:rPr>
              <w:t>Jorge Dória</w:t>
            </w:r>
          </w:p>
        </w:tc>
        <w:tc>
          <w:tcPr>
            <w:tcW w:w="5670" w:type="dxa"/>
            <w:tcBorders>
              <w:top w:val="single" w:sz="4" w:space="0" w:color="FFFFFF"/>
              <w:left w:val="nil"/>
              <w:right w:val="nil"/>
            </w:tcBorders>
            <w:vAlign w:val="center"/>
          </w:tcPr>
          <w:p w14:paraId="74FAAFBB" w14:textId="3334A249" w:rsidR="00467220" w:rsidRPr="005F5806" w:rsidRDefault="00467220" w:rsidP="00BC3005">
            <w:pPr>
              <w:tabs>
                <w:tab w:val="num" w:pos="567"/>
              </w:tabs>
              <w:spacing w:before="120" w:after="120" w:line="240" w:lineRule="atLeast"/>
              <w:ind w:left="567" w:hanging="567"/>
              <w:rPr>
                <w:rFonts w:ascii="Verdana" w:hAnsi="Verdana"/>
              </w:rPr>
            </w:pPr>
            <w:r w:rsidRPr="005F5806">
              <w:rPr>
                <w:rFonts w:ascii="Verdana" w:hAnsi="Verdana"/>
              </w:rPr>
              <w:t xml:space="preserve">Diretor </w:t>
            </w:r>
            <w:r w:rsidR="00E5310B">
              <w:rPr>
                <w:rFonts w:ascii="Verdana" w:hAnsi="Verdana"/>
              </w:rPr>
              <w:t xml:space="preserve">Executivo </w:t>
            </w:r>
            <w:r w:rsidRPr="005F5806">
              <w:rPr>
                <w:rFonts w:ascii="Verdana" w:hAnsi="Verdana"/>
              </w:rPr>
              <w:t xml:space="preserve">de </w:t>
            </w:r>
            <w:proofErr w:type="spellStart"/>
            <w:r w:rsidRPr="005F5806">
              <w:rPr>
                <w:rFonts w:ascii="Verdana" w:hAnsi="Verdana"/>
                <w:i/>
                <w:iCs/>
              </w:rPr>
              <w:t>Supply</w:t>
            </w:r>
            <w:proofErr w:type="spellEnd"/>
            <w:r w:rsidRPr="005F5806">
              <w:rPr>
                <w:rFonts w:ascii="Verdana" w:hAnsi="Verdana"/>
                <w:i/>
                <w:iCs/>
              </w:rPr>
              <w:t xml:space="preserve"> Chain</w:t>
            </w:r>
          </w:p>
        </w:tc>
      </w:tr>
    </w:tbl>
    <w:p w14:paraId="6ED932B4" w14:textId="77777777" w:rsidR="002F2DE5" w:rsidRPr="005F5806" w:rsidRDefault="002F2DE5" w:rsidP="002F2DE5">
      <w:pPr>
        <w:keepNext/>
        <w:widowControl w:val="0"/>
        <w:suppressAutoHyphens/>
        <w:spacing w:before="120" w:after="120" w:line="240" w:lineRule="atLeast"/>
        <w:jc w:val="both"/>
        <w:rPr>
          <w:rFonts w:ascii="Verdana" w:hAnsi="Verdana"/>
        </w:rPr>
      </w:pPr>
    </w:p>
    <w:p w14:paraId="1D7B1B5A" w14:textId="77777777" w:rsidR="002F2DE5" w:rsidRPr="005F5806" w:rsidRDefault="002F2DE5" w:rsidP="00AB16EE">
      <w:pPr>
        <w:pStyle w:val="Ttulo1"/>
        <w:numPr>
          <w:ilvl w:val="0"/>
          <w:numId w:val="1"/>
        </w:numPr>
        <w:tabs>
          <w:tab w:val="clear" w:pos="562"/>
          <w:tab w:val="num" w:pos="851"/>
        </w:tabs>
        <w:spacing w:beforeLines="120" w:before="288" w:afterLines="120" w:after="288" w:line="240" w:lineRule="atLeast"/>
        <w:ind w:left="851" w:hanging="851"/>
      </w:pPr>
      <w:r w:rsidRPr="005F5806">
        <w:rPr>
          <w:color w:val="FF0000"/>
        </w:rPr>
        <w:br w:type="page"/>
      </w:r>
      <w:bookmarkStart w:id="19" w:name="_Toc326600089"/>
      <w:bookmarkStart w:id="20" w:name="_Toc146640115"/>
      <w:bookmarkStart w:id="21" w:name="_Toc168322013"/>
      <w:r w:rsidRPr="005F5806">
        <w:lastRenderedPageBreak/>
        <w:t>CONCEITOS E DEFINIÇÕES</w:t>
      </w:r>
      <w:bookmarkEnd w:id="19"/>
      <w:bookmarkEnd w:id="20"/>
      <w:bookmarkEnd w:id="21"/>
    </w:p>
    <w:p w14:paraId="16D51E32" w14:textId="3A555947" w:rsidR="002F2DE5" w:rsidRDefault="002F2DE5" w:rsidP="00AB16EE">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B94F98">
        <w:rPr>
          <w:rStyle w:val="normaltextrun"/>
          <w:rFonts w:ascii="Verdana" w:hAnsi="Verdana"/>
          <w:b/>
          <w:bCs/>
          <w:color w:val="000000"/>
          <w:sz w:val="20"/>
          <w:szCs w:val="20"/>
        </w:rPr>
        <w:t xml:space="preserve">Acordo de Compra: </w:t>
      </w:r>
      <w:r w:rsidR="00D6137D" w:rsidRPr="00B94F98">
        <w:rPr>
          <w:rStyle w:val="normaltextrun"/>
          <w:rFonts w:ascii="Verdana" w:hAnsi="Verdana"/>
          <w:color w:val="000000"/>
          <w:sz w:val="20"/>
          <w:szCs w:val="20"/>
        </w:rPr>
        <w:t>documento que serve para formalizar a negociação de compra e/ou contratação de algum produto ou serviço para a empresa</w:t>
      </w:r>
      <w:r w:rsidRPr="00B94F98">
        <w:rPr>
          <w:rStyle w:val="normaltextrun"/>
          <w:rFonts w:ascii="Verdana" w:hAnsi="Verdana"/>
          <w:color w:val="000000"/>
          <w:sz w:val="20"/>
          <w:szCs w:val="20"/>
        </w:rPr>
        <w:t>, geralmente utilizado em compras recorrentes.</w:t>
      </w:r>
    </w:p>
    <w:p w14:paraId="08F4171E" w14:textId="4A9F22B9" w:rsidR="002F2DE5" w:rsidRPr="009714C4" w:rsidRDefault="002F2DE5" w:rsidP="00E92ED9">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9714C4">
        <w:rPr>
          <w:rStyle w:val="normaltextrun"/>
          <w:rFonts w:ascii="Verdana" w:hAnsi="Verdana"/>
          <w:b/>
          <w:bCs/>
          <w:i/>
          <w:iCs/>
          <w:color w:val="000000"/>
          <w:sz w:val="20"/>
          <w:szCs w:val="20"/>
        </w:rPr>
        <w:t>Baseline</w:t>
      </w:r>
      <w:r w:rsidRPr="009714C4">
        <w:rPr>
          <w:rStyle w:val="normaltextrun"/>
          <w:rFonts w:ascii="Verdana" w:hAnsi="Verdana"/>
          <w:color w:val="000000"/>
          <w:sz w:val="20"/>
          <w:szCs w:val="20"/>
        </w:rPr>
        <w:t>:</w:t>
      </w:r>
      <w:r w:rsidRPr="009714C4">
        <w:rPr>
          <w:rStyle w:val="normaltextrun"/>
          <w:rFonts w:ascii="Verdana" w:hAnsi="Verdana"/>
          <w:b/>
          <w:bCs/>
          <w:color w:val="000000"/>
          <w:sz w:val="20"/>
          <w:szCs w:val="20"/>
        </w:rPr>
        <w:t xml:space="preserve"> </w:t>
      </w:r>
      <w:r w:rsidRPr="009714C4">
        <w:rPr>
          <w:rStyle w:val="normaltextrun"/>
          <w:rFonts w:ascii="Verdana" w:hAnsi="Verdana"/>
          <w:color w:val="000000"/>
          <w:sz w:val="20"/>
          <w:szCs w:val="20"/>
        </w:rPr>
        <w:t xml:space="preserve">é o valor-base para análise comparativa. Ele pode ser determinado por diferentes elementos que podem variar de acordo com cada projeto. A partir do </w:t>
      </w:r>
      <w:r w:rsidRPr="009714C4">
        <w:rPr>
          <w:rStyle w:val="normaltextrun"/>
          <w:rFonts w:ascii="Verdana" w:hAnsi="Verdana"/>
          <w:i/>
          <w:iCs/>
          <w:color w:val="000000"/>
          <w:sz w:val="20"/>
          <w:szCs w:val="20"/>
        </w:rPr>
        <w:t>baseline</w:t>
      </w:r>
      <w:r w:rsidRPr="009714C4">
        <w:rPr>
          <w:rStyle w:val="normaltextrun"/>
          <w:rFonts w:ascii="Verdana" w:hAnsi="Verdana"/>
          <w:color w:val="000000"/>
          <w:sz w:val="20"/>
          <w:szCs w:val="20"/>
        </w:rPr>
        <w:t xml:space="preserve"> é que se chega ao </w:t>
      </w:r>
      <w:proofErr w:type="spellStart"/>
      <w:r w:rsidRPr="009714C4">
        <w:rPr>
          <w:rStyle w:val="normaltextrun"/>
          <w:rFonts w:ascii="Verdana" w:hAnsi="Verdana"/>
          <w:i/>
          <w:iCs/>
          <w:color w:val="000000"/>
          <w:sz w:val="20"/>
          <w:szCs w:val="20"/>
        </w:rPr>
        <w:t>saving</w:t>
      </w:r>
      <w:proofErr w:type="spellEnd"/>
      <w:r w:rsidRPr="009714C4">
        <w:rPr>
          <w:rStyle w:val="normaltextrun"/>
          <w:rFonts w:ascii="Verdana" w:hAnsi="Verdana"/>
          <w:color w:val="000000"/>
          <w:sz w:val="20"/>
          <w:szCs w:val="20"/>
        </w:rPr>
        <w:t>, que mostra a redução de custo para a empresa.</w:t>
      </w:r>
    </w:p>
    <w:p w14:paraId="4FBB74EA" w14:textId="72233D86" w:rsidR="00E92ED9" w:rsidRPr="00E92ED9" w:rsidRDefault="00E92ED9" w:rsidP="00E92ED9">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E92ED9">
        <w:rPr>
          <w:rStyle w:val="normaltextrun"/>
          <w:rFonts w:ascii="Verdana" w:hAnsi="Verdana"/>
          <w:b/>
          <w:bCs/>
          <w:color w:val="000000"/>
          <w:sz w:val="20"/>
          <w:szCs w:val="20"/>
        </w:rPr>
        <w:t>Bens ou servi</w:t>
      </w:r>
      <w:r w:rsidR="006F62A1">
        <w:rPr>
          <w:rStyle w:val="normaltextrun"/>
          <w:rFonts w:ascii="Verdana" w:hAnsi="Verdana"/>
          <w:b/>
          <w:bCs/>
          <w:color w:val="000000"/>
          <w:sz w:val="20"/>
          <w:szCs w:val="20"/>
        </w:rPr>
        <w:t xml:space="preserve">ços </w:t>
      </w:r>
      <w:r w:rsidRPr="00E92ED9">
        <w:rPr>
          <w:rStyle w:val="normaltextrun"/>
          <w:rFonts w:ascii="Verdana" w:hAnsi="Verdana"/>
          <w:b/>
          <w:bCs/>
          <w:color w:val="000000"/>
          <w:sz w:val="20"/>
          <w:szCs w:val="20"/>
        </w:rPr>
        <w:t>indiretos:</w:t>
      </w:r>
      <w:r w:rsidRPr="00E92ED9">
        <w:rPr>
          <w:rStyle w:val="normaltextrun"/>
          <w:rFonts w:ascii="Verdana" w:hAnsi="Verdana"/>
          <w:color w:val="000000"/>
          <w:sz w:val="20"/>
          <w:szCs w:val="20"/>
        </w:rPr>
        <w:t xml:space="preserve"> não possuem relação direta com a produção da fábrica</w:t>
      </w:r>
      <w:r w:rsidR="006F62A1">
        <w:rPr>
          <w:rStyle w:val="normaltextrun"/>
          <w:rFonts w:ascii="Verdana" w:hAnsi="Verdana"/>
          <w:color w:val="000000"/>
          <w:sz w:val="20"/>
          <w:szCs w:val="20"/>
        </w:rPr>
        <w:t>.</w:t>
      </w:r>
    </w:p>
    <w:p w14:paraId="1727A128" w14:textId="307A1FF0" w:rsidR="002F2DE5" w:rsidRPr="00E92ED9" w:rsidRDefault="002F2DE5" w:rsidP="00E92ED9">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E92ED9">
        <w:rPr>
          <w:rStyle w:val="normaltextrun"/>
          <w:rFonts w:ascii="Verdana" w:hAnsi="Verdana"/>
          <w:b/>
          <w:bCs/>
          <w:color w:val="000000"/>
          <w:sz w:val="20"/>
          <w:szCs w:val="20"/>
        </w:rPr>
        <w:t xml:space="preserve">Categoria de </w:t>
      </w:r>
      <w:r w:rsidR="00467220" w:rsidRPr="00E92ED9">
        <w:rPr>
          <w:rStyle w:val="normaltextrun"/>
          <w:rFonts w:ascii="Verdana" w:hAnsi="Verdana"/>
          <w:b/>
          <w:bCs/>
          <w:color w:val="000000"/>
          <w:sz w:val="20"/>
          <w:szCs w:val="20"/>
        </w:rPr>
        <w:t>c</w:t>
      </w:r>
      <w:r w:rsidRPr="00E92ED9">
        <w:rPr>
          <w:rStyle w:val="normaltextrun"/>
          <w:rFonts w:ascii="Verdana" w:hAnsi="Verdana"/>
          <w:b/>
          <w:bCs/>
          <w:color w:val="000000"/>
          <w:sz w:val="20"/>
          <w:szCs w:val="20"/>
        </w:rPr>
        <w:t>ompra</w:t>
      </w:r>
      <w:r w:rsidRPr="00E92ED9">
        <w:rPr>
          <w:rStyle w:val="normaltextrun"/>
          <w:rFonts w:ascii="Verdana" w:hAnsi="Verdana"/>
          <w:color w:val="000000"/>
          <w:sz w:val="20"/>
          <w:szCs w:val="20"/>
        </w:rPr>
        <w:t>: conjunto de itens que apresentam sinergia em relação ao mercado fornecedor e/ou estratégia de aquisição.</w:t>
      </w:r>
    </w:p>
    <w:p w14:paraId="0FF82847" w14:textId="77777777" w:rsidR="0066137C" w:rsidRPr="00E92ED9" w:rsidRDefault="0066137C" w:rsidP="00E92ED9">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E92ED9">
        <w:rPr>
          <w:rStyle w:val="normaltextrun"/>
          <w:rFonts w:ascii="Verdana" w:hAnsi="Verdana"/>
          <w:b/>
          <w:bCs/>
          <w:color w:val="000000"/>
          <w:sz w:val="20"/>
          <w:szCs w:val="20"/>
        </w:rPr>
        <w:t>Central de Cadastro</w:t>
      </w:r>
      <w:r w:rsidRPr="00E92ED9">
        <w:rPr>
          <w:rStyle w:val="normaltextrun"/>
          <w:rFonts w:ascii="Verdana" w:hAnsi="Verdana"/>
          <w:color w:val="000000"/>
          <w:sz w:val="20"/>
          <w:szCs w:val="20"/>
        </w:rPr>
        <w:t>: área responsável pela criação, padronização, liberação e manutenção do cadastro de clientes, fornecedores, bens e serviços.</w:t>
      </w:r>
    </w:p>
    <w:p w14:paraId="5D7E3A2C" w14:textId="77777777" w:rsidR="0066137C" w:rsidRPr="005F5806" w:rsidRDefault="0066137C" w:rsidP="0066137C">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5F5806">
        <w:rPr>
          <w:rStyle w:val="normaltextrun"/>
          <w:rFonts w:ascii="Verdana" w:hAnsi="Verdana"/>
          <w:b/>
          <w:bCs/>
          <w:color w:val="000000"/>
          <w:sz w:val="20"/>
          <w:szCs w:val="20"/>
        </w:rPr>
        <w:t>Comprador</w:t>
      </w:r>
      <w:r w:rsidRPr="005F5806">
        <w:rPr>
          <w:rStyle w:val="normaltextrun"/>
          <w:rFonts w:ascii="Verdana" w:hAnsi="Verdana"/>
          <w:color w:val="000000"/>
          <w:sz w:val="20"/>
          <w:szCs w:val="20"/>
        </w:rPr>
        <w:t>: empregado do GEQ responsável pelo atendimento às necessidades de compras ou contratações, que contemplam desde a atividade de prospecção de fornecedores até a emissão do Documento de Compra e/ou contrato correspondente.</w:t>
      </w:r>
    </w:p>
    <w:p w14:paraId="4E8A9A61" w14:textId="60040EF6" w:rsidR="0066137C" w:rsidRPr="005F5806" w:rsidRDefault="0066137C" w:rsidP="0066137C">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b/>
          <w:bCs/>
          <w:color w:val="000000"/>
          <w:sz w:val="20"/>
          <w:szCs w:val="20"/>
        </w:rPr>
      </w:pPr>
      <w:r w:rsidRPr="005F5806">
        <w:rPr>
          <w:rStyle w:val="normaltextrun"/>
          <w:rFonts w:ascii="Verdana" w:hAnsi="Verdana"/>
          <w:b/>
          <w:bCs/>
          <w:color w:val="000000"/>
          <w:sz w:val="20"/>
          <w:szCs w:val="20"/>
        </w:rPr>
        <w:t xml:space="preserve">Compras </w:t>
      </w:r>
      <w:r w:rsidR="00467220">
        <w:rPr>
          <w:rStyle w:val="normaltextrun"/>
          <w:rFonts w:ascii="Verdana" w:hAnsi="Verdana"/>
          <w:b/>
          <w:bCs/>
          <w:color w:val="000000"/>
          <w:sz w:val="20"/>
          <w:szCs w:val="20"/>
        </w:rPr>
        <w:t>e</w:t>
      </w:r>
      <w:r w:rsidRPr="005F5806">
        <w:rPr>
          <w:rStyle w:val="normaltextrun"/>
          <w:rFonts w:ascii="Verdana" w:hAnsi="Verdana"/>
          <w:b/>
          <w:bCs/>
          <w:color w:val="000000"/>
          <w:sz w:val="20"/>
          <w:szCs w:val="20"/>
        </w:rPr>
        <w:t xml:space="preserve">mergenciais: </w:t>
      </w:r>
      <w:r w:rsidRPr="005F5806">
        <w:rPr>
          <w:rStyle w:val="normaltextrun"/>
          <w:rFonts w:ascii="Verdana" w:hAnsi="Verdana"/>
          <w:color w:val="000000"/>
          <w:sz w:val="20"/>
          <w:szCs w:val="20"/>
        </w:rPr>
        <w:t xml:space="preserve">compras realizadas diretamente pelas Unidades de Negócio ou áreas da </w:t>
      </w:r>
      <w:r w:rsidRPr="00C16456">
        <w:rPr>
          <w:rStyle w:val="normaltextrun"/>
          <w:rFonts w:ascii="Verdana" w:hAnsi="Verdana"/>
          <w:i/>
          <w:iCs/>
          <w:color w:val="000000"/>
          <w:sz w:val="20"/>
          <w:szCs w:val="20"/>
        </w:rPr>
        <w:t>Holding</w:t>
      </w:r>
      <w:r w:rsidRPr="00C16456">
        <w:rPr>
          <w:rStyle w:val="normaltextrun"/>
          <w:rFonts w:ascii="Verdana" w:hAnsi="Verdana"/>
          <w:color w:val="000000"/>
          <w:sz w:val="20"/>
          <w:szCs w:val="20"/>
        </w:rPr>
        <w:t>, fora do fluxo padrão de compras do GEQ, nos termos dos itens 4.1.11 e 4.1.12.</w:t>
      </w:r>
      <w:r w:rsidRPr="005F5806">
        <w:rPr>
          <w:rStyle w:val="normaltextrun"/>
          <w:rFonts w:ascii="Verdana" w:hAnsi="Verdana"/>
          <w:b/>
          <w:bCs/>
          <w:color w:val="000000"/>
          <w:sz w:val="20"/>
          <w:szCs w:val="20"/>
        </w:rPr>
        <w:t xml:space="preserve"> </w:t>
      </w:r>
    </w:p>
    <w:p w14:paraId="665E4B67" w14:textId="19846D24" w:rsidR="002F2DE5" w:rsidRPr="00B45332" w:rsidRDefault="002F2DE5" w:rsidP="00AB16EE">
      <w:pPr>
        <w:pStyle w:val="paragraph"/>
        <w:numPr>
          <w:ilvl w:val="0"/>
          <w:numId w:val="3"/>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Pr>
          <w:rStyle w:val="normaltextrun"/>
          <w:rFonts w:ascii="Verdana" w:hAnsi="Verdana"/>
          <w:b/>
          <w:bCs/>
          <w:color w:val="000000"/>
          <w:sz w:val="20"/>
          <w:szCs w:val="20"/>
        </w:rPr>
        <w:t xml:space="preserve">Condições </w:t>
      </w:r>
      <w:r w:rsidR="00467220">
        <w:rPr>
          <w:rStyle w:val="normaltextrun"/>
          <w:rFonts w:ascii="Verdana" w:hAnsi="Verdana"/>
          <w:b/>
          <w:bCs/>
          <w:color w:val="000000"/>
          <w:sz w:val="20"/>
          <w:szCs w:val="20"/>
        </w:rPr>
        <w:t>G</w:t>
      </w:r>
      <w:r>
        <w:rPr>
          <w:rStyle w:val="normaltextrun"/>
          <w:rFonts w:ascii="Verdana" w:hAnsi="Verdana"/>
          <w:b/>
          <w:bCs/>
          <w:color w:val="000000"/>
          <w:sz w:val="20"/>
          <w:szCs w:val="20"/>
        </w:rPr>
        <w:t xml:space="preserve">erais de </w:t>
      </w:r>
      <w:r w:rsidR="00467220">
        <w:rPr>
          <w:rStyle w:val="normaltextrun"/>
          <w:rFonts w:ascii="Verdana" w:hAnsi="Verdana"/>
          <w:b/>
          <w:bCs/>
          <w:color w:val="000000"/>
          <w:sz w:val="20"/>
          <w:szCs w:val="20"/>
        </w:rPr>
        <w:t>F</w:t>
      </w:r>
      <w:r>
        <w:rPr>
          <w:rStyle w:val="normaltextrun"/>
          <w:rFonts w:ascii="Verdana" w:hAnsi="Verdana"/>
          <w:b/>
          <w:bCs/>
          <w:color w:val="000000"/>
          <w:sz w:val="20"/>
          <w:szCs w:val="20"/>
        </w:rPr>
        <w:t>ornecimento</w:t>
      </w:r>
      <w:r w:rsidRPr="00B94F98">
        <w:rPr>
          <w:rStyle w:val="normaltextrun"/>
          <w:rFonts w:ascii="Verdana" w:hAnsi="Verdana"/>
          <w:color w:val="000000"/>
          <w:sz w:val="20"/>
          <w:szCs w:val="20"/>
        </w:rPr>
        <w:t>:</w:t>
      </w:r>
      <w:r w:rsidRPr="00B94F98">
        <w:rPr>
          <w:rStyle w:val="normaltextrun"/>
          <w:rFonts w:ascii="Verdana" w:hAnsi="Verdana"/>
          <w:b/>
          <w:color w:val="000000"/>
          <w:sz w:val="20"/>
          <w:szCs w:val="20"/>
        </w:rPr>
        <w:t xml:space="preserve"> </w:t>
      </w:r>
      <w:r w:rsidRPr="00B94F98">
        <w:rPr>
          <w:rStyle w:val="normaltextrun"/>
          <w:rFonts w:ascii="Verdana" w:hAnsi="Verdana"/>
          <w:color w:val="000000"/>
          <w:sz w:val="20"/>
          <w:szCs w:val="20"/>
        </w:rPr>
        <w:t>instrumento jurídico de contratação simplificada, previamente elaborado em modelo padrão pelo Departamento Jurídico, em que o contratado adere aos seus termos, dispensando a assinatura dos Procuradores do GEQ.</w:t>
      </w:r>
    </w:p>
    <w:p w14:paraId="2109ECDB" w14:textId="41893CD1" w:rsidR="00467220" w:rsidRPr="005F5806" w:rsidRDefault="00467220"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5F5806">
        <w:rPr>
          <w:rFonts w:ascii="Verdana" w:hAnsi="Verdana" w:cs="Verdana"/>
          <w:b/>
          <w:bCs/>
          <w:color w:val="000000"/>
          <w:sz w:val="20"/>
          <w:szCs w:val="20"/>
        </w:rPr>
        <w:t xml:space="preserve">Diretor </w:t>
      </w:r>
      <w:r>
        <w:rPr>
          <w:rFonts w:ascii="Verdana" w:hAnsi="Verdana" w:cs="Verdana"/>
          <w:b/>
          <w:bCs/>
          <w:color w:val="000000"/>
          <w:sz w:val="20"/>
          <w:szCs w:val="20"/>
        </w:rPr>
        <w:t>c</w:t>
      </w:r>
      <w:r w:rsidRPr="005F5806">
        <w:rPr>
          <w:rFonts w:ascii="Verdana" w:hAnsi="Verdana" w:cs="Verdana"/>
          <w:b/>
          <w:bCs/>
          <w:color w:val="000000"/>
          <w:sz w:val="20"/>
          <w:szCs w:val="20"/>
        </w:rPr>
        <w:t xml:space="preserve">orporativo: </w:t>
      </w:r>
      <w:r w:rsidRPr="005F5806">
        <w:rPr>
          <w:rFonts w:ascii="Verdana" w:hAnsi="Verdana" w:cs="Verdana"/>
          <w:color w:val="000000"/>
          <w:sz w:val="20"/>
          <w:szCs w:val="20"/>
        </w:rPr>
        <w:t xml:space="preserve">empregado do GEQ ocupante do cargo de Diretoria, responsável por uma área e/ou departamento, sem Diretores subordinados. </w:t>
      </w:r>
    </w:p>
    <w:p w14:paraId="71D3FF65" w14:textId="137B822E" w:rsidR="002F2DE5" w:rsidRPr="005F5806"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5F5806">
        <w:rPr>
          <w:rFonts w:ascii="Verdana" w:hAnsi="Verdana" w:cs="Verdana"/>
          <w:b/>
          <w:bCs/>
          <w:color w:val="000000"/>
          <w:sz w:val="20"/>
          <w:szCs w:val="20"/>
        </w:rPr>
        <w:t xml:space="preserve">Diretor de </w:t>
      </w:r>
      <w:r w:rsidR="00467220">
        <w:rPr>
          <w:rFonts w:ascii="Verdana" w:hAnsi="Verdana" w:cs="Verdana"/>
          <w:b/>
          <w:bCs/>
          <w:color w:val="000000"/>
          <w:sz w:val="20"/>
          <w:szCs w:val="20"/>
        </w:rPr>
        <w:t>á</w:t>
      </w:r>
      <w:r w:rsidRPr="005F5806">
        <w:rPr>
          <w:rFonts w:ascii="Verdana" w:hAnsi="Verdana" w:cs="Verdana"/>
          <w:b/>
          <w:bCs/>
          <w:color w:val="000000"/>
          <w:sz w:val="20"/>
          <w:szCs w:val="20"/>
        </w:rPr>
        <w:t xml:space="preserve">rea: </w:t>
      </w:r>
      <w:r w:rsidRPr="005F5806">
        <w:rPr>
          <w:rFonts w:ascii="Verdana" w:hAnsi="Verdana" w:cs="Verdana"/>
          <w:color w:val="000000"/>
          <w:sz w:val="20"/>
          <w:szCs w:val="20"/>
        </w:rPr>
        <w:t xml:space="preserve">empregado do GEQ ocupante do cargo de Diretoria e que possui outros Diretores subordinados. </w:t>
      </w:r>
    </w:p>
    <w:p w14:paraId="4363885F" w14:textId="77777777" w:rsidR="002F2DE5" w:rsidRPr="0066137C"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5F5806">
        <w:rPr>
          <w:rFonts w:ascii="Verdana" w:hAnsi="Verdana" w:cs="Verdana"/>
          <w:b/>
          <w:bCs/>
          <w:color w:val="000000"/>
          <w:sz w:val="20"/>
          <w:szCs w:val="20"/>
        </w:rPr>
        <w:t xml:space="preserve">Diretor de Negócio: </w:t>
      </w:r>
      <w:r w:rsidRPr="005F5806">
        <w:rPr>
          <w:rFonts w:ascii="Verdana" w:hAnsi="Verdana" w:cs="Verdana"/>
          <w:color w:val="000000"/>
          <w:sz w:val="20"/>
          <w:szCs w:val="20"/>
        </w:rPr>
        <w:t xml:space="preserve">empregado de alguma das empresas operacionais/de negócios do GEQ, ocupante do cargo de Diretoria. </w:t>
      </w:r>
    </w:p>
    <w:p w14:paraId="3A2DCD28" w14:textId="5250B1A3" w:rsidR="0066137C" w:rsidRPr="005F5806" w:rsidRDefault="0066137C"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5F5806">
        <w:rPr>
          <w:rFonts w:ascii="Verdana" w:hAnsi="Verdana" w:cs="Verdana"/>
          <w:b/>
          <w:bCs/>
          <w:color w:val="000000"/>
          <w:sz w:val="20"/>
          <w:szCs w:val="20"/>
        </w:rPr>
        <w:t xml:space="preserve">Diretoria </w:t>
      </w:r>
      <w:r w:rsidR="00467220">
        <w:rPr>
          <w:rFonts w:ascii="Verdana" w:hAnsi="Verdana" w:cs="Verdana"/>
          <w:b/>
          <w:bCs/>
          <w:color w:val="000000"/>
          <w:sz w:val="20"/>
          <w:szCs w:val="20"/>
        </w:rPr>
        <w:t>e</w:t>
      </w:r>
      <w:r w:rsidRPr="005F5806">
        <w:rPr>
          <w:rFonts w:ascii="Verdana" w:hAnsi="Verdana" w:cs="Verdana"/>
          <w:b/>
          <w:bCs/>
          <w:color w:val="000000"/>
          <w:sz w:val="20"/>
          <w:szCs w:val="20"/>
        </w:rPr>
        <w:t xml:space="preserve">statutária: </w:t>
      </w:r>
      <w:r w:rsidRPr="005F5806">
        <w:rPr>
          <w:rFonts w:ascii="Verdana" w:hAnsi="Verdana" w:cs="Verdana"/>
          <w:color w:val="000000"/>
          <w:sz w:val="20"/>
          <w:szCs w:val="20"/>
        </w:rPr>
        <w:t xml:space="preserve">representantes legais das empresas do GEQ, nomeados pelos acionistas/sócios das empresas, em assembleia de acionistas ou reunião de sócios. </w:t>
      </w:r>
    </w:p>
    <w:p w14:paraId="5C7383E5" w14:textId="72660E4F" w:rsidR="002F2DE5" w:rsidRPr="005F5806"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r w:rsidRPr="005F5806">
        <w:rPr>
          <w:rStyle w:val="normaltextrun"/>
          <w:rFonts w:ascii="Verdana" w:hAnsi="Verdana"/>
          <w:b/>
          <w:bCs/>
          <w:color w:val="000000"/>
          <w:sz w:val="20"/>
          <w:szCs w:val="20"/>
        </w:rPr>
        <w:lastRenderedPageBreak/>
        <w:t>Documento</w:t>
      </w:r>
      <w:r w:rsidR="00467220">
        <w:rPr>
          <w:rStyle w:val="normaltextrun"/>
          <w:rFonts w:ascii="Verdana" w:hAnsi="Verdana"/>
          <w:b/>
          <w:bCs/>
          <w:color w:val="000000"/>
          <w:sz w:val="20"/>
          <w:szCs w:val="20"/>
        </w:rPr>
        <w:t xml:space="preserve"> de </w:t>
      </w:r>
      <w:r w:rsidRPr="005F5806">
        <w:rPr>
          <w:rStyle w:val="normaltextrun"/>
          <w:rFonts w:ascii="Verdana" w:hAnsi="Verdana"/>
          <w:b/>
          <w:bCs/>
          <w:color w:val="000000"/>
          <w:sz w:val="20"/>
          <w:szCs w:val="20"/>
        </w:rPr>
        <w:t>Compra</w:t>
      </w:r>
      <w:r w:rsidRPr="005F5806">
        <w:rPr>
          <w:rStyle w:val="normaltextrun"/>
          <w:rFonts w:ascii="Verdana" w:hAnsi="Verdana"/>
          <w:color w:val="000000"/>
          <w:sz w:val="20"/>
          <w:szCs w:val="20"/>
        </w:rPr>
        <w:t>: documento (Acordo ou Ordem de Compra) que formaliza as condições negociadas entre o GEQ e um determinado fornecedor ou prestador de serviço.</w:t>
      </w:r>
    </w:p>
    <w:p w14:paraId="553DCD6F" w14:textId="47DD9C25" w:rsidR="006F603A" w:rsidRPr="003B3E67" w:rsidRDefault="006F603A" w:rsidP="00987E86">
      <w:pPr>
        <w:pStyle w:val="paragraph"/>
        <w:numPr>
          <w:ilvl w:val="0"/>
          <w:numId w:val="4"/>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sz w:val="20"/>
          <w:szCs w:val="20"/>
        </w:rPr>
      </w:pPr>
      <w:r w:rsidRPr="003B3E67">
        <w:rPr>
          <w:rStyle w:val="normaltextrun"/>
          <w:rFonts w:ascii="Verdana" w:hAnsi="Verdana"/>
          <w:b/>
          <w:bCs/>
          <w:color w:val="000000"/>
          <w:sz w:val="20"/>
          <w:szCs w:val="20"/>
        </w:rPr>
        <w:t>Edital de Compra:</w:t>
      </w:r>
      <w:r w:rsidRPr="003B3E67">
        <w:rPr>
          <w:rStyle w:val="normaltextrun"/>
          <w:rFonts w:ascii="Verdana" w:hAnsi="Verdana"/>
          <w:color w:val="000000"/>
          <w:sz w:val="20"/>
          <w:szCs w:val="20"/>
        </w:rPr>
        <w:t xml:space="preserve"> </w:t>
      </w:r>
      <w:r w:rsidR="003B3E67" w:rsidRPr="003B3E67">
        <w:rPr>
          <w:rStyle w:val="normaltextrun"/>
          <w:rFonts w:ascii="Verdana" w:hAnsi="Verdana"/>
          <w:color w:val="000000"/>
          <w:sz w:val="20"/>
          <w:szCs w:val="20"/>
        </w:rPr>
        <w:t>instruções gera</w:t>
      </w:r>
      <w:r w:rsidR="00045CD4">
        <w:rPr>
          <w:rStyle w:val="normaltextrun"/>
          <w:rFonts w:ascii="Verdana" w:hAnsi="Verdana"/>
          <w:color w:val="000000"/>
          <w:sz w:val="20"/>
          <w:szCs w:val="20"/>
        </w:rPr>
        <w:t>das</w:t>
      </w:r>
      <w:r w:rsidR="003B3E67" w:rsidRPr="003B3E67">
        <w:rPr>
          <w:rStyle w:val="normaltextrun"/>
          <w:rFonts w:ascii="Verdana" w:hAnsi="Verdana"/>
          <w:color w:val="000000"/>
          <w:sz w:val="20"/>
          <w:szCs w:val="20"/>
        </w:rPr>
        <w:t xml:space="preserve"> para contratações com o Grupo Edson Queiroz.</w:t>
      </w:r>
    </w:p>
    <w:p w14:paraId="4371DC90" w14:textId="4B3BEE9D" w:rsidR="0066137C" w:rsidRPr="001236AD" w:rsidRDefault="0066137C" w:rsidP="00987E86">
      <w:pPr>
        <w:pStyle w:val="paragraph"/>
        <w:numPr>
          <w:ilvl w:val="0"/>
          <w:numId w:val="4"/>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sz w:val="20"/>
          <w:szCs w:val="20"/>
        </w:rPr>
      </w:pPr>
      <w:r w:rsidRPr="001236AD">
        <w:rPr>
          <w:rStyle w:val="normaltextrun"/>
          <w:rFonts w:ascii="Verdana" w:hAnsi="Verdana"/>
          <w:b/>
          <w:bCs/>
          <w:color w:val="000000"/>
          <w:sz w:val="20"/>
          <w:szCs w:val="20"/>
        </w:rPr>
        <w:t xml:space="preserve">Fornecedor </w:t>
      </w:r>
      <w:r w:rsidR="00467220">
        <w:rPr>
          <w:rStyle w:val="normaltextrun"/>
          <w:rFonts w:ascii="Verdana" w:hAnsi="Verdana"/>
          <w:b/>
          <w:bCs/>
          <w:color w:val="000000"/>
          <w:sz w:val="20"/>
          <w:szCs w:val="20"/>
        </w:rPr>
        <w:t>e</w:t>
      </w:r>
      <w:r w:rsidRPr="001236AD">
        <w:rPr>
          <w:rStyle w:val="normaltextrun"/>
          <w:rFonts w:ascii="Verdana" w:hAnsi="Verdana"/>
          <w:b/>
          <w:bCs/>
          <w:color w:val="000000"/>
          <w:sz w:val="20"/>
          <w:szCs w:val="20"/>
        </w:rPr>
        <w:t>xclusivo:</w:t>
      </w:r>
      <w:r w:rsidRPr="001236AD">
        <w:rPr>
          <w:rStyle w:val="normaltextrun"/>
          <w:rFonts w:ascii="Verdana" w:hAnsi="Verdana"/>
          <w:color w:val="000000"/>
          <w:sz w:val="20"/>
          <w:szCs w:val="20"/>
        </w:rPr>
        <w:t xml:space="preserve"> </w:t>
      </w:r>
      <w:r w:rsidR="00FD1DE9">
        <w:rPr>
          <w:rStyle w:val="normaltextrun"/>
          <w:rFonts w:ascii="Verdana" w:hAnsi="Verdana"/>
          <w:color w:val="000000"/>
          <w:sz w:val="20"/>
          <w:szCs w:val="20"/>
        </w:rPr>
        <w:t>a</w:t>
      </w:r>
      <w:r w:rsidRPr="001236AD">
        <w:rPr>
          <w:rStyle w:val="normaltextrun"/>
          <w:rFonts w:ascii="Verdana" w:hAnsi="Verdana"/>
          <w:color w:val="000000"/>
          <w:sz w:val="20"/>
          <w:szCs w:val="20"/>
        </w:rPr>
        <w:t>contece em casos em que a empresa compradora adquire materiais ou serviços de um único fornecedor, por especificidade qualitativa do item ou em casos de monopólio de fornecimento. Como exemplo, podemos citar os casos de patentes, representação exclusiva de marca, fabricante, propriedade intelectual e royalties.</w:t>
      </w:r>
    </w:p>
    <w:p w14:paraId="5697CACC" w14:textId="03F20952" w:rsidR="002F2DE5" w:rsidRPr="001236AD" w:rsidRDefault="002F2DE5" w:rsidP="00987E86">
      <w:pPr>
        <w:pStyle w:val="paragraph"/>
        <w:numPr>
          <w:ilvl w:val="0"/>
          <w:numId w:val="4"/>
        </w:numPr>
        <w:tabs>
          <w:tab w:val="clear" w:pos="720"/>
          <w:tab w:val="num" w:pos="1418"/>
        </w:tabs>
        <w:spacing w:beforeLines="120" w:before="288" w:beforeAutospacing="0" w:afterLines="120" w:after="288" w:afterAutospacing="0" w:line="240" w:lineRule="atLeast"/>
        <w:ind w:left="1418" w:hanging="567"/>
        <w:jc w:val="both"/>
        <w:textAlignment w:val="baseline"/>
        <w:rPr>
          <w:rStyle w:val="normaltextrun"/>
          <w:sz w:val="20"/>
          <w:szCs w:val="20"/>
        </w:rPr>
      </w:pPr>
      <w:r w:rsidRPr="001236AD">
        <w:rPr>
          <w:rStyle w:val="normaltextrun"/>
          <w:rFonts w:ascii="Verdana" w:hAnsi="Verdana"/>
          <w:b/>
          <w:bCs/>
          <w:color w:val="000000"/>
          <w:sz w:val="20"/>
          <w:szCs w:val="20"/>
        </w:rPr>
        <w:t xml:space="preserve">Fornecedor recorrente: </w:t>
      </w:r>
      <w:r w:rsidRPr="001236AD">
        <w:rPr>
          <w:rStyle w:val="normaltextrun"/>
          <w:rFonts w:ascii="Verdana" w:hAnsi="Verdana"/>
          <w:color w:val="000000"/>
          <w:sz w:val="20"/>
          <w:szCs w:val="20"/>
        </w:rPr>
        <w:t>são os que receberam Ordens de Compra, em pelo menos 6 meses no ano, em no mínimo uma das empresas do GEQ.</w:t>
      </w:r>
    </w:p>
    <w:p w14:paraId="2F62325D" w14:textId="77777777" w:rsidR="002F2DE5" w:rsidRPr="001236AD" w:rsidRDefault="002F2DE5" w:rsidP="00987E86">
      <w:pPr>
        <w:pStyle w:val="paragraph"/>
        <w:numPr>
          <w:ilvl w:val="0"/>
          <w:numId w:val="4"/>
        </w:numPr>
        <w:tabs>
          <w:tab w:val="clear" w:pos="720"/>
          <w:tab w:val="num" w:pos="1418"/>
        </w:tabs>
        <w:spacing w:beforeLines="120" w:before="288" w:beforeAutospacing="0" w:afterLines="120" w:after="288" w:afterAutospacing="0" w:line="240" w:lineRule="atLeast"/>
        <w:ind w:left="1418" w:hanging="567"/>
        <w:jc w:val="both"/>
        <w:textAlignment w:val="baseline"/>
        <w:rPr>
          <w:sz w:val="20"/>
          <w:szCs w:val="20"/>
        </w:rPr>
      </w:pPr>
      <w:r w:rsidRPr="001236AD">
        <w:rPr>
          <w:rStyle w:val="normaltextrun"/>
          <w:rFonts w:ascii="Verdana" w:hAnsi="Verdana"/>
          <w:b/>
          <w:bCs/>
          <w:color w:val="000000"/>
          <w:sz w:val="20"/>
          <w:szCs w:val="20"/>
        </w:rPr>
        <w:t>Fornecedor único:</w:t>
      </w:r>
      <w:r w:rsidRPr="001236AD">
        <w:rPr>
          <w:rStyle w:val="normaltextrun"/>
          <w:rFonts w:ascii="Verdana" w:hAnsi="Verdana"/>
          <w:color w:val="000000"/>
          <w:sz w:val="20"/>
          <w:szCs w:val="20"/>
        </w:rPr>
        <w:t xml:space="preserve"> é aquele que é a única fonte disponível para um determinado produto ou serviço em uma determinada região ou mercado, onde não há outras fontes ou alternativas viáveis para atender às necessidades específicas.</w:t>
      </w:r>
    </w:p>
    <w:p w14:paraId="6532ED7A" w14:textId="41B8DF71" w:rsidR="002F2DE5" w:rsidRPr="001236AD"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1236AD">
        <w:rPr>
          <w:rFonts w:ascii="Verdana" w:hAnsi="Verdana"/>
          <w:b/>
          <w:bCs/>
          <w:color w:val="000000"/>
          <w:sz w:val="20"/>
          <w:szCs w:val="20"/>
        </w:rPr>
        <w:t xml:space="preserve">Item </w:t>
      </w:r>
      <w:r w:rsidR="00467220">
        <w:rPr>
          <w:rFonts w:ascii="Verdana" w:hAnsi="Verdana"/>
          <w:b/>
          <w:bCs/>
          <w:color w:val="000000"/>
          <w:sz w:val="20"/>
          <w:szCs w:val="20"/>
        </w:rPr>
        <w:t>e</w:t>
      </w:r>
      <w:r w:rsidRPr="001236AD">
        <w:rPr>
          <w:rFonts w:ascii="Verdana" w:hAnsi="Verdana"/>
          <w:b/>
          <w:bCs/>
          <w:color w:val="000000"/>
          <w:sz w:val="20"/>
          <w:szCs w:val="20"/>
        </w:rPr>
        <w:t>specífico</w:t>
      </w:r>
      <w:r w:rsidRPr="001236AD">
        <w:rPr>
          <w:rFonts w:ascii="Verdana" w:hAnsi="Verdana"/>
          <w:color w:val="000000"/>
          <w:sz w:val="20"/>
          <w:szCs w:val="20"/>
        </w:rPr>
        <w:t>: item que possui todas as características necessárias para a compra ou contratações de bens e serviços.</w:t>
      </w:r>
    </w:p>
    <w:p w14:paraId="6DCD5D66" w14:textId="77777777" w:rsidR="002F2DE5" w:rsidRPr="001236AD"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1236AD">
        <w:rPr>
          <w:rFonts w:ascii="Verdana" w:hAnsi="Verdana"/>
          <w:b/>
          <w:bCs/>
          <w:color w:val="000000"/>
          <w:sz w:val="20"/>
          <w:szCs w:val="20"/>
        </w:rPr>
        <w:t>Ordem de Compra</w:t>
      </w:r>
      <w:r w:rsidRPr="001236AD">
        <w:rPr>
          <w:rFonts w:ascii="Verdana" w:hAnsi="Verdana"/>
          <w:color w:val="000000"/>
          <w:sz w:val="20"/>
          <w:szCs w:val="20"/>
        </w:rPr>
        <w:t>: documento que serve para oficializar a compra e/ou contratação de algum produto ou serviço pela empresa junto ao fornecedor ou prestador de serviço</w:t>
      </w:r>
      <w:r w:rsidRPr="001236AD">
        <w:rPr>
          <w:rStyle w:val="normaltextrun"/>
          <w:rFonts w:ascii="Verdana" w:hAnsi="Verdana"/>
          <w:color w:val="000000"/>
          <w:sz w:val="20"/>
          <w:szCs w:val="20"/>
        </w:rPr>
        <w:t>. Autoriza o recebimento físico e/ou fiscal do material ou serviço adquirido/contratado.</w:t>
      </w:r>
    </w:p>
    <w:p w14:paraId="7F349EEA" w14:textId="77777777" w:rsidR="00FD1DE9" w:rsidRPr="001236AD" w:rsidRDefault="00FD1DE9"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sz w:val="20"/>
          <w:szCs w:val="20"/>
        </w:rPr>
      </w:pPr>
      <w:r w:rsidRPr="001236AD">
        <w:rPr>
          <w:rStyle w:val="normaltextrun"/>
          <w:rFonts w:ascii="Verdana" w:hAnsi="Verdana"/>
          <w:b/>
          <w:bCs/>
          <w:sz w:val="20"/>
          <w:szCs w:val="20"/>
        </w:rPr>
        <w:t xml:space="preserve">Recebimento Integrado (RI):  </w:t>
      </w:r>
      <w:r>
        <w:rPr>
          <w:rStyle w:val="normaltextrun"/>
          <w:rFonts w:ascii="Verdana" w:hAnsi="Verdana"/>
          <w:sz w:val="20"/>
          <w:szCs w:val="20"/>
        </w:rPr>
        <w:t>m</w:t>
      </w:r>
      <w:r w:rsidRPr="001236AD">
        <w:rPr>
          <w:rStyle w:val="normaltextrun"/>
          <w:rFonts w:ascii="Verdana" w:hAnsi="Verdana"/>
          <w:sz w:val="20"/>
          <w:szCs w:val="20"/>
        </w:rPr>
        <w:t>ódulo para lançamento de notas fiscais</w:t>
      </w:r>
    </w:p>
    <w:p w14:paraId="7A850A76" w14:textId="2EB08FC4" w:rsidR="002F2DE5" w:rsidRPr="001236AD" w:rsidRDefault="002F2DE5" w:rsidP="00987E86">
      <w:pPr>
        <w:pStyle w:val="paragraph"/>
        <w:numPr>
          <w:ilvl w:val="0"/>
          <w:numId w:val="5"/>
        </w:numPr>
        <w:tabs>
          <w:tab w:val="num" w:pos="1418"/>
        </w:tabs>
        <w:spacing w:beforeLines="120" w:before="288" w:beforeAutospacing="0" w:afterLines="120" w:after="288" w:afterAutospacing="0" w:line="240" w:lineRule="atLeast"/>
        <w:ind w:left="1418" w:hanging="567"/>
        <w:jc w:val="both"/>
        <w:textAlignment w:val="baseline"/>
        <w:rPr>
          <w:rFonts w:ascii="Verdana" w:hAnsi="Verdana"/>
          <w:color w:val="000000"/>
          <w:sz w:val="20"/>
          <w:szCs w:val="20"/>
        </w:rPr>
      </w:pPr>
      <w:r w:rsidRPr="001236AD">
        <w:rPr>
          <w:rStyle w:val="normaltextrun"/>
          <w:rFonts w:ascii="Verdana" w:hAnsi="Verdana"/>
          <w:b/>
          <w:bCs/>
          <w:color w:val="000000"/>
          <w:sz w:val="20"/>
          <w:szCs w:val="20"/>
        </w:rPr>
        <w:t>Requisição de Compra</w:t>
      </w:r>
      <w:r w:rsidRPr="001236AD">
        <w:rPr>
          <w:rStyle w:val="normaltextrun"/>
          <w:rFonts w:ascii="Verdana" w:hAnsi="Verdana"/>
          <w:color w:val="000000"/>
          <w:sz w:val="20"/>
          <w:szCs w:val="20"/>
        </w:rPr>
        <w:t>: documento que formaliza a necessidade de compra de determinado material ou serviço, do requisitante, o qual pode ser atendido via ordem de compra ou vinculado ao acordo de compras.</w:t>
      </w:r>
    </w:p>
    <w:p w14:paraId="5CEF4D2C" w14:textId="77777777" w:rsidR="002F2DE5" w:rsidRPr="001236AD"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b/>
          <w:bCs/>
          <w:sz w:val="20"/>
          <w:szCs w:val="20"/>
        </w:rPr>
      </w:pPr>
      <w:r w:rsidRPr="001236AD">
        <w:rPr>
          <w:rStyle w:val="normaltextrun"/>
          <w:rFonts w:ascii="Verdana" w:hAnsi="Verdana"/>
          <w:b/>
          <w:bCs/>
          <w:color w:val="000000"/>
          <w:sz w:val="20"/>
          <w:szCs w:val="20"/>
        </w:rPr>
        <w:t>Requisitante de Compra</w:t>
      </w:r>
      <w:r w:rsidRPr="001236AD">
        <w:rPr>
          <w:rStyle w:val="normaltextrun"/>
          <w:rFonts w:ascii="Verdana" w:hAnsi="Verdana"/>
          <w:color w:val="000000"/>
          <w:sz w:val="20"/>
          <w:szCs w:val="20"/>
        </w:rPr>
        <w:t>:</w:t>
      </w:r>
      <w:r w:rsidRPr="001236AD">
        <w:rPr>
          <w:rStyle w:val="normaltextrun"/>
          <w:rFonts w:ascii="Verdana" w:hAnsi="Verdana"/>
          <w:b/>
          <w:bCs/>
          <w:color w:val="000000"/>
          <w:sz w:val="20"/>
          <w:szCs w:val="20"/>
        </w:rPr>
        <w:t> </w:t>
      </w:r>
      <w:r w:rsidRPr="001236AD">
        <w:rPr>
          <w:rStyle w:val="normaltextrun"/>
          <w:rFonts w:ascii="Verdana" w:hAnsi="Verdana"/>
          <w:color w:val="000000"/>
          <w:sz w:val="20"/>
          <w:szCs w:val="20"/>
        </w:rPr>
        <w:t xml:space="preserve">empregado do GEQ, não pertencente à Diretoria de </w:t>
      </w:r>
      <w:proofErr w:type="spellStart"/>
      <w:r w:rsidRPr="00732922">
        <w:rPr>
          <w:rStyle w:val="normaltextrun"/>
          <w:rFonts w:ascii="Verdana" w:hAnsi="Verdana"/>
          <w:i/>
          <w:iCs/>
          <w:color w:val="000000"/>
          <w:sz w:val="20"/>
          <w:szCs w:val="20"/>
        </w:rPr>
        <w:t>Supply</w:t>
      </w:r>
      <w:proofErr w:type="spellEnd"/>
      <w:r w:rsidRPr="00732922">
        <w:rPr>
          <w:rStyle w:val="normaltextrun"/>
          <w:rFonts w:ascii="Verdana" w:hAnsi="Verdana"/>
          <w:i/>
          <w:iCs/>
          <w:color w:val="000000"/>
          <w:sz w:val="20"/>
          <w:szCs w:val="20"/>
        </w:rPr>
        <w:t xml:space="preserve"> Chain</w:t>
      </w:r>
      <w:r w:rsidRPr="001236AD">
        <w:rPr>
          <w:rStyle w:val="normaltextrun"/>
          <w:rFonts w:ascii="Verdana" w:hAnsi="Verdana"/>
          <w:color w:val="000000"/>
          <w:sz w:val="20"/>
          <w:szCs w:val="20"/>
        </w:rPr>
        <w:t>, responsável pelo preenchimento detalhado e completo da Requisição de Compra.</w:t>
      </w:r>
    </w:p>
    <w:p w14:paraId="0CFDD7C0" w14:textId="77777777" w:rsidR="00B42629" w:rsidRPr="001236AD" w:rsidRDefault="00B42629" w:rsidP="00B42629">
      <w:pPr>
        <w:pStyle w:val="paragraph"/>
        <w:numPr>
          <w:ilvl w:val="0"/>
          <w:numId w:val="4"/>
        </w:numPr>
        <w:tabs>
          <w:tab w:val="clear" w:pos="720"/>
          <w:tab w:val="num" w:pos="1418"/>
        </w:tabs>
        <w:spacing w:beforeLines="120" w:before="288" w:beforeAutospacing="0" w:afterLines="120" w:after="288" w:afterAutospacing="0" w:line="240" w:lineRule="atLeast"/>
        <w:ind w:left="1418" w:hanging="567"/>
        <w:jc w:val="both"/>
        <w:textAlignment w:val="baseline"/>
        <w:rPr>
          <w:rStyle w:val="eop"/>
          <w:rFonts w:ascii="Verdana" w:hAnsi="Verdana"/>
          <w:color w:val="000000"/>
          <w:sz w:val="20"/>
          <w:szCs w:val="20"/>
        </w:rPr>
      </w:pPr>
      <w:bookmarkStart w:id="22" w:name="_Hlk99619775"/>
      <w:r w:rsidRPr="001236AD">
        <w:rPr>
          <w:rStyle w:val="normaltextrun"/>
          <w:rFonts w:ascii="Verdana" w:hAnsi="Verdana"/>
          <w:b/>
          <w:bCs/>
          <w:i/>
          <w:iCs/>
          <w:color w:val="000000"/>
          <w:sz w:val="20"/>
          <w:szCs w:val="20"/>
        </w:rPr>
        <w:t>Service </w:t>
      </w:r>
      <w:proofErr w:type="spellStart"/>
      <w:r w:rsidRPr="001236AD">
        <w:rPr>
          <w:rStyle w:val="normaltextrun"/>
          <w:rFonts w:ascii="Verdana" w:hAnsi="Verdana"/>
          <w:b/>
          <w:bCs/>
          <w:i/>
          <w:iCs/>
          <w:color w:val="000000"/>
          <w:sz w:val="20"/>
          <w:szCs w:val="20"/>
        </w:rPr>
        <w:t>Level</w:t>
      </w:r>
      <w:proofErr w:type="spellEnd"/>
      <w:r w:rsidRPr="001236AD">
        <w:rPr>
          <w:rStyle w:val="normaltextrun"/>
          <w:rFonts w:ascii="Verdana" w:hAnsi="Verdana"/>
          <w:b/>
          <w:bCs/>
          <w:i/>
          <w:iCs/>
          <w:color w:val="000000"/>
          <w:sz w:val="20"/>
          <w:szCs w:val="20"/>
        </w:rPr>
        <w:t> </w:t>
      </w:r>
      <w:proofErr w:type="spellStart"/>
      <w:r w:rsidRPr="001236AD">
        <w:rPr>
          <w:rStyle w:val="normaltextrun"/>
          <w:rFonts w:ascii="Verdana" w:hAnsi="Verdana"/>
          <w:b/>
          <w:bCs/>
          <w:i/>
          <w:iCs/>
          <w:color w:val="000000"/>
          <w:sz w:val="20"/>
          <w:szCs w:val="20"/>
        </w:rPr>
        <w:t>Agreement</w:t>
      </w:r>
      <w:proofErr w:type="spellEnd"/>
      <w:r w:rsidRPr="001236AD">
        <w:rPr>
          <w:rStyle w:val="normaltextrun"/>
          <w:rFonts w:ascii="Verdana" w:hAnsi="Verdana"/>
          <w:b/>
          <w:bCs/>
          <w:i/>
          <w:iCs/>
          <w:color w:val="000000"/>
          <w:sz w:val="20"/>
          <w:szCs w:val="20"/>
        </w:rPr>
        <w:t> (</w:t>
      </w:r>
      <w:r w:rsidRPr="001236AD">
        <w:rPr>
          <w:rStyle w:val="normaltextrun"/>
          <w:rFonts w:ascii="Verdana" w:hAnsi="Verdana"/>
          <w:b/>
          <w:bCs/>
          <w:color w:val="000000"/>
          <w:sz w:val="20"/>
          <w:szCs w:val="20"/>
        </w:rPr>
        <w:t>SLA)</w:t>
      </w:r>
      <w:r w:rsidRPr="001236AD">
        <w:rPr>
          <w:rStyle w:val="normaltextrun"/>
          <w:rFonts w:ascii="Verdana" w:hAnsi="Verdana"/>
          <w:color w:val="000000"/>
          <w:sz w:val="20"/>
          <w:szCs w:val="20"/>
        </w:rPr>
        <w:t>:</w:t>
      </w:r>
      <w:r w:rsidRPr="001236AD">
        <w:rPr>
          <w:rStyle w:val="normaltextrun"/>
          <w:rFonts w:ascii="Verdana" w:hAnsi="Verdana"/>
          <w:b/>
          <w:bCs/>
          <w:color w:val="000000"/>
          <w:sz w:val="20"/>
          <w:szCs w:val="20"/>
        </w:rPr>
        <w:t> </w:t>
      </w:r>
      <w:r w:rsidRPr="001236AD">
        <w:rPr>
          <w:rStyle w:val="normaltextrun"/>
          <w:rFonts w:ascii="Verdana" w:hAnsi="Verdana"/>
          <w:color w:val="000000"/>
          <w:sz w:val="20"/>
          <w:szCs w:val="20"/>
        </w:rPr>
        <w:t>sigla em inglês que significa “Acordo de Nível de Serviço”, o qual estabelece o tempo de atendimento entre a aprovação da Requisição de Compra e a criação do Documento de Compra.</w:t>
      </w:r>
    </w:p>
    <w:bookmarkEnd w:id="22"/>
    <w:p w14:paraId="56790239" w14:textId="77777777" w:rsidR="00B42629" w:rsidRPr="00B42629" w:rsidRDefault="00B42629" w:rsidP="00B42629">
      <w:pPr>
        <w:pStyle w:val="paragraph"/>
        <w:tabs>
          <w:tab w:val="num" w:pos="1418"/>
        </w:tabs>
        <w:spacing w:beforeLines="120" w:before="288" w:beforeAutospacing="0" w:afterLines="120" w:after="288" w:afterAutospacing="0" w:line="240" w:lineRule="atLeast"/>
        <w:ind w:left="1418"/>
        <w:jc w:val="both"/>
        <w:textAlignment w:val="baseline"/>
        <w:rPr>
          <w:rStyle w:val="normaltextrun"/>
          <w:rFonts w:ascii="Verdana" w:hAnsi="Verdana"/>
          <w:color w:val="000000"/>
          <w:sz w:val="20"/>
          <w:szCs w:val="20"/>
        </w:rPr>
      </w:pPr>
    </w:p>
    <w:p w14:paraId="6CB8DB8F" w14:textId="637D3C23" w:rsidR="002F2DE5" w:rsidRPr="001236AD" w:rsidRDefault="002F2DE5" w:rsidP="00987E86">
      <w:pPr>
        <w:pStyle w:val="paragraph"/>
        <w:numPr>
          <w:ilvl w:val="0"/>
          <w:numId w:val="4"/>
        </w:numPr>
        <w:tabs>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color w:val="000000"/>
          <w:sz w:val="20"/>
          <w:szCs w:val="20"/>
        </w:rPr>
      </w:pPr>
      <w:proofErr w:type="spellStart"/>
      <w:r w:rsidRPr="001236AD">
        <w:rPr>
          <w:rStyle w:val="normaltextrun"/>
          <w:rFonts w:ascii="Verdana" w:hAnsi="Verdana"/>
          <w:b/>
          <w:bCs/>
          <w:i/>
          <w:iCs/>
          <w:color w:val="000000"/>
          <w:sz w:val="20"/>
          <w:szCs w:val="20"/>
        </w:rPr>
        <w:lastRenderedPageBreak/>
        <w:t>Success</w:t>
      </w:r>
      <w:proofErr w:type="spellEnd"/>
      <w:r w:rsidRPr="001236AD">
        <w:rPr>
          <w:rStyle w:val="normaltextrun"/>
          <w:rFonts w:ascii="Verdana" w:hAnsi="Verdana"/>
          <w:b/>
          <w:bCs/>
          <w:i/>
          <w:iCs/>
          <w:color w:val="000000"/>
          <w:sz w:val="20"/>
          <w:szCs w:val="20"/>
        </w:rPr>
        <w:t xml:space="preserve"> </w:t>
      </w:r>
      <w:proofErr w:type="spellStart"/>
      <w:r w:rsidRPr="001236AD">
        <w:rPr>
          <w:rStyle w:val="normaltextrun"/>
          <w:rFonts w:ascii="Verdana" w:hAnsi="Verdana"/>
          <w:b/>
          <w:bCs/>
          <w:i/>
          <w:iCs/>
          <w:color w:val="000000"/>
          <w:sz w:val="20"/>
          <w:szCs w:val="20"/>
        </w:rPr>
        <w:t>Fee</w:t>
      </w:r>
      <w:proofErr w:type="spellEnd"/>
      <w:r w:rsidRPr="001236AD">
        <w:rPr>
          <w:rStyle w:val="normaltextrun"/>
          <w:rFonts w:ascii="Verdana" w:hAnsi="Verdana"/>
          <w:color w:val="000000"/>
          <w:sz w:val="20"/>
          <w:szCs w:val="20"/>
        </w:rPr>
        <w:t>:</w:t>
      </w:r>
      <w:r w:rsidRPr="001236AD">
        <w:rPr>
          <w:rFonts w:ascii="Verdana" w:hAnsi="Verdana"/>
          <w:sz w:val="20"/>
          <w:szCs w:val="20"/>
        </w:rPr>
        <w:t xml:space="preserve"> </w:t>
      </w:r>
      <w:r w:rsidRPr="001236AD">
        <w:rPr>
          <w:rStyle w:val="normaltextrun"/>
          <w:rFonts w:ascii="Verdana" w:hAnsi="Verdana"/>
          <w:color w:val="000000"/>
          <w:sz w:val="20"/>
          <w:szCs w:val="20"/>
        </w:rPr>
        <w:t xml:space="preserve">modelo de remuneração por resultado, em que, além da taxa mensal, o fornecedor recebe de acordo com os resultados obtidos por meio de uma definição de metas existentes previamente.  </w:t>
      </w:r>
    </w:p>
    <w:p w14:paraId="4F344D7C" w14:textId="77777777" w:rsidR="002F2DE5" w:rsidRPr="00153E38" w:rsidRDefault="002F2DE5" w:rsidP="00987E86">
      <w:pPr>
        <w:pStyle w:val="paragraph"/>
        <w:numPr>
          <w:ilvl w:val="0"/>
          <w:numId w:val="6"/>
        </w:numPr>
        <w:tabs>
          <w:tab w:val="num" w:pos="1418"/>
        </w:tabs>
        <w:spacing w:beforeLines="120" w:before="288" w:beforeAutospacing="0" w:afterLines="120" w:after="288" w:afterAutospacing="0" w:line="240" w:lineRule="atLeast"/>
        <w:ind w:left="1418" w:hanging="567"/>
        <w:jc w:val="both"/>
        <w:textAlignment w:val="baseline"/>
        <w:rPr>
          <w:rStyle w:val="normaltextrun"/>
          <w:rFonts w:ascii="Verdana" w:hAnsi="Verdana"/>
          <w:sz w:val="20"/>
          <w:szCs w:val="20"/>
        </w:rPr>
      </w:pPr>
      <w:r w:rsidRPr="001236AD">
        <w:rPr>
          <w:rStyle w:val="normaltextrun"/>
          <w:rFonts w:ascii="Verdana" w:hAnsi="Verdana"/>
          <w:b/>
          <w:bCs/>
          <w:color w:val="000000"/>
          <w:sz w:val="20"/>
          <w:szCs w:val="20"/>
        </w:rPr>
        <w:t>Unidade de Negócio</w:t>
      </w:r>
      <w:r w:rsidRPr="001236AD">
        <w:rPr>
          <w:rStyle w:val="normaltextrun"/>
          <w:rFonts w:ascii="Verdana" w:hAnsi="Verdana"/>
          <w:color w:val="000000"/>
          <w:sz w:val="20"/>
          <w:szCs w:val="20"/>
        </w:rPr>
        <w:t>: corresponde a cada empresa do Grupo Edson Queiroz, englobando o conjunto de suas respectivas matriz e filiais.</w:t>
      </w:r>
    </w:p>
    <w:p w14:paraId="1041F9D3" w14:textId="77777777" w:rsidR="00153E38" w:rsidRPr="00153E38" w:rsidRDefault="00153E38" w:rsidP="00153E38">
      <w:pPr>
        <w:pStyle w:val="paragraph"/>
        <w:tabs>
          <w:tab w:val="num" w:pos="1418"/>
        </w:tabs>
        <w:spacing w:beforeLines="120" w:before="288" w:beforeAutospacing="0" w:afterLines="120" w:after="288" w:afterAutospacing="0" w:line="240" w:lineRule="atLeast"/>
        <w:ind w:left="1418"/>
        <w:jc w:val="both"/>
        <w:textAlignment w:val="baseline"/>
        <w:rPr>
          <w:rStyle w:val="normaltextrun"/>
          <w:rFonts w:ascii="Verdana" w:hAnsi="Verdana"/>
          <w:sz w:val="20"/>
          <w:szCs w:val="20"/>
        </w:rPr>
      </w:pPr>
    </w:p>
    <w:p w14:paraId="5DE037C4" w14:textId="77777777" w:rsidR="002F2DE5" w:rsidRPr="00B418BC" w:rsidRDefault="002F2DE5" w:rsidP="00E400C9">
      <w:pPr>
        <w:pStyle w:val="Ttulo1"/>
        <w:numPr>
          <w:ilvl w:val="0"/>
          <w:numId w:val="1"/>
        </w:numPr>
        <w:tabs>
          <w:tab w:val="clear" w:pos="562"/>
          <w:tab w:val="num" w:pos="851"/>
        </w:tabs>
        <w:spacing w:beforeLines="120" w:before="288" w:afterLines="120" w:after="288" w:line="240" w:lineRule="atLeast"/>
        <w:ind w:left="851" w:hanging="851"/>
      </w:pPr>
      <w:bookmarkStart w:id="23" w:name="_Toc326600090"/>
      <w:bookmarkStart w:id="24" w:name="_Toc146640116"/>
      <w:bookmarkStart w:id="25" w:name="_Toc168322014"/>
      <w:r w:rsidRPr="00B418BC">
        <w:t>DOCUMENTOS DE REFERÊNCIA</w:t>
      </w:r>
      <w:bookmarkEnd w:id="23"/>
      <w:bookmarkEnd w:id="24"/>
      <w:bookmarkEnd w:id="25"/>
    </w:p>
    <w:p w14:paraId="7DC8523C" w14:textId="77777777" w:rsidR="002F2DE5" w:rsidRPr="00B418BC" w:rsidRDefault="002F2DE5" w:rsidP="00E400C9">
      <w:pPr>
        <w:pStyle w:val="Default"/>
        <w:spacing w:beforeLines="120" w:before="288" w:afterLines="120" w:after="288" w:line="240" w:lineRule="atLeast"/>
        <w:jc w:val="both"/>
        <w:rPr>
          <w:rFonts w:ascii="Verdana" w:hAnsi="Verdana"/>
          <w:sz w:val="20"/>
          <w:szCs w:val="20"/>
        </w:rPr>
      </w:pPr>
      <w:r w:rsidRPr="00B418BC">
        <w:rPr>
          <w:rFonts w:ascii="Verdana" w:hAnsi="Verdana"/>
          <w:sz w:val="20"/>
          <w:szCs w:val="20"/>
        </w:rPr>
        <w:t>Esta política possui inter-relacionamento e/ou faz referência aos seguintes documentos:</w:t>
      </w:r>
    </w:p>
    <w:p w14:paraId="0907C78E" w14:textId="77777777" w:rsidR="002F2DE5" w:rsidRPr="000E7F4A" w:rsidRDefault="002F2DE5" w:rsidP="00E400C9">
      <w:pPr>
        <w:numPr>
          <w:ilvl w:val="0"/>
          <w:numId w:val="2"/>
        </w:numPr>
        <w:spacing w:beforeLines="120" w:before="288" w:afterLines="120" w:after="288" w:line="240" w:lineRule="atLeast"/>
        <w:ind w:left="1134" w:hanging="283"/>
        <w:jc w:val="both"/>
        <w:rPr>
          <w:rFonts w:ascii="Verdana" w:hAnsi="Verdana"/>
        </w:rPr>
      </w:pPr>
      <w:r w:rsidRPr="00FB683B">
        <w:rPr>
          <w:rFonts w:ascii="Verdana" w:hAnsi="Verdana"/>
        </w:rPr>
        <w:t xml:space="preserve">Código de </w:t>
      </w:r>
      <w:r w:rsidRPr="000E7F4A">
        <w:rPr>
          <w:rFonts w:ascii="Verdana" w:hAnsi="Verdana"/>
        </w:rPr>
        <w:t>Conduta;</w:t>
      </w:r>
    </w:p>
    <w:p w14:paraId="4DF4F966" w14:textId="77777777" w:rsidR="002F2DE5" w:rsidRPr="000E7F4A" w:rsidRDefault="002F2DE5"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Alçadas;</w:t>
      </w:r>
    </w:p>
    <w:p w14:paraId="4A10AC46" w14:textId="77777777" w:rsidR="002F2DE5" w:rsidRPr="000E7F4A" w:rsidRDefault="002F2DE5"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Ativo Fixo;</w:t>
      </w:r>
    </w:p>
    <w:p w14:paraId="7CADDAAF" w14:textId="77777777" w:rsidR="002F2DE5" w:rsidRPr="000E7F4A" w:rsidRDefault="002F2DE5"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Contas a Pagar;</w:t>
      </w:r>
    </w:p>
    <w:p w14:paraId="34AB62F0" w14:textId="77777777" w:rsidR="002F2DE5" w:rsidRPr="000E7F4A" w:rsidRDefault="002F2DE5"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Consequências;</w:t>
      </w:r>
    </w:p>
    <w:p w14:paraId="2DFF524D" w14:textId="77777777" w:rsidR="002F2DE5" w:rsidRPr="000E7F4A" w:rsidRDefault="002F2DE5"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Fundo Fixo;</w:t>
      </w:r>
    </w:p>
    <w:p w14:paraId="7F364F3F" w14:textId="54070F33" w:rsidR="00D639A2" w:rsidRPr="000E7F4A" w:rsidRDefault="00D639A2"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Cartão de Pequenas Compras;</w:t>
      </w:r>
    </w:p>
    <w:p w14:paraId="370527E5" w14:textId="7EF98325" w:rsidR="002F2DE5" w:rsidRDefault="002F2DE5" w:rsidP="00E400C9">
      <w:pPr>
        <w:numPr>
          <w:ilvl w:val="0"/>
          <w:numId w:val="2"/>
        </w:numPr>
        <w:spacing w:beforeLines="120" w:before="288" w:afterLines="120" w:after="288" w:line="240" w:lineRule="atLeast"/>
        <w:ind w:left="1134" w:hanging="283"/>
        <w:jc w:val="both"/>
        <w:rPr>
          <w:rFonts w:ascii="Verdana" w:hAnsi="Verdana"/>
        </w:rPr>
      </w:pPr>
      <w:r w:rsidRPr="000E7F4A">
        <w:rPr>
          <w:rFonts w:ascii="Verdana" w:hAnsi="Verdana"/>
        </w:rPr>
        <w:t>Política de Transportes e Mobilidade</w:t>
      </w:r>
      <w:r w:rsidR="004E2FCE">
        <w:rPr>
          <w:rFonts w:ascii="Verdana" w:hAnsi="Verdana"/>
        </w:rPr>
        <w:t>;</w:t>
      </w:r>
    </w:p>
    <w:p w14:paraId="552BB0CF" w14:textId="4893FFCF" w:rsidR="004E2FCE" w:rsidRDefault="004E2FCE" w:rsidP="00E400C9">
      <w:pPr>
        <w:numPr>
          <w:ilvl w:val="0"/>
          <w:numId w:val="2"/>
        </w:numPr>
        <w:spacing w:beforeLines="120" w:before="288" w:afterLines="120" w:after="288" w:line="240" w:lineRule="atLeast"/>
        <w:ind w:left="1134" w:hanging="283"/>
        <w:jc w:val="both"/>
        <w:rPr>
          <w:rFonts w:ascii="Verdana" w:hAnsi="Verdana"/>
        </w:rPr>
      </w:pPr>
      <w:r>
        <w:rPr>
          <w:rFonts w:ascii="Verdana" w:hAnsi="Verdana"/>
        </w:rPr>
        <w:t>Política de Cadastro de Clientes, Fornecedores, Materiais e Serviços;</w:t>
      </w:r>
    </w:p>
    <w:p w14:paraId="38CE2154" w14:textId="49CFF349" w:rsidR="004E2FCE" w:rsidRPr="000E7F4A" w:rsidRDefault="004E2FCE" w:rsidP="00E400C9">
      <w:pPr>
        <w:numPr>
          <w:ilvl w:val="0"/>
          <w:numId w:val="2"/>
        </w:numPr>
        <w:spacing w:beforeLines="120" w:before="288" w:afterLines="120" w:after="288" w:line="240" w:lineRule="atLeast"/>
        <w:ind w:left="1134" w:hanging="283"/>
        <w:jc w:val="both"/>
        <w:rPr>
          <w:rFonts w:ascii="Verdana" w:hAnsi="Verdana"/>
        </w:rPr>
      </w:pPr>
      <w:r>
        <w:rPr>
          <w:rFonts w:ascii="Verdana" w:hAnsi="Verdana"/>
        </w:rPr>
        <w:t xml:space="preserve">Política de </w:t>
      </w:r>
      <w:proofErr w:type="spellStart"/>
      <w:r>
        <w:rPr>
          <w:rFonts w:ascii="Verdana" w:hAnsi="Verdana"/>
        </w:rPr>
        <w:t>Capex</w:t>
      </w:r>
      <w:proofErr w:type="spellEnd"/>
      <w:r>
        <w:rPr>
          <w:rFonts w:ascii="Verdana" w:hAnsi="Verdana"/>
        </w:rPr>
        <w:t>.</w:t>
      </w:r>
    </w:p>
    <w:p w14:paraId="5BD84073" w14:textId="77777777" w:rsidR="002F2DE5" w:rsidRPr="00B418BC" w:rsidRDefault="002F2DE5" w:rsidP="00E400C9">
      <w:pPr>
        <w:spacing w:beforeLines="120" w:before="288" w:afterLines="120" w:after="288" w:line="240" w:lineRule="atLeast"/>
        <w:ind w:left="1418"/>
        <w:jc w:val="both"/>
        <w:rPr>
          <w:rFonts w:ascii="Verdana" w:hAnsi="Verdana"/>
        </w:rPr>
      </w:pPr>
      <w:bookmarkStart w:id="26" w:name="_Toc146640117"/>
      <w:bookmarkStart w:id="27" w:name="_Toc146640118"/>
      <w:bookmarkStart w:id="28" w:name="_Toc146640119"/>
      <w:bookmarkEnd w:id="26"/>
      <w:bookmarkEnd w:id="27"/>
      <w:bookmarkEnd w:id="28"/>
    </w:p>
    <w:p w14:paraId="122D67D4" w14:textId="77777777" w:rsidR="002F2DE5" w:rsidRPr="00B418BC" w:rsidRDefault="002F2DE5" w:rsidP="00E400C9">
      <w:pPr>
        <w:pStyle w:val="Ttulo1"/>
        <w:numPr>
          <w:ilvl w:val="0"/>
          <w:numId w:val="1"/>
        </w:numPr>
        <w:tabs>
          <w:tab w:val="clear" w:pos="562"/>
          <w:tab w:val="num" w:pos="851"/>
        </w:tabs>
        <w:spacing w:beforeLines="120" w:before="288" w:afterLines="120" w:after="288" w:line="240" w:lineRule="atLeast"/>
        <w:ind w:left="851" w:hanging="851"/>
      </w:pPr>
      <w:bookmarkStart w:id="29" w:name="_Toc326600091"/>
      <w:bookmarkStart w:id="30" w:name="_Toc146640120"/>
      <w:bookmarkStart w:id="31" w:name="_Toc168322015"/>
      <w:r w:rsidRPr="00B418BC">
        <w:t>DIRETRIZES</w:t>
      </w:r>
      <w:bookmarkEnd w:id="29"/>
      <w:bookmarkEnd w:id="30"/>
      <w:bookmarkEnd w:id="31"/>
    </w:p>
    <w:p w14:paraId="72F4E0A4" w14:textId="77777777" w:rsidR="002F2DE5" w:rsidRPr="00B418BC" w:rsidRDefault="002F2DE5" w:rsidP="00E400C9">
      <w:pPr>
        <w:pStyle w:val="Ttulo2"/>
        <w:numPr>
          <w:ilvl w:val="1"/>
          <w:numId w:val="1"/>
        </w:numPr>
        <w:tabs>
          <w:tab w:val="clear" w:pos="420"/>
          <w:tab w:val="num" w:pos="851"/>
        </w:tabs>
        <w:spacing w:beforeLines="120" w:before="288" w:afterLines="120" w:after="288" w:line="240" w:lineRule="atLeast"/>
        <w:ind w:left="851" w:hanging="851"/>
      </w:pPr>
      <w:bookmarkStart w:id="32" w:name="_Toc146640121"/>
      <w:bookmarkStart w:id="33" w:name="_Toc168322016"/>
      <w:r w:rsidRPr="00B418BC">
        <w:t>Gerais</w:t>
      </w:r>
      <w:bookmarkEnd w:id="32"/>
      <w:bookmarkEnd w:id="33"/>
    </w:p>
    <w:p w14:paraId="375AEF5C" w14:textId="77777777" w:rsidR="002F2DE5" w:rsidRPr="00B418BC"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bookmarkStart w:id="34" w:name="_Toc326675485"/>
      <w:r w:rsidRPr="00B418BC">
        <w:rPr>
          <w:rFonts w:ascii="Verdana" w:hAnsi="Verdana" w:cs="Verdana"/>
        </w:rPr>
        <w:t>Todas as operações de compras e contratações de bens e serviços devem estar de acordo com as legislações pertinentes, políticas internas e Código de Conduta.</w:t>
      </w:r>
    </w:p>
    <w:p w14:paraId="369D78F6" w14:textId="77777777" w:rsidR="002F2DE5"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418BC">
        <w:rPr>
          <w:rFonts w:ascii="Verdana" w:hAnsi="Verdana" w:cs="Verdana"/>
        </w:rPr>
        <w:t>O processo de negociação deve ter como base o sigilo e confidencialidade das informações e dados compartilhados.</w:t>
      </w:r>
    </w:p>
    <w:p w14:paraId="3E0D01CC" w14:textId="77777777" w:rsidR="007B5A96" w:rsidRPr="007B5A96" w:rsidRDefault="007B5A96" w:rsidP="007B5A96">
      <w:pPr>
        <w:jc w:val="center"/>
        <w:rPr>
          <w:rFonts w:ascii="Verdana" w:hAnsi="Verdana" w:cs="Verdana"/>
        </w:rPr>
      </w:pPr>
    </w:p>
    <w:p w14:paraId="5236355B" w14:textId="5288F93E" w:rsidR="002F2DE5" w:rsidRPr="00BC122A" w:rsidRDefault="00BC4CAE" w:rsidP="00BC122A">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Verdana"/>
        </w:rPr>
        <w:lastRenderedPageBreak/>
        <w:t>A</w:t>
      </w:r>
      <w:r w:rsidRPr="00B418BC">
        <w:rPr>
          <w:rFonts w:ascii="Verdana" w:hAnsi="Verdana" w:cs="Verdana"/>
        </w:rPr>
        <w:t xml:space="preserve"> contratação de </w:t>
      </w:r>
      <w:r w:rsidRPr="008D312E">
        <w:rPr>
          <w:rFonts w:ascii="Verdana" w:hAnsi="Verdana" w:cs="Verdana"/>
        </w:rPr>
        <w:t xml:space="preserve">bens ou serviços </w:t>
      </w:r>
      <w:r w:rsidR="006F62A1">
        <w:rPr>
          <w:rFonts w:ascii="Verdana" w:hAnsi="Verdana" w:cs="Verdana"/>
        </w:rPr>
        <w:t>(</w:t>
      </w:r>
      <w:r w:rsidRPr="008D312E">
        <w:rPr>
          <w:rFonts w:ascii="Verdana" w:hAnsi="Verdana" w:cs="Verdana"/>
        </w:rPr>
        <w:t>indireto</w:t>
      </w:r>
      <w:r w:rsidR="008D312E" w:rsidRPr="008D312E">
        <w:rPr>
          <w:rFonts w:ascii="Verdana" w:hAnsi="Verdana" w:cs="Verdana"/>
        </w:rPr>
        <w:t>s</w:t>
      </w:r>
      <w:r w:rsidR="006F62A1">
        <w:rPr>
          <w:rFonts w:ascii="Verdana" w:hAnsi="Verdana" w:cs="Verdana"/>
        </w:rPr>
        <w:t>)</w:t>
      </w:r>
      <w:r w:rsidRPr="008D312E">
        <w:rPr>
          <w:rFonts w:ascii="Verdana" w:hAnsi="Verdana" w:cs="Verdana"/>
        </w:rPr>
        <w:t xml:space="preserve"> de um fornecedor único e/ou exclusivo, feito pela</w:t>
      </w:r>
      <w:r w:rsidR="002F2DE5" w:rsidRPr="008D312E">
        <w:rPr>
          <w:rFonts w:ascii="Verdana" w:hAnsi="Verdana" w:cs="Verdana"/>
        </w:rPr>
        <w:t xml:space="preserve"> </w:t>
      </w:r>
      <w:r w:rsidR="002F2DE5" w:rsidRPr="008D312E">
        <w:rPr>
          <w:rFonts w:ascii="Verdana" w:hAnsi="Verdana" w:cs="Verdana"/>
          <w:i/>
          <w:iCs/>
        </w:rPr>
        <w:t>Holding</w:t>
      </w:r>
      <w:r w:rsidR="002F2DE5" w:rsidRPr="008D312E">
        <w:rPr>
          <w:rFonts w:ascii="Verdana" w:hAnsi="Verdana" w:cs="Verdana"/>
        </w:rPr>
        <w:t xml:space="preserve"> ou quaisquer das </w:t>
      </w:r>
      <w:r w:rsidR="002F2DE5" w:rsidRPr="00B418BC">
        <w:rPr>
          <w:rFonts w:ascii="Verdana" w:hAnsi="Verdana" w:cs="Verdana"/>
        </w:rPr>
        <w:t xml:space="preserve">unidades do negócio, por estratégia ou algum fator limitante, </w:t>
      </w:r>
      <w:r>
        <w:rPr>
          <w:rFonts w:ascii="Verdana" w:hAnsi="Verdana" w:cs="Verdana"/>
        </w:rPr>
        <w:t xml:space="preserve">deve ser justificada </w:t>
      </w:r>
      <w:r w:rsidR="002F2DE5" w:rsidRPr="00B418BC">
        <w:rPr>
          <w:rFonts w:ascii="Verdana" w:hAnsi="Verdana" w:cs="Verdana"/>
        </w:rPr>
        <w:t xml:space="preserve">através do </w:t>
      </w:r>
      <w:r w:rsidR="002F2DE5" w:rsidRPr="00BC122A">
        <w:rPr>
          <w:rFonts w:ascii="Verdana" w:hAnsi="Verdana" w:cs="Verdana"/>
        </w:rPr>
        <w:t xml:space="preserve">Formulário para </w:t>
      </w:r>
      <w:r w:rsidR="009E12D0" w:rsidRPr="00BC122A">
        <w:rPr>
          <w:rFonts w:ascii="Verdana" w:hAnsi="Verdana" w:cs="Verdana"/>
        </w:rPr>
        <w:t>F</w:t>
      </w:r>
      <w:r w:rsidR="002F2DE5" w:rsidRPr="00BC122A">
        <w:rPr>
          <w:rFonts w:ascii="Verdana" w:hAnsi="Verdana" w:cs="Verdana"/>
        </w:rPr>
        <w:t xml:space="preserve">ornecimento com </w:t>
      </w:r>
      <w:r w:rsidR="009E12D0" w:rsidRPr="00BC122A">
        <w:rPr>
          <w:rFonts w:ascii="Verdana" w:hAnsi="Verdana" w:cs="Verdana"/>
        </w:rPr>
        <w:t>E</w:t>
      </w:r>
      <w:r w:rsidR="002F2DE5" w:rsidRPr="00BC122A">
        <w:rPr>
          <w:rFonts w:ascii="Verdana" w:hAnsi="Verdana" w:cs="Verdana"/>
        </w:rPr>
        <w:t>xclusividade</w:t>
      </w:r>
      <w:r w:rsidR="005836FD" w:rsidRPr="00BC122A">
        <w:rPr>
          <w:rFonts w:ascii="Verdana" w:hAnsi="Verdana" w:cs="Verdana"/>
        </w:rPr>
        <w:t>,</w:t>
      </w:r>
      <w:r w:rsidR="002F2DE5" w:rsidRPr="00BC122A">
        <w:rPr>
          <w:rFonts w:ascii="Verdana" w:hAnsi="Verdana" w:cs="Verdana"/>
        </w:rPr>
        <w:t xml:space="preserve"> </w:t>
      </w:r>
      <w:r w:rsidRPr="00BC122A">
        <w:rPr>
          <w:rFonts w:ascii="Verdana" w:hAnsi="Verdana" w:cs="Verdana"/>
        </w:rPr>
        <w:t xml:space="preserve">devidamente </w:t>
      </w:r>
      <w:r w:rsidR="002F2DE5" w:rsidRPr="00BC122A">
        <w:rPr>
          <w:rFonts w:ascii="Verdana" w:hAnsi="Verdana" w:cs="Verdana"/>
        </w:rPr>
        <w:t>assinad</w:t>
      </w:r>
      <w:r w:rsidR="005836FD" w:rsidRPr="00BC122A">
        <w:rPr>
          <w:rFonts w:ascii="Verdana" w:hAnsi="Verdana" w:cs="Verdana"/>
        </w:rPr>
        <w:t>o</w:t>
      </w:r>
      <w:r w:rsidR="002F2DE5" w:rsidRPr="00BC122A">
        <w:rPr>
          <w:rFonts w:ascii="Verdana" w:hAnsi="Verdana" w:cs="Verdana"/>
        </w:rPr>
        <w:t xml:space="preserve"> pelo Gestor da área e Diretor do Negócio</w:t>
      </w:r>
      <w:r w:rsidR="004E2FCE" w:rsidRPr="00BC122A">
        <w:rPr>
          <w:rFonts w:ascii="Verdana" w:hAnsi="Verdana" w:cs="Verdana"/>
        </w:rPr>
        <w:t xml:space="preserve">/área (no caso da </w:t>
      </w:r>
      <w:r w:rsidR="004E2FCE" w:rsidRPr="00BC122A">
        <w:rPr>
          <w:rFonts w:ascii="Verdana" w:hAnsi="Verdana" w:cs="Verdana"/>
          <w:i/>
          <w:iCs/>
        </w:rPr>
        <w:t>Holding</w:t>
      </w:r>
      <w:r w:rsidR="004E2FCE" w:rsidRPr="00BC122A">
        <w:rPr>
          <w:rFonts w:ascii="Verdana" w:hAnsi="Verdana" w:cs="Verdana"/>
        </w:rPr>
        <w:t>).</w:t>
      </w:r>
    </w:p>
    <w:p w14:paraId="7F992A34" w14:textId="03FC2AF2" w:rsidR="002F2DE5" w:rsidRPr="00BC122A" w:rsidRDefault="002F2DE5" w:rsidP="00BC122A">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C122A">
        <w:rPr>
          <w:rFonts w:ascii="Verdana" w:hAnsi="Verdana" w:cs="Verdana"/>
        </w:rPr>
        <w:t xml:space="preserve"> A</w:t>
      </w:r>
      <w:r w:rsidRPr="00BC122A">
        <w:rPr>
          <w:rFonts w:ascii="Verdana" w:hAnsi="Verdana"/>
        </w:rPr>
        <w:t xml:space="preserve"> segregação de funções entre a especificação técnica e o relacionamento comercial deve ser observada. </w:t>
      </w:r>
    </w:p>
    <w:p w14:paraId="31F519AF" w14:textId="1177FF75" w:rsidR="002F2DE5" w:rsidRPr="00BC122A" w:rsidRDefault="002F2DE5" w:rsidP="00BC122A">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C122A">
        <w:rPr>
          <w:rFonts w:ascii="Verdana" w:hAnsi="Verdana" w:cs="Verdana"/>
        </w:rPr>
        <w:t xml:space="preserve">As compras ou contratações de bens e serviços somente podem ser realizadas pela Diretoria de </w:t>
      </w:r>
      <w:proofErr w:type="spellStart"/>
      <w:r w:rsidRPr="00BC122A">
        <w:rPr>
          <w:rFonts w:ascii="Verdana" w:hAnsi="Verdana" w:cs="Verdana"/>
          <w:i/>
          <w:iCs/>
        </w:rPr>
        <w:t>Supply</w:t>
      </w:r>
      <w:proofErr w:type="spellEnd"/>
      <w:r w:rsidRPr="00BC122A">
        <w:rPr>
          <w:rFonts w:ascii="Verdana" w:hAnsi="Verdana" w:cs="Verdana"/>
          <w:i/>
          <w:iCs/>
        </w:rPr>
        <w:t xml:space="preserve"> Chain</w:t>
      </w:r>
      <w:r w:rsidRPr="00BC122A">
        <w:rPr>
          <w:rFonts w:ascii="Verdana" w:hAnsi="Verdana" w:cs="Verdana"/>
        </w:rPr>
        <w:t>. As exceções referem-se a   compras emergenciais, conforme diretrizes dos itens 4.1.1</w:t>
      </w:r>
      <w:r w:rsidR="00AB16EE" w:rsidRPr="00BC122A">
        <w:rPr>
          <w:rFonts w:ascii="Verdana" w:hAnsi="Verdana" w:cs="Verdana"/>
        </w:rPr>
        <w:t>1</w:t>
      </w:r>
      <w:r w:rsidRPr="00BC122A">
        <w:rPr>
          <w:rFonts w:ascii="Verdana" w:hAnsi="Verdana" w:cs="Verdana"/>
        </w:rPr>
        <w:t>. e 4.1.1</w:t>
      </w:r>
      <w:r w:rsidR="00AB16EE" w:rsidRPr="00BC122A">
        <w:rPr>
          <w:rFonts w:ascii="Verdana" w:hAnsi="Verdana" w:cs="Verdana"/>
        </w:rPr>
        <w:t>2</w:t>
      </w:r>
      <w:r w:rsidRPr="00BC122A">
        <w:rPr>
          <w:rFonts w:ascii="Verdana" w:hAnsi="Verdana" w:cs="Verdana"/>
        </w:rPr>
        <w:t xml:space="preserve">, por meio de fornecedores cadastrados que façam parte do banco de dados de fornecedores do GEQ. </w:t>
      </w:r>
    </w:p>
    <w:p w14:paraId="4CECB6D2" w14:textId="799E6963" w:rsidR="009E12D0" w:rsidRPr="00BC122A"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C122A">
        <w:rPr>
          <w:rFonts w:ascii="Verdana" w:hAnsi="Verdana" w:cs="Verdana"/>
        </w:rPr>
        <w:t xml:space="preserve">O cadastro e atualização de tarifas de fretes somente podem ser realizados pela Diretoria de </w:t>
      </w:r>
      <w:proofErr w:type="spellStart"/>
      <w:r w:rsidRPr="00BC122A">
        <w:rPr>
          <w:rFonts w:ascii="Verdana" w:hAnsi="Verdana" w:cs="Verdana"/>
          <w:i/>
          <w:iCs/>
        </w:rPr>
        <w:t>Supply</w:t>
      </w:r>
      <w:proofErr w:type="spellEnd"/>
      <w:r w:rsidRPr="00BC122A">
        <w:rPr>
          <w:rFonts w:ascii="Verdana" w:hAnsi="Verdana" w:cs="Verdana"/>
          <w:i/>
          <w:iCs/>
        </w:rPr>
        <w:t xml:space="preserve"> Chain</w:t>
      </w:r>
      <w:r w:rsidRPr="00BC122A">
        <w:rPr>
          <w:rFonts w:ascii="Verdana" w:hAnsi="Verdana" w:cs="Verdana"/>
        </w:rPr>
        <w:t xml:space="preserve">, conforme </w:t>
      </w:r>
      <w:r w:rsidR="00E62D95" w:rsidRPr="00BC122A">
        <w:rPr>
          <w:rFonts w:ascii="Verdana" w:hAnsi="Verdana" w:cs="Verdana"/>
        </w:rPr>
        <w:t>P</w:t>
      </w:r>
      <w:r w:rsidRPr="00BC122A">
        <w:rPr>
          <w:rFonts w:ascii="Verdana" w:hAnsi="Verdana" w:cs="Verdana"/>
        </w:rPr>
        <w:t xml:space="preserve">rocedimento </w:t>
      </w:r>
      <w:r w:rsidR="00E62D95" w:rsidRPr="00BC122A">
        <w:rPr>
          <w:rFonts w:ascii="Verdana" w:hAnsi="Verdana" w:cs="Verdana"/>
        </w:rPr>
        <w:t>I</w:t>
      </w:r>
      <w:r w:rsidRPr="00BC122A">
        <w:rPr>
          <w:rFonts w:ascii="Verdana" w:hAnsi="Verdana" w:cs="Verdana"/>
        </w:rPr>
        <w:t xml:space="preserve">nterno de </w:t>
      </w:r>
      <w:r w:rsidR="00E62D95" w:rsidRPr="00BC122A">
        <w:rPr>
          <w:rFonts w:ascii="Verdana" w:hAnsi="Verdana" w:cs="Verdana"/>
        </w:rPr>
        <w:t>C</w:t>
      </w:r>
      <w:r w:rsidRPr="00BC122A">
        <w:rPr>
          <w:rFonts w:ascii="Verdana" w:hAnsi="Verdana" w:cs="Verdana"/>
        </w:rPr>
        <w:t xml:space="preserve">adastro de </w:t>
      </w:r>
      <w:r w:rsidR="00E62D95" w:rsidRPr="00BC122A">
        <w:rPr>
          <w:rFonts w:ascii="Verdana" w:hAnsi="Verdana" w:cs="Verdana"/>
        </w:rPr>
        <w:t>T</w:t>
      </w:r>
      <w:r w:rsidRPr="00BC122A">
        <w:rPr>
          <w:rFonts w:ascii="Verdana" w:hAnsi="Verdana" w:cs="Verdana"/>
        </w:rPr>
        <w:t>arifa</w:t>
      </w:r>
      <w:r w:rsidR="009E12D0" w:rsidRPr="00BC122A">
        <w:rPr>
          <w:rFonts w:ascii="Verdana" w:hAnsi="Verdana" w:cs="Verdana"/>
        </w:rPr>
        <w:t>.</w:t>
      </w:r>
    </w:p>
    <w:p w14:paraId="22E70DBE" w14:textId="289A9256" w:rsidR="002F2DE5" w:rsidRPr="00BC122A"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C122A">
        <w:rPr>
          <w:rFonts w:ascii="Verdana" w:hAnsi="Verdana" w:cs="Verdana"/>
          <w:color w:val="000000" w:themeColor="text1"/>
        </w:rPr>
        <w:t>Toda aquisição de bens ou contratação de serviços deve utilizar um “item específico”, previamente cadastrado no banco de dados de itens do GEQ.</w:t>
      </w:r>
    </w:p>
    <w:p w14:paraId="1506EA39" w14:textId="4F7A7503" w:rsidR="002F2DE5" w:rsidRPr="00BC122A"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C122A">
        <w:rPr>
          <w:rFonts w:ascii="Verdana" w:hAnsi="Verdana" w:cs="Verdana"/>
        </w:rPr>
        <w:t>As compras ou contratações devem possuir um Documento de Compra específico, previamente aprovad</w:t>
      </w:r>
      <w:r w:rsidR="00B046E9" w:rsidRPr="00BC122A">
        <w:rPr>
          <w:rFonts w:ascii="Verdana" w:hAnsi="Verdana" w:cs="Verdana"/>
        </w:rPr>
        <w:t>o</w:t>
      </w:r>
      <w:r w:rsidR="00540F80" w:rsidRPr="00BC122A">
        <w:rPr>
          <w:rFonts w:ascii="Verdana" w:hAnsi="Verdana" w:cs="Verdana"/>
        </w:rPr>
        <w:t>. P</w:t>
      </w:r>
      <w:r w:rsidR="001E18DB" w:rsidRPr="00BC122A">
        <w:rPr>
          <w:rFonts w:ascii="Verdana" w:hAnsi="Verdana" w:cs="Verdana"/>
        </w:rPr>
        <w:t xml:space="preserve">ara os casos que necessitem de contrato formal, item 4.3, </w:t>
      </w:r>
      <w:r w:rsidR="00941C80" w:rsidRPr="00BC122A">
        <w:rPr>
          <w:rFonts w:ascii="Verdana" w:hAnsi="Verdana" w:cs="Verdana"/>
        </w:rPr>
        <w:t>o contrato deve estar</w:t>
      </w:r>
      <w:r w:rsidR="001E18DB" w:rsidRPr="00BC122A">
        <w:rPr>
          <w:rFonts w:ascii="Verdana" w:hAnsi="Verdana" w:cs="Verdana"/>
        </w:rPr>
        <w:t xml:space="preserve"> assinado</w:t>
      </w:r>
      <w:r w:rsidR="00F6016C" w:rsidRPr="00BC122A">
        <w:rPr>
          <w:rFonts w:ascii="Verdana" w:hAnsi="Verdana" w:cs="Verdana"/>
        </w:rPr>
        <w:t xml:space="preserve"> para início da execução do serviço ou entrega de material</w:t>
      </w:r>
      <w:r w:rsidR="001E18DB" w:rsidRPr="00BC122A">
        <w:rPr>
          <w:rFonts w:ascii="Verdana" w:hAnsi="Verdana" w:cs="Verdana"/>
        </w:rPr>
        <w:t>,</w:t>
      </w:r>
      <w:r w:rsidRPr="00BC122A">
        <w:rPr>
          <w:rFonts w:ascii="Verdana" w:hAnsi="Verdana" w:cs="Verdana"/>
        </w:rPr>
        <w:t xml:space="preserve"> com exceção das realizadas pelo Fundo Fixo, </w:t>
      </w:r>
      <w:r w:rsidR="00DA37B2" w:rsidRPr="00BC122A">
        <w:rPr>
          <w:rFonts w:ascii="Verdana" w:hAnsi="Verdana" w:cs="Verdana"/>
        </w:rPr>
        <w:t xml:space="preserve">cartão de pequenas compras, </w:t>
      </w:r>
      <w:r w:rsidRPr="00BC122A">
        <w:rPr>
          <w:rFonts w:ascii="Verdana" w:hAnsi="Verdana" w:cs="Verdana"/>
        </w:rPr>
        <w:t>compras emergenciais (conforme diretrizes citadas nos itens 4.1.1</w:t>
      </w:r>
      <w:r w:rsidR="00AB16EE" w:rsidRPr="00BC122A">
        <w:rPr>
          <w:rFonts w:ascii="Verdana" w:hAnsi="Verdana" w:cs="Verdana"/>
        </w:rPr>
        <w:t>1</w:t>
      </w:r>
      <w:r w:rsidRPr="00BC122A">
        <w:rPr>
          <w:rFonts w:ascii="Verdana" w:hAnsi="Verdana" w:cs="Verdana"/>
        </w:rPr>
        <w:t>. e 4.1.1</w:t>
      </w:r>
      <w:r w:rsidR="00AB16EE" w:rsidRPr="00BC122A">
        <w:rPr>
          <w:rFonts w:ascii="Verdana" w:hAnsi="Verdana" w:cs="Verdana"/>
        </w:rPr>
        <w:t>2</w:t>
      </w:r>
      <w:r w:rsidRPr="00BC122A">
        <w:rPr>
          <w:rFonts w:ascii="Verdana" w:hAnsi="Verdana" w:cs="Verdana"/>
        </w:rPr>
        <w:t>.) e das compras com pagamento direto via RI (Recebimento Integrado).</w:t>
      </w:r>
    </w:p>
    <w:p w14:paraId="03E1B6CB" w14:textId="4C46495D" w:rsidR="00AB16EE" w:rsidRPr="00B418BC" w:rsidRDefault="002F2DE5" w:rsidP="00E400C9">
      <w:pPr>
        <w:numPr>
          <w:ilvl w:val="4"/>
          <w:numId w:val="1"/>
        </w:numPr>
        <w:tabs>
          <w:tab w:val="clear" w:pos="1080"/>
          <w:tab w:val="num" w:pos="851"/>
          <w:tab w:val="num" w:pos="4820"/>
        </w:tabs>
        <w:spacing w:beforeLines="120" w:before="288" w:afterLines="120" w:after="288" w:line="240" w:lineRule="atLeast"/>
        <w:ind w:left="850" w:hanging="851"/>
        <w:jc w:val="both"/>
        <w:rPr>
          <w:rFonts w:ascii="Verdana" w:hAnsi="Verdana" w:cs="Verdana"/>
          <w:color w:val="000000" w:themeColor="text1"/>
        </w:rPr>
      </w:pPr>
      <w:r w:rsidRPr="00B418BC">
        <w:rPr>
          <w:rFonts w:ascii="Verdana" w:hAnsi="Verdana" w:cs="Verdana"/>
        </w:rPr>
        <w:t xml:space="preserve">As requisições de compras devem ser atendidas de forma centralizada pela Diretoria de </w:t>
      </w:r>
      <w:proofErr w:type="spellStart"/>
      <w:r w:rsidRPr="00732922">
        <w:rPr>
          <w:rFonts w:ascii="Verdana" w:hAnsi="Verdana" w:cs="Verdana"/>
          <w:i/>
          <w:iCs/>
        </w:rPr>
        <w:t>Supply</w:t>
      </w:r>
      <w:proofErr w:type="spellEnd"/>
      <w:r w:rsidRPr="00732922">
        <w:rPr>
          <w:rFonts w:ascii="Verdana" w:hAnsi="Verdana" w:cs="Verdana"/>
          <w:i/>
          <w:iCs/>
        </w:rPr>
        <w:t xml:space="preserve"> Chain</w:t>
      </w:r>
      <w:r w:rsidRPr="00B418BC">
        <w:rPr>
          <w:rFonts w:ascii="Verdana" w:hAnsi="Verdana" w:cs="Verdana"/>
        </w:rPr>
        <w:t xml:space="preserve">, conforme SLA e </w:t>
      </w:r>
      <w:r w:rsidRPr="00B418BC">
        <w:rPr>
          <w:rFonts w:ascii="Verdana" w:hAnsi="Verdana"/>
        </w:rPr>
        <w:t>Procedimento Interno de Aquisição de Materiais, Bens e Serviços</w:t>
      </w:r>
      <w:r w:rsidRPr="00B418BC">
        <w:rPr>
          <w:rFonts w:ascii="Verdana" w:hAnsi="Verdana" w:cs="Verdana"/>
        </w:rPr>
        <w:t>, exceto nos casos de compras emergenciais, que seguem as diretrizes dos itens 4.1.1</w:t>
      </w:r>
      <w:r w:rsidR="00AB16EE" w:rsidRPr="00B418BC">
        <w:rPr>
          <w:rFonts w:ascii="Verdana" w:hAnsi="Verdana" w:cs="Verdana"/>
        </w:rPr>
        <w:t>1</w:t>
      </w:r>
      <w:r w:rsidRPr="00B418BC">
        <w:rPr>
          <w:rFonts w:ascii="Verdana" w:hAnsi="Verdana" w:cs="Verdana"/>
        </w:rPr>
        <w:t>. e 4.1.1</w:t>
      </w:r>
      <w:r w:rsidR="00AB16EE" w:rsidRPr="00B418BC">
        <w:rPr>
          <w:rFonts w:ascii="Verdana" w:hAnsi="Verdana" w:cs="Verdana"/>
        </w:rPr>
        <w:t>2</w:t>
      </w:r>
      <w:r w:rsidRPr="00B418BC">
        <w:rPr>
          <w:rFonts w:ascii="Verdana" w:hAnsi="Verdana" w:cs="Verdana"/>
        </w:rPr>
        <w:t xml:space="preserve">. </w:t>
      </w:r>
    </w:p>
    <w:p w14:paraId="1E45ACA7" w14:textId="77777777" w:rsidR="00AB16EE" w:rsidRPr="00B418BC" w:rsidRDefault="002F2DE5" w:rsidP="00E400C9">
      <w:pPr>
        <w:numPr>
          <w:ilvl w:val="4"/>
          <w:numId w:val="1"/>
        </w:numPr>
        <w:tabs>
          <w:tab w:val="clear" w:pos="1080"/>
          <w:tab w:val="num" w:pos="851"/>
          <w:tab w:val="num" w:pos="4820"/>
        </w:tabs>
        <w:spacing w:beforeLines="120" w:before="288" w:afterLines="120" w:after="288" w:line="240" w:lineRule="atLeast"/>
        <w:ind w:left="850" w:hanging="851"/>
        <w:jc w:val="both"/>
        <w:rPr>
          <w:rFonts w:ascii="Verdana" w:hAnsi="Verdana" w:cs="Verdana"/>
          <w:color w:val="000000" w:themeColor="text1"/>
        </w:rPr>
      </w:pPr>
      <w:r w:rsidRPr="00B418BC">
        <w:rPr>
          <w:rFonts w:ascii="Verdana" w:hAnsi="Verdana" w:cs="Verdana"/>
        </w:rPr>
        <w:t xml:space="preserve">As aquisições e contratações voltadas às categorias de Tecnologia da Informação, Obra Civil, Consultoria, Recursos Humanos e </w:t>
      </w:r>
      <w:r w:rsidRPr="00B418BC">
        <w:rPr>
          <w:rFonts w:ascii="Verdana" w:hAnsi="Verdana" w:cs="Verdana"/>
          <w:i/>
          <w:iCs/>
        </w:rPr>
        <w:t xml:space="preserve">Capital </w:t>
      </w:r>
      <w:proofErr w:type="spellStart"/>
      <w:r w:rsidRPr="00B418BC">
        <w:rPr>
          <w:rFonts w:ascii="Verdana" w:hAnsi="Verdana" w:cs="Verdana"/>
          <w:i/>
          <w:iCs/>
        </w:rPr>
        <w:t>Expenditure</w:t>
      </w:r>
      <w:proofErr w:type="spellEnd"/>
      <w:r w:rsidRPr="00B418BC">
        <w:rPr>
          <w:rFonts w:ascii="Verdana" w:hAnsi="Verdana" w:cs="Verdana"/>
        </w:rPr>
        <w:t xml:space="preserve"> (</w:t>
      </w:r>
      <w:proofErr w:type="spellStart"/>
      <w:r w:rsidRPr="00B418BC">
        <w:rPr>
          <w:rFonts w:ascii="Verdana" w:hAnsi="Verdana" w:cs="Verdana"/>
        </w:rPr>
        <w:t>Capex</w:t>
      </w:r>
      <w:proofErr w:type="spellEnd"/>
      <w:r w:rsidRPr="00B418BC">
        <w:rPr>
          <w:rFonts w:ascii="Verdana" w:hAnsi="Verdana" w:cs="Verdana"/>
        </w:rPr>
        <w:t>) devem ser precedidas de validação técnica de escopo pelas respectivas áreas requisitantes e técnicas.</w:t>
      </w:r>
    </w:p>
    <w:p w14:paraId="1AE373E1" w14:textId="1E6E48F0" w:rsidR="002F2DE5" w:rsidRPr="00B418BC" w:rsidRDefault="002F2DE5" w:rsidP="00E400C9">
      <w:pPr>
        <w:numPr>
          <w:ilvl w:val="4"/>
          <w:numId w:val="1"/>
        </w:numPr>
        <w:tabs>
          <w:tab w:val="clear" w:pos="1080"/>
          <w:tab w:val="num" w:pos="851"/>
          <w:tab w:val="num" w:pos="4820"/>
        </w:tabs>
        <w:spacing w:beforeLines="120" w:before="288" w:afterLines="120" w:after="288" w:line="240" w:lineRule="atLeast"/>
        <w:ind w:left="850" w:hanging="851"/>
        <w:jc w:val="both"/>
        <w:rPr>
          <w:rFonts w:ascii="Verdana" w:hAnsi="Verdana" w:cs="Verdana"/>
          <w:color w:val="000000" w:themeColor="text1"/>
        </w:rPr>
      </w:pPr>
      <w:r w:rsidRPr="00B418BC">
        <w:rPr>
          <w:rFonts w:ascii="Verdana" w:hAnsi="Verdana" w:cs="Verdana"/>
        </w:rPr>
        <w:t xml:space="preserve">Compras e contratações emergenciais podem ser negociadas, localmente, pela Unidade de Negócio ou área da </w:t>
      </w:r>
      <w:r w:rsidRPr="00B418BC">
        <w:rPr>
          <w:rFonts w:ascii="Verdana" w:hAnsi="Verdana" w:cs="Verdana"/>
          <w:i/>
          <w:iCs/>
        </w:rPr>
        <w:t>Holding</w:t>
      </w:r>
      <w:r w:rsidRPr="00B418BC">
        <w:rPr>
          <w:rFonts w:ascii="Verdana" w:hAnsi="Verdana" w:cs="Verdana"/>
        </w:rPr>
        <w:t xml:space="preserve">, desde que previamente e formalmente aprovadas, por meio do </w:t>
      </w:r>
      <w:bookmarkStart w:id="35" w:name="_Hlk108532702"/>
      <w:r w:rsidRPr="00B418BC">
        <w:rPr>
          <w:rFonts w:ascii="Verdana" w:hAnsi="Verdana" w:cs="Verdana"/>
        </w:rPr>
        <w:t>Formulário de Compra Emergencial</w:t>
      </w:r>
      <w:bookmarkEnd w:id="35"/>
      <w:r w:rsidRPr="00B418BC">
        <w:rPr>
          <w:rFonts w:ascii="Verdana" w:hAnsi="Verdana" w:cs="Verdana"/>
        </w:rPr>
        <w:t xml:space="preserve">, assinado pelo Diretor Superintendente do Negócio ou Diretor Corporativo da área requisitante da </w:t>
      </w:r>
      <w:r w:rsidRPr="00B418BC">
        <w:rPr>
          <w:rFonts w:ascii="Verdana" w:hAnsi="Verdana" w:cs="Verdana"/>
          <w:i/>
          <w:iCs/>
        </w:rPr>
        <w:t>Holding,</w:t>
      </w:r>
      <w:r w:rsidRPr="00B418BC">
        <w:rPr>
          <w:rFonts w:ascii="Verdana" w:hAnsi="Verdana" w:cs="Verdana"/>
        </w:rPr>
        <w:t xml:space="preserve"> considerando as hipóteses previstas no item 4.1.1</w:t>
      </w:r>
      <w:r w:rsidR="00AB16EE" w:rsidRPr="00B418BC">
        <w:rPr>
          <w:rFonts w:ascii="Verdana" w:hAnsi="Verdana" w:cs="Verdana"/>
        </w:rPr>
        <w:t>2</w:t>
      </w:r>
      <w:r w:rsidRPr="00B418BC">
        <w:rPr>
          <w:rFonts w:ascii="Verdana" w:hAnsi="Verdana" w:cs="Verdana"/>
        </w:rPr>
        <w:t xml:space="preserve">. </w:t>
      </w:r>
    </w:p>
    <w:p w14:paraId="22E12C72" w14:textId="77777777" w:rsidR="002F2DE5" w:rsidRPr="00B418BC" w:rsidRDefault="002F2DE5" w:rsidP="00E400C9">
      <w:pPr>
        <w:numPr>
          <w:ilvl w:val="4"/>
          <w:numId w:val="1"/>
        </w:numPr>
        <w:tabs>
          <w:tab w:val="clear" w:pos="1080"/>
          <w:tab w:val="num" w:pos="851"/>
          <w:tab w:val="num" w:pos="4820"/>
        </w:tabs>
        <w:spacing w:beforeLines="120" w:before="288" w:afterLines="120" w:after="288" w:line="240" w:lineRule="atLeast"/>
        <w:ind w:left="850" w:hanging="851"/>
        <w:jc w:val="both"/>
        <w:rPr>
          <w:rFonts w:ascii="Verdana" w:hAnsi="Verdana" w:cs="Verdana"/>
          <w:color w:val="000000" w:themeColor="text1"/>
        </w:rPr>
      </w:pPr>
      <w:r w:rsidRPr="00B418BC">
        <w:rPr>
          <w:rFonts w:ascii="Verdana" w:hAnsi="Verdana" w:cs="Verdana"/>
        </w:rPr>
        <w:t xml:space="preserve">As </w:t>
      </w:r>
      <w:r w:rsidRPr="00B418BC">
        <w:rPr>
          <w:rFonts w:ascii="Verdana" w:hAnsi="Verdana" w:cs="Verdana"/>
          <w:color w:val="000000" w:themeColor="text1"/>
        </w:rPr>
        <w:t>compras emergenciais podem ocorrer nas seguintes hipóteses:</w:t>
      </w:r>
    </w:p>
    <w:p w14:paraId="3372E39D" w14:textId="77777777" w:rsidR="002F2DE5" w:rsidRPr="00B418BC" w:rsidRDefault="002F2DE5" w:rsidP="00987E86">
      <w:pPr>
        <w:pStyle w:val="PargrafodaLista"/>
        <w:numPr>
          <w:ilvl w:val="0"/>
          <w:numId w:val="7"/>
        </w:numPr>
        <w:spacing w:beforeLines="120" w:before="288" w:afterLines="120" w:after="288" w:line="240" w:lineRule="atLeast"/>
        <w:ind w:left="1418" w:hanging="567"/>
        <w:contextualSpacing w:val="0"/>
        <w:jc w:val="both"/>
        <w:rPr>
          <w:rFonts w:ascii="Verdana" w:eastAsia="Times New Roman" w:hAnsi="Verdana"/>
          <w:sz w:val="20"/>
          <w:szCs w:val="20"/>
          <w:lang w:eastAsia="pt-BR"/>
        </w:rPr>
      </w:pPr>
      <w:r w:rsidRPr="00B418BC">
        <w:rPr>
          <w:rFonts w:ascii="Verdana" w:eastAsia="Times New Roman" w:hAnsi="Verdana"/>
          <w:sz w:val="20"/>
          <w:szCs w:val="20"/>
          <w:lang w:eastAsia="pt-BR"/>
        </w:rPr>
        <w:lastRenderedPageBreak/>
        <w:t>Risco iminente à integridade dos empregados ou das instalações das empresas do GEQ;</w:t>
      </w:r>
    </w:p>
    <w:p w14:paraId="5992BB7A" w14:textId="77777777" w:rsidR="002F2DE5" w:rsidRPr="00B418BC" w:rsidRDefault="002F2DE5" w:rsidP="00987E86">
      <w:pPr>
        <w:numPr>
          <w:ilvl w:val="0"/>
          <w:numId w:val="7"/>
        </w:numPr>
        <w:spacing w:beforeLines="120" w:before="288" w:afterLines="120" w:after="288" w:line="240" w:lineRule="atLeast"/>
        <w:ind w:left="1418" w:hanging="567"/>
        <w:jc w:val="both"/>
        <w:rPr>
          <w:rFonts w:ascii="Verdana" w:hAnsi="Verdana"/>
        </w:rPr>
      </w:pPr>
      <w:r w:rsidRPr="00B418BC">
        <w:rPr>
          <w:rFonts w:ascii="Verdana" w:hAnsi="Verdana"/>
        </w:rPr>
        <w:t>Risco à continuidade de produção e/ou distribuição e prestação de serviços;</w:t>
      </w:r>
    </w:p>
    <w:p w14:paraId="6D2F0F0F" w14:textId="77777777" w:rsidR="002F2DE5" w:rsidRPr="00B418BC" w:rsidRDefault="002F2DE5" w:rsidP="00987E86">
      <w:pPr>
        <w:numPr>
          <w:ilvl w:val="0"/>
          <w:numId w:val="7"/>
        </w:numPr>
        <w:spacing w:beforeLines="120" w:before="288" w:afterLines="120" w:after="288" w:line="240" w:lineRule="atLeast"/>
        <w:ind w:left="1418" w:hanging="567"/>
        <w:jc w:val="both"/>
        <w:rPr>
          <w:rFonts w:ascii="Verdana" w:hAnsi="Verdana"/>
        </w:rPr>
      </w:pPr>
      <w:r w:rsidRPr="00B418BC">
        <w:rPr>
          <w:rFonts w:ascii="Verdana" w:hAnsi="Verdana"/>
        </w:rPr>
        <w:t>Outras situações, além das hipóteses previstas nos itens (a) e (b) acima, que possam acarretar prejuízo para as empresas do GEQ.</w:t>
      </w:r>
    </w:p>
    <w:p w14:paraId="4161A730" w14:textId="77777777" w:rsidR="002F2DE5" w:rsidRPr="001E2899" w:rsidRDefault="002F2DE5" w:rsidP="00E400C9">
      <w:pPr>
        <w:numPr>
          <w:ilvl w:val="4"/>
          <w:numId w:val="1"/>
        </w:numPr>
        <w:tabs>
          <w:tab w:val="clear" w:pos="1080"/>
          <w:tab w:val="num" w:pos="4820"/>
        </w:tabs>
        <w:spacing w:beforeLines="120" w:before="288" w:afterLines="120" w:after="288" w:line="240" w:lineRule="atLeast"/>
        <w:ind w:left="851" w:hanging="851"/>
        <w:jc w:val="both"/>
        <w:rPr>
          <w:rFonts w:ascii="Verdana" w:hAnsi="Verdana" w:cs="Verdana"/>
        </w:rPr>
      </w:pPr>
      <w:r w:rsidRPr="00B418BC">
        <w:rPr>
          <w:rFonts w:ascii="Verdana" w:hAnsi="Verdana" w:cs="Verdana"/>
        </w:rPr>
        <w:t xml:space="preserve">As decisões de compra de bens e contratação de serviços devem ser tomadas pela </w:t>
      </w:r>
      <w:r w:rsidRPr="001E2899">
        <w:rPr>
          <w:rFonts w:ascii="Verdana" w:hAnsi="Verdana" w:cs="Verdana"/>
        </w:rPr>
        <w:t xml:space="preserve">Diretoria de </w:t>
      </w:r>
      <w:proofErr w:type="spellStart"/>
      <w:r w:rsidRPr="00732922">
        <w:rPr>
          <w:rFonts w:ascii="Verdana" w:hAnsi="Verdana" w:cs="Verdana"/>
          <w:i/>
          <w:iCs/>
        </w:rPr>
        <w:t>Supply</w:t>
      </w:r>
      <w:proofErr w:type="spellEnd"/>
      <w:r w:rsidRPr="00732922">
        <w:rPr>
          <w:rFonts w:ascii="Verdana" w:hAnsi="Verdana" w:cs="Verdana"/>
          <w:i/>
          <w:iCs/>
        </w:rPr>
        <w:t xml:space="preserve"> Chain</w:t>
      </w:r>
      <w:r w:rsidRPr="001E2899">
        <w:rPr>
          <w:rFonts w:ascii="Verdana" w:hAnsi="Verdana" w:cs="Verdana"/>
        </w:rPr>
        <w:t>, em atendimento às áreas requisitantes, com base em critérios qualitativos e financeiros. A escolha final deve representar a melhor negociação para o GEQ, devidamente comprovada e documentada.</w:t>
      </w:r>
    </w:p>
    <w:p w14:paraId="5A57B646" w14:textId="1AB169BA" w:rsidR="002F2DE5" w:rsidRPr="001E2899" w:rsidRDefault="002F2DE5" w:rsidP="00E400C9">
      <w:pPr>
        <w:numPr>
          <w:ilvl w:val="4"/>
          <w:numId w:val="1"/>
        </w:numPr>
        <w:tabs>
          <w:tab w:val="clear" w:pos="1080"/>
          <w:tab w:val="num" w:pos="4820"/>
        </w:tabs>
        <w:spacing w:beforeLines="120" w:before="288" w:afterLines="120" w:after="288" w:line="240" w:lineRule="atLeast"/>
        <w:ind w:left="851" w:hanging="851"/>
        <w:jc w:val="both"/>
        <w:rPr>
          <w:rFonts w:ascii="Verdana" w:hAnsi="Verdana" w:cs="Verdana"/>
        </w:rPr>
      </w:pPr>
      <w:r w:rsidRPr="001E2899">
        <w:rPr>
          <w:rFonts w:ascii="Verdana" w:hAnsi="Verdana" w:cs="Verdana"/>
        </w:rPr>
        <w:t>Qualquer necessidade de compra ou contratação por parte das empresas do GEQ deve ser atendida por meio de um dos tipos de compra constantes no item 4.2. ou conforme diretrize</w:t>
      </w:r>
      <w:r w:rsidRPr="00521B20">
        <w:rPr>
          <w:rFonts w:ascii="Verdana" w:hAnsi="Verdana" w:cs="Verdana"/>
        </w:rPr>
        <w:t>s da Política de Fundo Fixo</w:t>
      </w:r>
      <w:r w:rsidR="001E2899" w:rsidRPr="00521B20">
        <w:rPr>
          <w:rFonts w:ascii="Verdana" w:hAnsi="Verdana" w:cs="Verdana"/>
        </w:rPr>
        <w:t xml:space="preserve"> e Política de Uso de Cartão de Pequenas Compras.</w:t>
      </w:r>
    </w:p>
    <w:p w14:paraId="77064DA3" w14:textId="77777777" w:rsidR="001E2899" w:rsidRPr="00521B20" w:rsidRDefault="002F2DE5" w:rsidP="00E400C9">
      <w:pPr>
        <w:numPr>
          <w:ilvl w:val="4"/>
          <w:numId w:val="1"/>
        </w:numPr>
        <w:tabs>
          <w:tab w:val="clear" w:pos="1080"/>
          <w:tab w:val="num" w:pos="4820"/>
        </w:tabs>
        <w:spacing w:beforeLines="120" w:before="288" w:afterLines="120" w:after="288" w:line="240" w:lineRule="atLeast"/>
        <w:ind w:left="851" w:hanging="851"/>
        <w:jc w:val="both"/>
        <w:rPr>
          <w:rFonts w:ascii="Verdana" w:hAnsi="Verdana" w:cs="Verdana"/>
        </w:rPr>
      </w:pPr>
      <w:r w:rsidRPr="00521B20">
        <w:rPr>
          <w:rFonts w:ascii="Verdana" w:hAnsi="Verdana" w:cs="Verdana"/>
        </w:rPr>
        <w:t>As Ordens de Compra devem ser emitidas com base em uma requisição de compra específica e previamente aprovada, com exceção das compras de Gás Liquefeito de Petróleo (GLP).</w:t>
      </w:r>
      <w:bookmarkStart w:id="36" w:name="_Hlk159495261"/>
    </w:p>
    <w:p w14:paraId="1D070481" w14:textId="24989E8D" w:rsidR="00521B20" w:rsidRPr="00521B20" w:rsidRDefault="0003193C" w:rsidP="00E400C9">
      <w:pPr>
        <w:numPr>
          <w:ilvl w:val="4"/>
          <w:numId w:val="1"/>
        </w:numPr>
        <w:tabs>
          <w:tab w:val="clear" w:pos="1080"/>
          <w:tab w:val="num" w:pos="4820"/>
        </w:tabs>
        <w:spacing w:beforeLines="120" w:before="288" w:afterLines="120" w:after="288" w:line="240" w:lineRule="atLeast"/>
        <w:ind w:left="851" w:hanging="851"/>
        <w:jc w:val="both"/>
        <w:rPr>
          <w:rFonts w:ascii="Verdana" w:hAnsi="Verdana" w:cs="Verdana"/>
        </w:rPr>
      </w:pPr>
      <w:r w:rsidRPr="00521B20">
        <w:rPr>
          <w:rFonts w:ascii="Verdana" w:hAnsi="Verdana"/>
        </w:rPr>
        <w:t xml:space="preserve">A negociação e formalização dos contratos deve ser realizada de forma centralizada pela Diretoria de </w:t>
      </w:r>
      <w:proofErr w:type="spellStart"/>
      <w:r w:rsidRPr="00732922">
        <w:rPr>
          <w:rFonts w:ascii="Verdana" w:hAnsi="Verdana"/>
          <w:i/>
          <w:iCs/>
        </w:rPr>
        <w:t>Supply</w:t>
      </w:r>
      <w:proofErr w:type="spellEnd"/>
      <w:r w:rsidRPr="00732922">
        <w:rPr>
          <w:rFonts w:ascii="Verdana" w:hAnsi="Verdana"/>
          <w:i/>
          <w:iCs/>
        </w:rPr>
        <w:t xml:space="preserve"> Chain</w:t>
      </w:r>
      <w:r w:rsidRPr="00521B20">
        <w:rPr>
          <w:rFonts w:ascii="Verdana" w:hAnsi="Verdana"/>
        </w:rPr>
        <w:t xml:space="preserve"> da </w:t>
      </w:r>
      <w:r w:rsidRPr="00732922">
        <w:rPr>
          <w:rFonts w:ascii="Verdana" w:hAnsi="Verdana"/>
          <w:i/>
          <w:iCs/>
        </w:rPr>
        <w:t>Holding</w:t>
      </w:r>
      <w:r w:rsidRPr="00521B20">
        <w:rPr>
          <w:rFonts w:ascii="Verdana" w:hAnsi="Verdana"/>
        </w:rPr>
        <w:t xml:space="preserve">, conforme Procedimento Interno de Formalização de Contrato, mediante atendimento ao fluxo de análise dos contratos e eventual chancela do Departamento Jurídico. A gestão dos contratos </w:t>
      </w:r>
      <w:r w:rsidR="00C919AA">
        <w:rPr>
          <w:rFonts w:ascii="Verdana" w:hAnsi="Verdana"/>
        </w:rPr>
        <w:t>deve ser</w:t>
      </w:r>
      <w:r w:rsidRPr="00521B20">
        <w:rPr>
          <w:rFonts w:ascii="Verdana" w:hAnsi="Verdana"/>
        </w:rPr>
        <w:t xml:space="preserve"> feita de forma descentralizada, pelas Unidades de Negócios ou áreas requisitantes da </w:t>
      </w:r>
      <w:r w:rsidRPr="00732922">
        <w:rPr>
          <w:rFonts w:ascii="Verdana" w:hAnsi="Verdana"/>
          <w:i/>
          <w:iCs/>
        </w:rPr>
        <w:t>Holding</w:t>
      </w:r>
      <w:r w:rsidRPr="00521B20">
        <w:rPr>
          <w:rFonts w:ascii="Verdana" w:hAnsi="Verdana"/>
        </w:rPr>
        <w:t>.</w:t>
      </w:r>
      <w:bookmarkEnd w:id="36"/>
    </w:p>
    <w:p w14:paraId="066B3D68" w14:textId="4E52F187" w:rsidR="0003193C" w:rsidRPr="00521B20" w:rsidRDefault="0003193C" w:rsidP="00E400C9">
      <w:pPr>
        <w:numPr>
          <w:ilvl w:val="4"/>
          <w:numId w:val="1"/>
        </w:numPr>
        <w:tabs>
          <w:tab w:val="clear" w:pos="1080"/>
          <w:tab w:val="num" w:pos="4820"/>
        </w:tabs>
        <w:spacing w:beforeLines="120" w:before="288" w:afterLines="120" w:after="288" w:line="240" w:lineRule="atLeast"/>
        <w:ind w:left="851" w:hanging="851"/>
        <w:jc w:val="both"/>
        <w:rPr>
          <w:rFonts w:ascii="Verdana" w:hAnsi="Verdana" w:cs="Verdana"/>
        </w:rPr>
      </w:pPr>
      <w:r w:rsidRPr="00521B20">
        <w:rPr>
          <w:rFonts w:ascii="Verdana" w:hAnsi="Verdana"/>
        </w:rPr>
        <w:t>Os contratos de prestação de serviços de consultoria em que, pela natureza do serviço, seja possível estabelecer entregáveis específicos e prazos delimitados devem condicionar os faturamentos às entregas previstas, sempre mediante a prévi</w:t>
      </w:r>
      <w:r w:rsidR="009E2BD9">
        <w:rPr>
          <w:rFonts w:ascii="Verdana" w:hAnsi="Verdana"/>
        </w:rPr>
        <w:t>a</w:t>
      </w:r>
      <w:r w:rsidRPr="00521B20">
        <w:rPr>
          <w:rFonts w:ascii="Verdana" w:hAnsi="Verdana"/>
        </w:rPr>
        <w:t xml:space="preserve"> validação e aceite técnico a ser realizado pela área requisitante do serviço, devendo preferencialmente ser reservado o valor equivalente a 20% do preço global da contratação para ser pago após a última entrega e consequente validação e aceite do serviço pela Unidade de Negócio</w:t>
      </w:r>
      <w:r w:rsidR="00732922">
        <w:rPr>
          <w:rFonts w:ascii="Verdana" w:hAnsi="Verdana"/>
        </w:rPr>
        <w:t xml:space="preserve"> ou Área Corporativa.</w:t>
      </w:r>
    </w:p>
    <w:p w14:paraId="7AB08A59" w14:textId="09F1918F" w:rsidR="009714C4" w:rsidRPr="009714C4" w:rsidRDefault="009714C4" w:rsidP="009714C4">
      <w:pPr>
        <w:pStyle w:val="Estilo1"/>
        <w:numPr>
          <w:ilvl w:val="2"/>
          <w:numId w:val="35"/>
        </w:numPr>
        <w:spacing w:before="144" w:after="144"/>
        <w:ind w:hanging="862"/>
        <w:rPr>
          <w:rFonts w:cs="Verdana"/>
          <w:b w:val="0"/>
        </w:rPr>
      </w:pPr>
      <w:bookmarkStart w:id="37" w:name="_Toc95323340"/>
      <w:bookmarkStart w:id="38" w:name="_Toc95323404"/>
      <w:bookmarkStart w:id="39" w:name="_Toc95323488"/>
      <w:bookmarkStart w:id="40" w:name="_Toc95317118"/>
      <w:bookmarkStart w:id="41" w:name="_Toc95318270"/>
      <w:bookmarkStart w:id="42" w:name="_Toc95323341"/>
      <w:bookmarkStart w:id="43" w:name="_Toc95323405"/>
      <w:bookmarkStart w:id="44" w:name="_Toc95323489"/>
      <w:bookmarkStart w:id="45" w:name="_Toc146640122"/>
      <w:bookmarkEnd w:id="37"/>
      <w:bookmarkEnd w:id="38"/>
      <w:bookmarkEnd w:id="39"/>
      <w:bookmarkEnd w:id="40"/>
      <w:bookmarkEnd w:id="41"/>
      <w:bookmarkEnd w:id="42"/>
      <w:bookmarkEnd w:id="43"/>
      <w:bookmarkEnd w:id="44"/>
      <w:r w:rsidRPr="009714C4">
        <w:rPr>
          <w:rFonts w:cs="Verdana"/>
          <w:b w:val="0"/>
        </w:rPr>
        <w:t xml:space="preserve">Toda contratação com pagamento condicionado a </w:t>
      </w:r>
      <w:proofErr w:type="spellStart"/>
      <w:r w:rsidRPr="009714C4">
        <w:rPr>
          <w:rFonts w:cs="Verdana"/>
          <w:b w:val="0"/>
          <w:i/>
          <w:iCs/>
        </w:rPr>
        <w:t>success</w:t>
      </w:r>
      <w:proofErr w:type="spellEnd"/>
      <w:r w:rsidRPr="009714C4">
        <w:rPr>
          <w:rFonts w:cs="Verdana"/>
          <w:b w:val="0"/>
          <w:i/>
          <w:iCs/>
        </w:rPr>
        <w:t xml:space="preserve"> </w:t>
      </w:r>
      <w:proofErr w:type="spellStart"/>
      <w:r w:rsidRPr="009714C4">
        <w:rPr>
          <w:rFonts w:cs="Verdana"/>
          <w:b w:val="0"/>
          <w:i/>
          <w:iCs/>
        </w:rPr>
        <w:t>fee</w:t>
      </w:r>
      <w:proofErr w:type="spellEnd"/>
      <w:r w:rsidRPr="009714C4">
        <w:rPr>
          <w:rFonts w:cs="Verdana"/>
          <w:b w:val="0"/>
        </w:rPr>
        <w:t xml:space="preserve"> deve ter o </w:t>
      </w:r>
      <w:r w:rsidRPr="009714C4">
        <w:rPr>
          <w:rFonts w:cs="Verdana"/>
          <w:b w:val="0"/>
          <w:i/>
          <w:iCs/>
        </w:rPr>
        <w:t>baseline</w:t>
      </w:r>
      <w:r w:rsidRPr="009714C4">
        <w:rPr>
          <w:rFonts w:cs="Verdana"/>
          <w:b w:val="0"/>
        </w:rPr>
        <w:t xml:space="preserve"> e o </w:t>
      </w:r>
      <w:proofErr w:type="spellStart"/>
      <w:r w:rsidRPr="009714C4">
        <w:rPr>
          <w:rFonts w:cs="Verdana"/>
          <w:b w:val="0"/>
        </w:rPr>
        <w:t>fee</w:t>
      </w:r>
      <w:proofErr w:type="spellEnd"/>
      <w:r w:rsidRPr="009714C4">
        <w:rPr>
          <w:rFonts w:cs="Verdana"/>
          <w:b w:val="0"/>
        </w:rPr>
        <w:t xml:space="preserve"> validados pela Unidade de Negócio e aprovado</w:t>
      </w:r>
      <w:r w:rsidR="00A4144D">
        <w:rPr>
          <w:rFonts w:cs="Verdana"/>
          <w:b w:val="0"/>
        </w:rPr>
        <w:t>s</w:t>
      </w:r>
      <w:r w:rsidRPr="009714C4">
        <w:rPr>
          <w:rFonts w:cs="Verdana"/>
          <w:b w:val="0"/>
        </w:rPr>
        <w:t xml:space="preserve"> pela Área de Auditoria antes do início da prestação do serviço. </w:t>
      </w:r>
    </w:p>
    <w:p w14:paraId="43F442A0" w14:textId="77777777" w:rsidR="002F2DE5" w:rsidRPr="00B418BC" w:rsidRDefault="002F2DE5" w:rsidP="00E400C9">
      <w:pPr>
        <w:pStyle w:val="Ttulo2"/>
        <w:numPr>
          <w:ilvl w:val="1"/>
          <w:numId w:val="1"/>
        </w:numPr>
        <w:tabs>
          <w:tab w:val="clear" w:pos="420"/>
          <w:tab w:val="num" w:pos="851"/>
        </w:tabs>
        <w:spacing w:beforeLines="120" w:before="288" w:afterLines="120" w:after="288" w:line="240" w:lineRule="atLeast"/>
        <w:ind w:left="851" w:hanging="851"/>
      </w:pPr>
      <w:bookmarkStart w:id="46" w:name="_Toc168322017"/>
      <w:r w:rsidRPr="00B418BC">
        <w:t>Tipos de compra</w:t>
      </w:r>
      <w:bookmarkEnd w:id="45"/>
      <w:bookmarkEnd w:id="46"/>
    </w:p>
    <w:p w14:paraId="0CACD563" w14:textId="77777777" w:rsidR="002F2DE5" w:rsidRPr="00B418BC"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418BC">
        <w:rPr>
          <w:rFonts w:ascii="Verdana" w:hAnsi="Verdana" w:cs="Verdana"/>
        </w:rPr>
        <w:t xml:space="preserve">As compras de bens ou contratações de serviços podem ocorrer por meio das seguintes modalidades: </w:t>
      </w:r>
    </w:p>
    <w:p w14:paraId="5D82E199" w14:textId="77777777" w:rsidR="002F2DE5" w:rsidRPr="00B418BC" w:rsidRDefault="002F2DE5" w:rsidP="00987E86">
      <w:pPr>
        <w:numPr>
          <w:ilvl w:val="1"/>
          <w:numId w:val="8"/>
        </w:numPr>
        <w:spacing w:beforeLines="120" w:before="288" w:afterLines="120" w:after="288" w:line="240" w:lineRule="atLeast"/>
        <w:ind w:left="1418" w:hanging="589"/>
        <w:jc w:val="both"/>
        <w:rPr>
          <w:rFonts w:ascii="Verdana" w:hAnsi="Verdana"/>
          <w:bCs/>
        </w:rPr>
      </w:pPr>
      <w:r w:rsidRPr="00B418BC">
        <w:rPr>
          <w:rFonts w:ascii="Verdana" w:hAnsi="Verdana"/>
          <w:b/>
        </w:rPr>
        <w:lastRenderedPageBreak/>
        <w:t xml:space="preserve">Compras </w:t>
      </w:r>
      <w:r w:rsidRPr="00B418BC">
        <w:rPr>
          <w:rFonts w:ascii="Verdana" w:hAnsi="Verdana"/>
          <w:b/>
          <w:i/>
          <w:iCs/>
        </w:rPr>
        <w:t>spot</w:t>
      </w:r>
      <w:r w:rsidRPr="00B418BC">
        <w:rPr>
          <w:rFonts w:ascii="Verdana" w:hAnsi="Verdana"/>
          <w:bCs/>
        </w:rPr>
        <w:t xml:space="preserve">: compra ou contratação de bens e serviços negociada individualmente, sem periodicidade </w:t>
      </w:r>
      <w:r w:rsidRPr="00C919AA">
        <w:rPr>
          <w:rFonts w:ascii="Verdana" w:hAnsi="Verdana"/>
          <w:bCs/>
        </w:rPr>
        <w:t>definida;</w:t>
      </w:r>
    </w:p>
    <w:p w14:paraId="011591FD" w14:textId="77777777" w:rsidR="002F2DE5" w:rsidRPr="00B418BC" w:rsidRDefault="002F2DE5" w:rsidP="00987E86">
      <w:pPr>
        <w:numPr>
          <w:ilvl w:val="1"/>
          <w:numId w:val="8"/>
        </w:numPr>
        <w:spacing w:beforeLines="120" w:before="288" w:afterLines="120" w:after="288" w:line="240" w:lineRule="atLeast"/>
        <w:ind w:left="1418" w:hanging="589"/>
        <w:jc w:val="both"/>
        <w:rPr>
          <w:rFonts w:ascii="Verdana" w:hAnsi="Verdana"/>
          <w:bCs/>
        </w:rPr>
      </w:pPr>
      <w:r w:rsidRPr="00B418BC">
        <w:rPr>
          <w:rFonts w:ascii="Verdana" w:hAnsi="Verdana"/>
          <w:b/>
        </w:rPr>
        <w:t>Compras recorrentes/ catálogo</w:t>
      </w:r>
      <w:r w:rsidRPr="00B418BC">
        <w:rPr>
          <w:rFonts w:ascii="Verdana" w:hAnsi="Verdana"/>
          <w:bCs/>
        </w:rPr>
        <w:t xml:space="preserve">: compra ou contratação de bens e serviços negociada por um período definido com o(s) mesmo(s) fornecedor(es). </w:t>
      </w:r>
    </w:p>
    <w:p w14:paraId="338E3D80" w14:textId="62A9C943" w:rsidR="002F2DE5" w:rsidRPr="00F92639"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B418BC">
        <w:rPr>
          <w:rFonts w:ascii="Verdana" w:hAnsi="Verdana" w:cs="Verdana"/>
        </w:rPr>
        <w:t xml:space="preserve">Os tipos de compra citados no item 4.2.1, </w:t>
      </w:r>
      <w:proofErr w:type="gramStart"/>
      <w:r w:rsidRPr="00B418BC">
        <w:rPr>
          <w:rFonts w:ascii="Verdana" w:hAnsi="Verdana" w:cs="Verdana"/>
        </w:rPr>
        <w:t>letras  (</w:t>
      </w:r>
      <w:proofErr w:type="gramEnd"/>
      <w:r w:rsidRPr="00B418BC">
        <w:rPr>
          <w:rFonts w:ascii="Verdana" w:hAnsi="Verdana" w:cs="Verdana"/>
        </w:rPr>
        <w:t xml:space="preserve">a) e (b), devem ser suportados por um contrato quando for identificada a necessidade de estabelecer direitos e obrigações entre as partes e as respectivas condições comerciais ou quando solicitado pela área requisitante, observando-se as </w:t>
      </w:r>
      <w:r w:rsidRPr="00F92639">
        <w:rPr>
          <w:rFonts w:ascii="Verdana" w:hAnsi="Verdana" w:cs="Verdana"/>
        </w:rPr>
        <w:t>diretrizes do item 4.3.</w:t>
      </w:r>
      <w:r w:rsidR="00B4749E" w:rsidRPr="00F92639">
        <w:rPr>
          <w:rFonts w:ascii="Verdana" w:hAnsi="Verdana" w:cs="Verdana"/>
        </w:rPr>
        <w:t xml:space="preserve"> </w:t>
      </w:r>
    </w:p>
    <w:p w14:paraId="72DA1FE1" w14:textId="7ABA0FB5" w:rsidR="002F2DE5" w:rsidRPr="00F92639" w:rsidRDefault="002F2DE5" w:rsidP="00E400C9">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F92639">
        <w:rPr>
          <w:rFonts w:ascii="Verdana" w:hAnsi="Verdana" w:cs="Verdana"/>
        </w:rPr>
        <w:t>As compras de fornecedores únicos e/ou exclusivos recorrentes de insumos/matérias</w:t>
      </w:r>
      <w:r w:rsidR="004F4336">
        <w:rPr>
          <w:rFonts w:ascii="Verdana" w:hAnsi="Verdana" w:cs="Verdana"/>
        </w:rPr>
        <w:t>-</w:t>
      </w:r>
      <w:r w:rsidRPr="00F92639">
        <w:rPr>
          <w:rFonts w:ascii="Verdana" w:hAnsi="Verdana" w:cs="Verdana"/>
        </w:rPr>
        <w:t xml:space="preserve">primas devem ser suportadas por contrato ou </w:t>
      </w:r>
      <w:r w:rsidR="00441668" w:rsidRPr="00F92639">
        <w:rPr>
          <w:rFonts w:ascii="Verdana" w:hAnsi="Verdana" w:cs="Verdana"/>
        </w:rPr>
        <w:t>T</w:t>
      </w:r>
      <w:r w:rsidRPr="00F92639">
        <w:rPr>
          <w:rFonts w:ascii="Verdana" w:hAnsi="Verdana" w:cs="Verdana"/>
        </w:rPr>
        <w:t xml:space="preserve">ermo de </w:t>
      </w:r>
      <w:r w:rsidR="00441668" w:rsidRPr="00F92639">
        <w:rPr>
          <w:rFonts w:ascii="Verdana" w:hAnsi="Verdana" w:cs="Verdana"/>
        </w:rPr>
        <w:t>C</w:t>
      </w:r>
      <w:r w:rsidRPr="00F92639">
        <w:rPr>
          <w:rFonts w:ascii="Verdana" w:hAnsi="Verdana" w:cs="Verdana"/>
        </w:rPr>
        <w:t>ondições</w:t>
      </w:r>
      <w:r w:rsidR="00441668" w:rsidRPr="00F92639">
        <w:rPr>
          <w:rFonts w:ascii="Verdana" w:hAnsi="Verdana" w:cs="Verdana"/>
        </w:rPr>
        <w:t xml:space="preserve"> G</w:t>
      </w:r>
      <w:r w:rsidRPr="00F92639">
        <w:rPr>
          <w:rFonts w:ascii="Verdana" w:hAnsi="Verdana" w:cs="Verdana"/>
        </w:rPr>
        <w:t xml:space="preserve">erais de </w:t>
      </w:r>
      <w:r w:rsidR="00441668" w:rsidRPr="00F92639">
        <w:rPr>
          <w:rFonts w:ascii="Verdana" w:hAnsi="Verdana" w:cs="Verdana"/>
        </w:rPr>
        <w:t>F</w:t>
      </w:r>
      <w:r w:rsidRPr="00F92639">
        <w:rPr>
          <w:rFonts w:ascii="Verdana" w:hAnsi="Verdana" w:cs="Verdana"/>
        </w:rPr>
        <w:t>ornecimento.</w:t>
      </w:r>
    </w:p>
    <w:p w14:paraId="3505F1EA" w14:textId="53251205" w:rsidR="002F2DE5" w:rsidRPr="002962ED" w:rsidRDefault="002F2DE5" w:rsidP="00E400C9">
      <w:pPr>
        <w:pStyle w:val="Ttulo2"/>
        <w:numPr>
          <w:ilvl w:val="1"/>
          <w:numId w:val="1"/>
        </w:numPr>
        <w:tabs>
          <w:tab w:val="clear" w:pos="420"/>
          <w:tab w:val="num" w:pos="851"/>
        </w:tabs>
        <w:spacing w:beforeLines="120" w:before="288" w:afterLines="120" w:after="288" w:line="240" w:lineRule="atLeast"/>
        <w:ind w:left="851" w:hanging="851"/>
      </w:pPr>
      <w:bookmarkStart w:id="47" w:name="_Toc95317120"/>
      <w:bookmarkStart w:id="48" w:name="_Toc95318272"/>
      <w:bookmarkStart w:id="49" w:name="_Toc95323343"/>
      <w:bookmarkStart w:id="50" w:name="_Toc95323407"/>
      <w:bookmarkStart w:id="51" w:name="_Toc95323491"/>
      <w:bookmarkStart w:id="52" w:name="_Toc146640123"/>
      <w:bookmarkStart w:id="53" w:name="_Toc168322018"/>
      <w:bookmarkEnd w:id="47"/>
      <w:bookmarkEnd w:id="48"/>
      <w:bookmarkEnd w:id="49"/>
      <w:bookmarkEnd w:id="50"/>
      <w:bookmarkEnd w:id="51"/>
      <w:r w:rsidRPr="002962ED">
        <w:t>Compras suportadas por contrato formal</w:t>
      </w:r>
      <w:bookmarkEnd w:id="52"/>
      <w:bookmarkEnd w:id="53"/>
      <w:r w:rsidRPr="002962ED">
        <w:t xml:space="preserve"> </w:t>
      </w:r>
    </w:p>
    <w:p w14:paraId="5B32382E" w14:textId="4745F167" w:rsidR="004D3C45" w:rsidRPr="002962ED" w:rsidRDefault="003959F3" w:rsidP="00987E86">
      <w:pPr>
        <w:pStyle w:val="PargrafodaLista"/>
        <w:numPr>
          <w:ilvl w:val="0"/>
          <w:numId w:val="13"/>
        </w:numPr>
        <w:spacing w:beforeLines="120" w:before="288" w:afterLines="120" w:after="288" w:line="240" w:lineRule="atLeast"/>
        <w:ind w:left="851" w:hanging="851"/>
        <w:contextualSpacing w:val="0"/>
        <w:jc w:val="both"/>
        <w:rPr>
          <w:rFonts w:ascii="Verdana" w:hAnsi="Verdana"/>
          <w:sz w:val="20"/>
          <w:szCs w:val="20"/>
        </w:rPr>
      </w:pPr>
      <w:r w:rsidRPr="002962ED">
        <w:rPr>
          <w:rFonts w:ascii="Verdana" w:hAnsi="Verdana"/>
          <w:sz w:val="20"/>
          <w:szCs w:val="20"/>
        </w:rPr>
        <w:t>A</w:t>
      </w:r>
      <w:r w:rsidR="004D3C45" w:rsidRPr="002962ED">
        <w:rPr>
          <w:rFonts w:ascii="Verdana" w:hAnsi="Verdana"/>
          <w:sz w:val="20"/>
          <w:szCs w:val="20"/>
        </w:rPr>
        <w:t xml:space="preserve">s compras de bens ou contratações de serviços obrigatoriamente suportadas por contrato, independente da modalidade, são, no mínimo, as seguintes: </w:t>
      </w:r>
    </w:p>
    <w:p w14:paraId="593BC35F" w14:textId="7506AB9F"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Terceirização, cessão e contratação de mão de obra temporária ou não, independentemente do valor; </w:t>
      </w:r>
    </w:p>
    <w:p w14:paraId="261B1BBB" w14:textId="783C9118"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Obra de construção civil acima de R$ 50.000,00 (escopo demandado pela área de infraestrutura corporativa); </w:t>
      </w:r>
    </w:p>
    <w:p w14:paraId="196C609C" w14:textId="0F055023"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Plano de saúde, odontológico, previdência privada e correlatos, independentemente do valor; </w:t>
      </w:r>
    </w:p>
    <w:p w14:paraId="6D450EA5" w14:textId="610BDC49"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Transporte de funcionários, independentemente do valor; </w:t>
      </w:r>
    </w:p>
    <w:p w14:paraId="464D9717" w14:textId="1C81E8C8"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Transporte de cargas (fretes) quando não realizados de forma spot; </w:t>
      </w:r>
    </w:p>
    <w:p w14:paraId="7F891C83" w14:textId="50CF7F48"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Consultorias, independentemente do valor, a exemplo – mas não se limitando – de: gestão, finanças, recursos humanos, branding, tecnologia, marketing; </w:t>
      </w:r>
    </w:p>
    <w:p w14:paraId="1074FCF2" w14:textId="7F38C236"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Locação de veículos (frota leve ou pesada), exceto a modalidade </w:t>
      </w:r>
      <w:proofErr w:type="spellStart"/>
      <w:r w:rsidRPr="002962ED">
        <w:rPr>
          <w:rFonts w:ascii="Verdana" w:hAnsi="Verdana"/>
          <w:sz w:val="20"/>
          <w:szCs w:val="20"/>
        </w:rPr>
        <w:t>rent</w:t>
      </w:r>
      <w:proofErr w:type="spellEnd"/>
      <w:r w:rsidRPr="002962ED">
        <w:rPr>
          <w:rFonts w:ascii="Verdana" w:hAnsi="Verdana"/>
          <w:sz w:val="20"/>
          <w:szCs w:val="20"/>
        </w:rPr>
        <w:t xml:space="preserve"> a </w:t>
      </w:r>
      <w:proofErr w:type="spellStart"/>
      <w:r w:rsidRPr="002962ED">
        <w:rPr>
          <w:rFonts w:ascii="Verdana" w:hAnsi="Verdana"/>
          <w:sz w:val="20"/>
          <w:szCs w:val="20"/>
        </w:rPr>
        <w:t>car</w:t>
      </w:r>
      <w:proofErr w:type="spellEnd"/>
      <w:r w:rsidRPr="002962ED">
        <w:rPr>
          <w:rFonts w:ascii="Verdana" w:hAnsi="Verdana"/>
          <w:sz w:val="20"/>
          <w:szCs w:val="20"/>
        </w:rPr>
        <w:t xml:space="preserve">; </w:t>
      </w:r>
    </w:p>
    <w:p w14:paraId="0D759083" w14:textId="576697BD"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Serviços de alimentação (refeitório), independentemente do valor; </w:t>
      </w:r>
    </w:p>
    <w:p w14:paraId="4171F56F" w14:textId="6D220498" w:rsidR="004D3C45" w:rsidRPr="002962ED"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 xml:space="preserve">Quando houver compartilhamento massivo de dados; </w:t>
      </w:r>
    </w:p>
    <w:p w14:paraId="09CEB42E" w14:textId="16C4F1CA" w:rsidR="004D3C45" w:rsidRDefault="004D3C45" w:rsidP="00987E86">
      <w:pPr>
        <w:pStyle w:val="PargrafodaLista"/>
        <w:numPr>
          <w:ilvl w:val="0"/>
          <w:numId w:val="12"/>
        </w:numPr>
        <w:spacing w:beforeLines="120" w:before="288" w:afterLines="120" w:after="288" w:line="240" w:lineRule="atLeast"/>
        <w:ind w:hanging="577"/>
        <w:contextualSpacing w:val="0"/>
        <w:jc w:val="both"/>
        <w:rPr>
          <w:rFonts w:ascii="Verdana" w:hAnsi="Verdana"/>
          <w:sz w:val="20"/>
          <w:szCs w:val="20"/>
        </w:rPr>
      </w:pPr>
      <w:r w:rsidRPr="002962ED">
        <w:rPr>
          <w:rFonts w:ascii="Verdana" w:hAnsi="Verdana"/>
          <w:sz w:val="20"/>
          <w:szCs w:val="20"/>
        </w:rPr>
        <w:t>Demais materiais ou serviços não especificados nas modalidades anteriores, mas que sejam considerados pela Diretoria</w:t>
      </w:r>
      <w:r w:rsidR="00E96848">
        <w:rPr>
          <w:rFonts w:ascii="Verdana" w:hAnsi="Verdana"/>
          <w:sz w:val="20"/>
          <w:szCs w:val="20"/>
        </w:rPr>
        <w:t xml:space="preserve"> Executiva</w:t>
      </w:r>
      <w:r w:rsidRPr="002962ED">
        <w:rPr>
          <w:rFonts w:ascii="Verdana" w:hAnsi="Verdana"/>
          <w:sz w:val="20"/>
          <w:szCs w:val="20"/>
        </w:rPr>
        <w:t xml:space="preserve"> de </w:t>
      </w:r>
      <w:proofErr w:type="spellStart"/>
      <w:r w:rsidRPr="00732922">
        <w:rPr>
          <w:rFonts w:ascii="Verdana" w:hAnsi="Verdana"/>
          <w:i/>
          <w:iCs/>
          <w:sz w:val="20"/>
          <w:szCs w:val="20"/>
        </w:rPr>
        <w:lastRenderedPageBreak/>
        <w:t>Supply</w:t>
      </w:r>
      <w:proofErr w:type="spellEnd"/>
      <w:r w:rsidRPr="00732922">
        <w:rPr>
          <w:rFonts w:ascii="Verdana" w:hAnsi="Verdana"/>
          <w:i/>
          <w:iCs/>
          <w:sz w:val="20"/>
          <w:szCs w:val="20"/>
        </w:rPr>
        <w:t xml:space="preserve"> Chain</w:t>
      </w:r>
      <w:r w:rsidRPr="002962ED">
        <w:rPr>
          <w:rFonts w:ascii="Verdana" w:hAnsi="Verdana"/>
          <w:sz w:val="20"/>
          <w:szCs w:val="20"/>
        </w:rPr>
        <w:t xml:space="preserve"> como de alto risco ou estratégicos para os objetivos da Unidade de </w:t>
      </w:r>
      <w:r w:rsidRPr="00F92639">
        <w:rPr>
          <w:rFonts w:ascii="Verdana" w:hAnsi="Verdana"/>
          <w:sz w:val="20"/>
          <w:szCs w:val="20"/>
        </w:rPr>
        <w:t>Negócio requisitante</w:t>
      </w:r>
      <w:r w:rsidR="00F92639" w:rsidRPr="00F92639">
        <w:rPr>
          <w:rFonts w:ascii="Verdana" w:hAnsi="Verdana"/>
          <w:sz w:val="20"/>
          <w:szCs w:val="20"/>
        </w:rPr>
        <w:t>.</w:t>
      </w:r>
    </w:p>
    <w:p w14:paraId="55B54CC8" w14:textId="77777777" w:rsidR="005F7A12" w:rsidRPr="00A3043A" w:rsidRDefault="005F7A12" w:rsidP="005F7A12">
      <w:pPr>
        <w:pStyle w:val="PargrafodaLista"/>
        <w:numPr>
          <w:ilvl w:val="0"/>
          <w:numId w:val="12"/>
        </w:numPr>
        <w:spacing w:beforeLines="120" w:before="288" w:afterLines="120" w:after="288" w:line="240" w:lineRule="atLeast"/>
        <w:contextualSpacing w:val="0"/>
        <w:jc w:val="both"/>
        <w:rPr>
          <w:rFonts w:ascii="Verdana" w:hAnsi="Verdana"/>
          <w:bCs/>
          <w:sz w:val="20"/>
          <w:szCs w:val="20"/>
        </w:rPr>
      </w:pPr>
      <w:proofErr w:type="spellStart"/>
      <w:r w:rsidRPr="00A3043A">
        <w:rPr>
          <w:rFonts w:ascii="Verdana" w:hAnsi="Verdana"/>
          <w:bCs/>
          <w:sz w:val="20"/>
          <w:szCs w:val="20"/>
        </w:rPr>
        <w:t>Capexs</w:t>
      </w:r>
      <w:proofErr w:type="spellEnd"/>
      <w:r w:rsidRPr="00A3043A">
        <w:rPr>
          <w:rFonts w:ascii="Verdana" w:hAnsi="Verdana"/>
          <w:bCs/>
          <w:sz w:val="20"/>
          <w:szCs w:val="20"/>
        </w:rPr>
        <w:t xml:space="preserve"> destinados à produção; </w:t>
      </w:r>
    </w:p>
    <w:p w14:paraId="274F88B9" w14:textId="77777777" w:rsidR="005F7A12" w:rsidRPr="00A3043A" w:rsidRDefault="005F7A12" w:rsidP="005F7A12">
      <w:pPr>
        <w:pStyle w:val="PargrafodaLista"/>
        <w:numPr>
          <w:ilvl w:val="0"/>
          <w:numId w:val="12"/>
        </w:numPr>
        <w:spacing w:beforeLines="120" w:before="288" w:afterLines="120" w:after="288" w:line="240" w:lineRule="atLeast"/>
        <w:contextualSpacing w:val="0"/>
        <w:jc w:val="both"/>
        <w:rPr>
          <w:rFonts w:ascii="Verdana" w:hAnsi="Verdana"/>
          <w:bCs/>
          <w:sz w:val="20"/>
          <w:szCs w:val="20"/>
        </w:rPr>
      </w:pPr>
      <w:proofErr w:type="spellStart"/>
      <w:r w:rsidRPr="00A3043A">
        <w:rPr>
          <w:rFonts w:ascii="Verdana" w:hAnsi="Verdana"/>
          <w:bCs/>
          <w:sz w:val="20"/>
          <w:szCs w:val="20"/>
        </w:rPr>
        <w:t>Capexs</w:t>
      </w:r>
      <w:proofErr w:type="spellEnd"/>
      <w:r w:rsidRPr="00A3043A">
        <w:rPr>
          <w:rFonts w:ascii="Verdana" w:hAnsi="Verdana"/>
          <w:bCs/>
          <w:sz w:val="20"/>
          <w:szCs w:val="20"/>
        </w:rPr>
        <w:t xml:space="preserve"> relacionados a projetos vitais; </w:t>
      </w:r>
    </w:p>
    <w:p w14:paraId="3A83184F" w14:textId="03E07576" w:rsidR="00A3043A" w:rsidRPr="00A3043A" w:rsidRDefault="00A3043A" w:rsidP="00A3043A">
      <w:pPr>
        <w:pStyle w:val="PargrafodaLista"/>
        <w:numPr>
          <w:ilvl w:val="2"/>
          <w:numId w:val="31"/>
        </w:numPr>
        <w:spacing w:beforeLines="120" w:before="288" w:afterLines="120" w:after="288" w:line="240" w:lineRule="atLeast"/>
        <w:ind w:left="851" w:hanging="851"/>
        <w:jc w:val="both"/>
        <w:rPr>
          <w:rFonts w:ascii="Verdana" w:hAnsi="Verdana"/>
          <w:sz w:val="20"/>
          <w:szCs w:val="20"/>
        </w:rPr>
      </w:pPr>
      <w:r w:rsidRPr="00A3043A">
        <w:rPr>
          <w:rFonts w:ascii="Verdana" w:hAnsi="Verdana"/>
          <w:sz w:val="20"/>
          <w:szCs w:val="20"/>
        </w:rPr>
        <w:t>Os contratos devem ser elaborados preferencialmente sem cláusula de reajuste automático e com cláusula de rescisão imotivada pelo GEQ, seguindo, sempre que possível, o maior número de condições constantes no Edital de Compras.</w:t>
      </w:r>
    </w:p>
    <w:p w14:paraId="3270A5B2" w14:textId="77777777" w:rsidR="00A3043A" w:rsidRDefault="00A3043A" w:rsidP="00A3043A">
      <w:pPr>
        <w:pStyle w:val="PargrafodaLista"/>
        <w:spacing w:beforeLines="120" w:before="288" w:afterLines="120" w:after="288" w:line="240" w:lineRule="atLeast"/>
        <w:ind w:left="1428"/>
        <w:contextualSpacing w:val="0"/>
        <w:jc w:val="both"/>
        <w:rPr>
          <w:rFonts w:ascii="Verdana" w:hAnsi="Verdana"/>
          <w:sz w:val="20"/>
          <w:szCs w:val="20"/>
        </w:rPr>
      </w:pPr>
    </w:p>
    <w:p w14:paraId="782753B2" w14:textId="07F5FF54" w:rsidR="00A3043A" w:rsidRPr="001F42A3" w:rsidRDefault="00B93890" w:rsidP="00A3043A">
      <w:pPr>
        <w:pStyle w:val="Ttulo2"/>
        <w:numPr>
          <w:ilvl w:val="1"/>
          <w:numId w:val="1"/>
        </w:numPr>
        <w:tabs>
          <w:tab w:val="clear" w:pos="420"/>
          <w:tab w:val="num" w:pos="851"/>
        </w:tabs>
        <w:spacing w:beforeLines="120" w:before="288" w:afterLines="120" w:after="288" w:line="240" w:lineRule="atLeast"/>
        <w:ind w:left="851" w:hanging="851"/>
      </w:pPr>
      <w:bookmarkStart w:id="54" w:name="_Toc168322019"/>
      <w:r w:rsidRPr="001F42A3">
        <w:t xml:space="preserve">Aquisição de </w:t>
      </w:r>
      <w:proofErr w:type="spellStart"/>
      <w:r w:rsidR="00A3043A" w:rsidRPr="001F42A3">
        <w:t>Capex</w:t>
      </w:r>
      <w:bookmarkEnd w:id="54"/>
      <w:proofErr w:type="spellEnd"/>
    </w:p>
    <w:p w14:paraId="5B54FBF9" w14:textId="26117734" w:rsidR="00685ACC" w:rsidRPr="00A3043A" w:rsidRDefault="00685ACC" w:rsidP="00A3043A">
      <w:pPr>
        <w:pStyle w:val="PargrafodaLista"/>
        <w:numPr>
          <w:ilvl w:val="2"/>
          <w:numId w:val="32"/>
        </w:numPr>
        <w:spacing w:beforeLines="120" w:before="288" w:afterLines="120" w:after="288" w:line="240" w:lineRule="atLeast"/>
        <w:ind w:left="851" w:hanging="851"/>
        <w:contextualSpacing w:val="0"/>
        <w:jc w:val="both"/>
        <w:rPr>
          <w:rFonts w:ascii="Verdana" w:hAnsi="Verdana"/>
          <w:bCs/>
          <w:sz w:val="20"/>
          <w:szCs w:val="20"/>
        </w:rPr>
      </w:pPr>
      <w:r w:rsidRPr="00A3043A">
        <w:rPr>
          <w:rFonts w:ascii="Verdana" w:hAnsi="Verdana"/>
          <w:bCs/>
          <w:sz w:val="20"/>
          <w:szCs w:val="20"/>
        </w:rPr>
        <w:t xml:space="preserve">As aquisições de </w:t>
      </w:r>
      <w:proofErr w:type="spellStart"/>
      <w:r w:rsidRPr="00A3043A">
        <w:rPr>
          <w:rFonts w:ascii="Verdana" w:hAnsi="Verdana"/>
          <w:bCs/>
          <w:sz w:val="20"/>
          <w:szCs w:val="20"/>
        </w:rPr>
        <w:t>Capex</w:t>
      </w:r>
      <w:proofErr w:type="spellEnd"/>
      <w:r w:rsidRPr="00A3043A">
        <w:rPr>
          <w:rFonts w:ascii="Verdana" w:hAnsi="Verdana"/>
          <w:bCs/>
          <w:sz w:val="20"/>
          <w:szCs w:val="20"/>
        </w:rPr>
        <w:t xml:space="preserve"> </w:t>
      </w:r>
      <w:proofErr w:type="gramStart"/>
      <w:r w:rsidRPr="00A3043A">
        <w:rPr>
          <w:rFonts w:ascii="Verdana" w:hAnsi="Verdana"/>
          <w:bCs/>
          <w:sz w:val="20"/>
          <w:szCs w:val="20"/>
        </w:rPr>
        <w:t>listad</w:t>
      </w:r>
      <w:r w:rsidR="002962ED" w:rsidRPr="00A3043A">
        <w:rPr>
          <w:rFonts w:ascii="Verdana" w:hAnsi="Verdana"/>
          <w:bCs/>
          <w:sz w:val="20"/>
          <w:szCs w:val="20"/>
        </w:rPr>
        <w:t>os  nos</w:t>
      </w:r>
      <w:proofErr w:type="gramEnd"/>
      <w:r w:rsidR="002962ED" w:rsidRPr="00A3043A">
        <w:rPr>
          <w:rFonts w:ascii="Verdana" w:hAnsi="Verdana"/>
          <w:bCs/>
          <w:sz w:val="20"/>
          <w:szCs w:val="20"/>
        </w:rPr>
        <w:t xml:space="preserve"> pontos a seguir</w:t>
      </w:r>
      <w:r w:rsidRPr="00A3043A">
        <w:rPr>
          <w:rFonts w:ascii="Verdana" w:hAnsi="Verdana"/>
          <w:bCs/>
          <w:sz w:val="20"/>
          <w:szCs w:val="20"/>
        </w:rPr>
        <w:t xml:space="preserve"> devem ser formalizadas por meio de contrato, incluindo cláusulas que abranjam retenção de pagamento, penalidades por atraso na entrega e sanções por problemas técnicos nos equipamentos e serviços de instalação</w:t>
      </w:r>
      <w:r w:rsidR="00C6322B" w:rsidRPr="00A3043A">
        <w:rPr>
          <w:rFonts w:ascii="Verdana" w:hAnsi="Verdana"/>
          <w:bCs/>
          <w:sz w:val="20"/>
          <w:szCs w:val="20"/>
        </w:rPr>
        <w:t>, além da exigência de</w:t>
      </w:r>
      <w:r w:rsidRPr="00A3043A">
        <w:rPr>
          <w:rFonts w:ascii="Verdana" w:hAnsi="Verdana"/>
          <w:bCs/>
          <w:sz w:val="20"/>
          <w:szCs w:val="20"/>
        </w:rPr>
        <w:t xml:space="preserve"> uma retenção mínima de 10% sobre o valor total da compra, com pagamento a ser efetuado somente após a aprovação técnica </w:t>
      </w:r>
      <w:r w:rsidR="00C6322B" w:rsidRPr="00A3043A">
        <w:rPr>
          <w:rFonts w:ascii="Verdana" w:hAnsi="Verdana"/>
          <w:bCs/>
          <w:sz w:val="20"/>
          <w:szCs w:val="20"/>
        </w:rPr>
        <w:t xml:space="preserve">na entrega </w:t>
      </w:r>
      <w:r w:rsidRPr="00A3043A">
        <w:rPr>
          <w:rFonts w:ascii="Verdana" w:hAnsi="Verdana"/>
          <w:bCs/>
          <w:sz w:val="20"/>
          <w:szCs w:val="20"/>
        </w:rPr>
        <w:t>final</w:t>
      </w:r>
      <w:r w:rsidR="00C6322B" w:rsidRPr="00A3043A">
        <w:rPr>
          <w:rFonts w:ascii="Verdana" w:hAnsi="Verdana"/>
          <w:bCs/>
          <w:sz w:val="20"/>
          <w:szCs w:val="20"/>
        </w:rPr>
        <w:t xml:space="preserve"> do produto</w:t>
      </w:r>
      <w:r w:rsidR="00EC5625" w:rsidRPr="00A3043A">
        <w:rPr>
          <w:rFonts w:ascii="Verdana" w:hAnsi="Verdana"/>
          <w:bCs/>
          <w:sz w:val="20"/>
          <w:szCs w:val="20"/>
        </w:rPr>
        <w:t xml:space="preserve">, instalação ou </w:t>
      </w:r>
      <w:r w:rsidR="00C6322B" w:rsidRPr="00A3043A">
        <w:rPr>
          <w:rFonts w:ascii="Verdana" w:hAnsi="Verdana"/>
          <w:bCs/>
          <w:sz w:val="20"/>
          <w:szCs w:val="20"/>
        </w:rPr>
        <w:t>prestação do serviço</w:t>
      </w:r>
      <w:r w:rsidRPr="00A3043A">
        <w:rPr>
          <w:rFonts w:ascii="Verdana" w:hAnsi="Verdana"/>
          <w:bCs/>
          <w:sz w:val="20"/>
          <w:szCs w:val="20"/>
        </w:rPr>
        <w:t xml:space="preserve">. Esses pontos são: </w:t>
      </w:r>
    </w:p>
    <w:p w14:paraId="66535C71" w14:textId="748EBFD7" w:rsidR="00685ACC" w:rsidRPr="00A3043A" w:rsidRDefault="00685ACC" w:rsidP="00A3043A">
      <w:pPr>
        <w:pStyle w:val="PargrafodaLista"/>
        <w:numPr>
          <w:ilvl w:val="0"/>
          <w:numId w:val="14"/>
        </w:numPr>
        <w:spacing w:beforeLines="120" w:before="288" w:afterLines="120" w:after="288" w:line="240" w:lineRule="atLeast"/>
        <w:ind w:left="1418" w:hanging="567"/>
        <w:contextualSpacing w:val="0"/>
        <w:jc w:val="both"/>
        <w:rPr>
          <w:rFonts w:ascii="Verdana" w:hAnsi="Verdana"/>
          <w:bCs/>
          <w:sz w:val="20"/>
          <w:szCs w:val="20"/>
        </w:rPr>
      </w:pPr>
      <w:proofErr w:type="spellStart"/>
      <w:r w:rsidRPr="00A3043A">
        <w:rPr>
          <w:rFonts w:ascii="Verdana" w:hAnsi="Verdana"/>
          <w:bCs/>
          <w:sz w:val="20"/>
          <w:szCs w:val="20"/>
        </w:rPr>
        <w:t>Capexs</w:t>
      </w:r>
      <w:proofErr w:type="spellEnd"/>
      <w:r w:rsidRPr="00A3043A">
        <w:rPr>
          <w:rFonts w:ascii="Verdana" w:hAnsi="Verdana"/>
          <w:bCs/>
          <w:sz w:val="20"/>
          <w:szCs w:val="20"/>
        </w:rPr>
        <w:t xml:space="preserve"> destinados à produção; </w:t>
      </w:r>
    </w:p>
    <w:p w14:paraId="270E44DA" w14:textId="1796133B" w:rsidR="00685ACC" w:rsidRPr="00A3043A" w:rsidRDefault="00685ACC" w:rsidP="00A3043A">
      <w:pPr>
        <w:pStyle w:val="PargrafodaLista"/>
        <w:numPr>
          <w:ilvl w:val="0"/>
          <w:numId w:val="14"/>
        </w:numPr>
        <w:spacing w:beforeLines="120" w:before="288" w:afterLines="120" w:after="288" w:line="240" w:lineRule="atLeast"/>
        <w:ind w:left="1418" w:hanging="567"/>
        <w:contextualSpacing w:val="0"/>
        <w:jc w:val="both"/>
        <w:rPr>
          <w:rFonts w:ascii="Verdana" w:hAnsi="Verdana"/>
          <w:bCs/>
          <w:sz w:val="20"/>
          <w:szCs w:val="20"/>
        </w:rPr>
      </w:pPr>
      <w:proofErr w:type="spellStart"/>
      <w:r w:rsidRPr="00A3043A">
        <w:rPr>
          <w:rFonts w:ascii="Verdana" w:hAnsi="Verdana"/>
          <w:bCs/>
          <w:sz w:val="20"/>
          <w:szCs w:val="20"/>
        </w:rPr>
        <w:t>Capexs</w:t>
      </w:r>
      <w:proofErr w:type="spellEnd"/>
      <w:r w:rsidRPr="00A3043A">
        <w:rPr>
          <w:rFonts w:ascii="Verdana" w:hAnsi="Verdana"/>
          <w:bCs/>
          <w:sz w:val="20"/>
          <w:szCs w:val="20"/>
        </w:rPr>
        <w:t xml:space="preserve"> relacionados a projetos vitais; </w:t>
      </w:r>
    </w:p>
    <w:p w14:paraId="0039A62D" w14:textId="53CB69A0" w:rsidR="00685ACC" w:rsidRPr="00A3043A" w:rsidRDefault="00685ACC" w:rsidP="00A3043A">
      <w:pPr>
        <w:pStyle w:val="PargrafodaLista"/>
        <w:numPr>
          <w:ilvl w:val="0"/>
          <w:numId w:val="14"/>
        </w:numPr>
        <w:spacing w:beforeLines="120" w:before="288" w:afterLines="120" w:after="288" w:line="240" w:lineRule="atLeast"/>
        <w:ind w:left="1418" w:hanging="567"/>
        <w:contextualSpacing w:val="0"/>
        <w:jc w:val="both"/>
        <w:rPr>
          <w:rFonts w:ascii="Verdana" w:hAnsi="Verdana"/>
          <w:bCs/>
          <w:sz w:val="20"/>
          <w:szCs w:val="20"/>
        </w:rPr>
      </w:pPr>
      <w:r w:rsidRPr="00A3043A">
        <w:rPr>
          <w:rFonts w:ascii="Verdana" w:hAnsi="Verdana"/>
          <w:bCs/>
          <w:sz w:val="20"/>
          <w:szCs w:val="20"/>
        </w:rPr>
        <w:t xml:space="preserve">Outros </w:t>
      </w:r>
      <w:proofErr w:type="spellStart"/>
      <w:r w:rsidRPr="00A3043A">
        <w:rPr>
          <w:rFonts w:ascii="Verdana" w:hAnsi="Verdana"/>
          <w:bCs/>
          <w:sz w:val="20"/>
          <w:szCs w:val="20"/>
        </w:rPr>
        <w:t>Capexs</w:t>
      </w:r>
      <w:proofErr w:type="spellEnd"/>
      <w:r w:rsidRPr="00A3043A">
        <w:rPr>
          <w:rFonts w:ascii="Verdana" w:hAnsi="Verdana"/>
          <w:bCs/>
          <w:sz w:val="20"/>
          <w:szCs w:val="20"/>
        </w:rPr>
        <w:t xml:space="preserve"> não especificados nas categorias anteriores, mas considerados de alto risco ou estratégicos para os objetivos da Unidade de Negócio requisitante pel</w:t>
      </w:r>
      <w:r w:rsidR="00EC5625" w:rsidRPr="00A3043A">
        <w:rPr>
          <w:rFonts w:ascii="Verdana" w:hAnsi="Verdana"/>
          <w:bCs/>
          <w:sz w:val="20"/>
          <w:szCs w:val="20"/>
        </w:rPr>
        <w:t xml:space="preserve">a Diretoria de </w:t>
      </w:r>
      <w:proofErr w:type="spellStart"/>
      <w:r w:rsidR="00EC5625" w:rsidRPr="00A3043A">
        <w:rPr>
          <w:rFonts w:ascii="Verdana" w:hAnsi="Verdana"/>
          <w:bCs/>
          <w:i/>
          <w:iCs/>
          <w:sz w:val="20"/>
          <w:szCs w:val="20"/>
        </w:rPr>
        <w:t>Supply</w:t>
      </w:r>
      <w:proofErr w:type="spellEnd"/>
      <w:r w:rsidR="00EC5625" w:rsidRPr="00A3043A">
        <w:rPr>
          <w:rFonts w:ascii="Verdana" w:hAnsi="Verdana"/>
          <w:bCs/>
          <w:i/>
          <w:iCs/>
          <w:sz w:val="20"/>
          <w:szCs w:val="20"/>
        </w:rPr>
        <w:t xml:space="preserve"> Chain</w:t>
      </w:r>
      <w:r w:rsidR="004B2CA3" w:rsidRPr="00A3043A">
        <w:rPr>
          <w:rFonts w:ascii="Verdana" w:hAnsi="Verdana"/>
          <w:bCs/>
          <w:sz w:val="20"/>
          <w:szCs w:val="20"/>
        </w:rPr>
        <w:t>.</w:t>
      </w:r>
    </w:p>
    <w:p w14:paraId="28AC1F2F" w14:textId="00F913CA" w:rsidR="002962ED" w:rsidRPr="00A3043A" w:rsidRDefault="0044385F" w:rsidP="00A3043A">
      <w:pPr>
        <w:pStyle w:val="PargrafodaLista"/>
        <w:numPr>
          <w:ilvl w:val="2"/>
          <w:numId w:val="32"/>
        </w:numPr>
        <w:spacing w:beforeLines="120" w:before="288" w:afterLines="120" w:after="288" w:line="240" w:lineRule="atLeast"/>
        <w:ind w:left="851" w:hanging="851"/>
        <w:contextualSpacing w:val="0"/>
        <w:jc w:val="both"/>
        <w:rPr>
          <w:rFonts w:ascii="Verdana" w:hAnsi="Verdana"/>
          <w:bCs/>
          <w:sz w:val="20"/>
          <w:szCs w:val="20"/>
        </w:rPr>
      </w:pPr>
      <w:r w:rsidRPr="00A3043A">
        <w:rPr>
          <w:rFonts w:ascii="Verdana" w:hAnsi="Verdana"/>
          <w:bCs/>
          <w:sz w:val="20"/>
          <w:szCs w:val="20"/>
        </w:rPr>
        <w:t>Para compras de CAPEX</w:t>
      </w:r>
      <w:r w:rsidR="00EC5625" w:rsidRPr="00A3043A">
        <w:rPr>
          <w:rFonts w:ascii="Verdana" w:hAnsi="Verdana"/>
          <w:bCs/>
          <w:sz w:val="20"/>
          <w:szCs w:val="20"/>
        </w:rPr>
        <w:t xml:space="preserve"> de equipamentos</w:t>
      </w:r>
      <w:r w:rsidR="00731285" w:rsidRPr="00A3043A">
        <w:rPr>
          <w:rFonts w:ascii="Verdana" w:hAnsi="Verdana"/>
          <w:bCs/>
          <w:sz w:val="20"/>
          <w:szCs w:val="20"/>
        </w:rPr>
        <w:t xml:space="preserve"> deve</w:t>
      </w:r>
      <w:r w:rsidR="00EC5625" w:rsidRPr="00A3043A">
        <w:rPr>
          <w:rFonts w:ascii="Verdana" w:hAnsi="Verdana"/>
          <w:bCs/>
          <w:sz w:val="20"/>
          <w:szCs w:val="20"/>
        </w:rPr>
        <w:t>-se consultar</w:t>
      </w:r>
      <w:r w:rsidRPr="00A3043A">
        <w:rPr>
          <w:rFonts w:ascii="Verdana" w:hAnsi="Verdana"/>
          <w:bCs/>
          <w:sz w:val="20"/>
          <w:szCs w:val="20"/>
        </w:rPr>
        <w:t xml:space="preserve"> a possibilidade de financiamento junto à </w:t>
      </w:r>
      <w:r w:rsidR="00EA5445" w:rsidRPr="00A3043A">
        <w:rPr>
          <w:rFonts w:ascii="Verdana" w:hAnsi="Verdana"/>
          <w:bCs/>
          <w:sz w:val="20"/>
          <w:szCs w:val="20"/>
        </w:rPr>
        <w:t xml:space="preserve">Diretoria de </w:t>
      </w:r>
      <w:r w:rsidRPr="00A3043A">
        <w:rPr>
          <w:rFonts w:ascii="Verdana" w:hAnsi="Verdana"/>
          <w:bCs/>
          <w:sz w:val="20"/>
          <w:szCs w:val="20"/>
        </w:rPr>
        <w:t>Tesouraria Corporativ</w:t>
      </w:r>
      <w:r w:rsidR="00EA5445" w:rsidRPr="00A3043A">
        <w:rPr>
          <w:rFonts w:ascii="Verdana" w:hAnsi="Verdana"/>
          <w:bCs/>
          <w:sz w:val="20"/>
          <w:szCs w:val="20"/>
        </w:rPr>
        <w:t>a</w:t>
      </w:r>
      <w:r w:rsidR="00EC5625" w:rsidRPr="00A3043A">
        <w:rPr>
          <w:rFonts w:ascii="Verdana" w:hAnsi="Verdana"/>
          <w:bCs/>
          <w:sz w:val="20"/>
          <w:szCs w:val="20"/>
        </w:rPr>
        <w:t xml:space="preserve">, para decisão conjunta pela Diretoria de </w:t>
      </w:r>
      <w:proofErr w:type="spellStart"/>
      <w:r w:rsidR="00EC5625" w:rsidRPr="00A3043A">
        <w:rPr>
          <w:rFonts w:ascii="Verdana" w:hAnsi="Verdana"/>
          <w:bCs/>
          <w:i/>
          <w:iCs/>
          <w:sz w:val="20"/>
          <w:szCs w:val="20"/>
        </w:rPr>
        <w:t>Supply</w:t>
      </w:r>
      <w:proofErr w:type="spellEnd"/>
      <w:r w:rsidR="00EC5625" w:rsidRPr="00A3043A">
        <w:rPr>
          <w:rFonts w:ascii="Verdana" w:hAnsi="Verdana"/>
          <w:bCs/>
          <w:i/>
          <w:iCs/>
          <w:sz w:val="20"/>
          <w:szCs w:val="20"/>
        </w:rPr>
        <w:t xml:space="preserve"> Chain</w:t>
      </w:r>
      <w:r w:rsidR="00EC5625" w:rsidRPr="00A3043A">
        <w:rPr>
          <w:rFonts w:ascii="Verdana" w:hAnsi="Verdana"/>
          <w:bCs/>
          <w:sz w:val="20"/>
          <w:szCs w:val="20"/>
        </w:rPr>
        <w:t xml:space="preserve"> e Diretoria Executiva Financeira.</w:t>
      </w:r>
    </w:p>
    <w:p w14:paraId="5EB3DBD2" w14:textId="1577271B" w:rsidR="002962ED" w:rsidRPr="00A3043A" w:rsidRDefault="00EA5445" w:rsidP="00A3043A">
      <w:pPr>
        <w:pStyle w:val="PargrafodaLista"/>
        <w:numPr>
          <w:ilvl w:val="2"/>
          <w:numId w:val="32"/>
        </w:numPr>
        <w:spacing w:beforeLines="120" w:before="288" w:afterLines="120" w:after="288" w:line="240" w:lineRule="atLeast"/>
        <w:ind w:left="851" w:hanging="851"/>
        <w:contextualSpacing w:val="0"/>
        <w:jc w:val="both"/>
        <w:rPr>
          <w:rFonts w:ascii="Verdana" w:hAnsi="Verdana"/>
          <w:sz w:val="20"/>
          <w:szCs w:val="20"/>
        </w:rPr>
      </w:pPr>
      <w:r w:rsidRPr="00A3043A">
        <w:rPr>
          <w:rFonts w:ascii="Verdana" w:hAnsi="Verdana"/>
          <w:bCs/>
          <w:sz w:val="20"/>
          <w:szCs w:val="20"/>
        </w:rPr>
        <w:t>Quando aplicável, a</w:t>
      </w:r>
      <w:r w:rsidR="005A4122" w:rsidRPr="00A3043A">
        <w:rPr>
          <w:rFonts w:ascii="Verdana" w:hAnsi="Verdana"/>
          <w:bCs/>
          <w:sz w:val="20"/>
          <w:szCs w:val="20"/>
        </w:rPr>
        <w:t xml:space="preserve"> Diretoria de </w:t>
      </w:r>
      <w:proofErr w:type="spellStart"/>
      <w:r w:rsidR="005A4122" w:rsidRPr="00A3043A">
        <w:rPr>
          <w:rFonts w:ascii="Verdana" w:hAnsi="Verdana"/>
          <w:bCs/>
          <w:i/>
          <w:iCs/>
          <w:sz w:val="20"/>
          <w:szCs w:val="20"/>
        </w:rPr>
        <w:t>Supply</w:t>
      </w:r>
      <w:proofErr w:type="spellEnd"/>
      <w:r w:rsidR="005A4122" w:rsidRPr="00A3043A">
        <w:rPr>
          <w:rFonts w:ascii="Verdana" w:hAnsi="Verdana"/>
          <w:bCs/>
          <w:i/>
          <w:iCs/>
          <w:sz w:val="20"/>
          <w:szCs w:val="20"/>
        </w:rPr>
        <w:t xml:space="preserve"> Chain</w:t>
      </w:r>
      <w:r w:rsidR="005A4122" w:rsidRPr="00A3043A">
        <w:rPr>
          <w:rFonts w:ascii="Verdana" w:hAnsi="Verdana"/>
          <w:bCs/>
          <w:sz w:val="20"/>
          <w:szCs w:val="20"/>
        </w:rPr>
        <w:t xml:space="preserve">, deve </w:t>
      </w:r>
      <w:r w:rsidR="008C7895" w:rsidRPr="00A3043A">
        <w:rPr>
          <w:rFonts w:ascii="Verdana" w:hAnsi="Verdana"/>
          <w:bCs/>
          <w:sz w:val="20"/>
          <w:szCs w:val="20"/>
        </w:rPr>
        <w:t>considerar estudo de viab</w:t>
      </w:r>
      <w:r w:rsidR="005A4122" w:rsidRPr="00A3043A">
        <w:rPr>
          <w:rFonts w:ascii="Verdana" w:hAnsi="Verdana"/>
          <w:bCs/>
          <w:sz w:val="20"/>
          <w:szCs w:val="20"/>
        </w:rPr>
        <w:t>i</w:t>
      </w:r>
      <w:r w:rsidR="008C7895" w:rsidRPr="00A3043A">
        <w:rPr>
          <w:rFonts w:ascii="Verdana" w:hAnsi="Verdana"/>
          <w:bCs/>
          <w:sz w:val="20"/>
          <w:szCs w:val="20"/>
        </w:rPr>
        <w:t>li</w:t>
      </w:r>
      <w:r w:rsidR="005A4122" w:rsidRPr="00A3043A">
        <w:rPr>
          <w:rFonts w:ascii="Verdana" w:hAnsi="Verdana"/>
          <w:bCs/>
          <w:sz w:val="20"/>
          <w:szCs w:val="20"/>
        </w:rPr>
        <w:t xml:space="preserve">dade </w:t>
      </w:r>
      <w:r w:rsidR="008C7895" w:rsidRPr="00A3043A">
        <w:rPr>
          <w:rFonts w:ascii="Verdana" w:hAnsi="Verdana"/>
          <w:bCs/>
          <w:sz w:val="20"/>
          <w:szCs w:val="20"/>
        </w:rPr>
        <w:t xml:space="preserve">entre </w:t>
      </w:r>
      <w:r w:rsidR="005A4122" w:rsidRPr="00A3043A">
        <w:rPr>
          <w:rFonts w:ascii="Verdana" w:hAnsi="Verdana"/>
          <w:bCs/>
          <w:sz w:val="20"/>
          <w:szCs w:val="20"/>
        </w:rPr>
        <w:t>Locação</w:t>
      </w:r>
      <w:r w:rsidR="008C7895" w:rsidRPr="00A3043A">
        <w:rPr>
          <w:rFonts w:ascii="Verdana" w:hAnsi="Verdana"/>
          <w:bCs/>
          <w:sz w:val="20"/>
          <w:szCs w:val="20"/>
        </w:rPr>
        <w:t xml:space="preserve"> e </w:t>
      </w:r>
      <w:r w:rsidR="00B4190C" w:rsidRPr="00A3043A">
        <w:rPr>
          <w:rFonts w:ascii="Verdana" w:hAnsi="Verdana"/>
          <w:bCs/>
          <w:sz w:val="20"/>
          <w:szCs w:val="20"/>
        </w:rPr>
        <w:t>C</w:t>
      </w:r>
      <w:r w:rsidR="008C7895" w:rsidRPr="00A3043A">
        <w:rPr>
          <w:rFonts w:ascii="Verdana" w:hAnsi="Verdana"/>
          <w:bCs/>
          <w:sz w:val="20"/>
          <w:szCs w:val="20"/>
        </w:rPr>
        <w:t>ompra para aq</w:t>
      </w:r>
      <w:r w:rsidR="0044385F" w:rsidRPr="00A3043A">
        <w:rPr>
          <w:rFonts w:ascii="Verdana" w:hAnsi="Verdana"/>
          <w:bCs/>
          <w:sz w:val="20"/>
          <w:szCs w:val="20"/>
        </w:rPr>
        <w:t>uisições</w:t>
      </w:r>
      <w:r w:rsidR="005A4122" w:rsidRPr="00A3043A">
        <w:rPr>
          <w:rFonts w:ascii="Verdana" w:hAnsi="Verdana"/>
          <w:bCs/>
          <w:sz w:val="20"/>
          <w:szCs w:val="20"/>
        </w:rPr>
        <w:t xml:space="preserve"> de</w:t>
      </w:r>
      <w:r w:rsidR="008C7895" w:rsidRPr="00A3043A">
        <w:rPr>
          <w:rFonts w:ascii="Verdana" w:hAnsi="Verdana"/>
          <w:bCs/>
          <w:sz w:val="20"/>
          <w:szCs w:val="20"/>
        </w:rPr>
        <w:t xml:space="preserve"> CAPEX de equipamentos</w:t>
      </w:r>
      <w:r w:rsidR="00B4190C" w:rsidRPr="00A3043A">
        <w:rPr>
          <w:rFonts w:ascii="Verdana" w:hAnsi="Verdana"/>
          <w:bCs/>
          <w:sz w:val="20"/>
          <w:szCs w:val="20"/>
        </w:rPr>
        <w:t xml:space="preserve">, </w:t>
      </w:r>
      <w:r w:rsidRPr="00A3043A">
        <w:rPr>
          <w:rFonts w:ascii="Verdana" w:hAnsi="Verdana"/>
          <w:bCs/>
          <w:sz w:val="20"/>
          <w:szCs w:val="20"/>
        </w:rPr>
        <w:t xml:space="preserve">seguindo metodologia definida pela Diretoria de Tesouraria Corporativa, bem como </w:t>
      </w:r>
      <w:r w:rsidR="00B4190C" w:rsidRPr="00A3043A">
        <w:rPr>
          <w:rFonts w:ascii="Verdana" w:hAnsi="Verdana"/>
          <w:bCs/>
          <w:sz w:val="20"/>
          <w:szCs w:val="20"/>
        </w:rPr>
        <w:t>deve</w:t>
      </w:r>
      <w:r w:rsidR="005A4122" w:rsidRPr="00A3043A">
        <w:rPr>
          <w:rFonts w:ascii="Verdana" w:hAnsi="Verdana"/>
          <w:bCs/>
          <w:sz w:val="20"/>
          <w:szCs w:val="20"/>
        </w:rPr>
        <w:t xml:space="preserve"> envolver</w:t>
      </w:r>
      <w:r w:rsidRPr="00A3043A">
        <w:rPr>
          <w:rFonts w:ascii="Verdana" w:hAnsi="Verdana"/>
          <w:bCs/>
          <w:sz w:val="20"/>
          <w:szCs w:val="20"/>
        </w:rPr>
        <w:t xml:space="preserve"> a </w:t>
      </w:r>
      <w:r w:rsidR="005A4122" w:rsidRPr="00A3043A">
        <w:rPr>
          <w:rFonts w:ascii="Verdana" w:hAnsi="Verdana"/>
          <w:bCs/>
          <w:sz w:val="20"/>
          <w:szCs w:val="20"/>
        </w:rPr>
        <w:t xml:space="preserve">área </w:t>
      </w:r>
      <w:r w:rsidRPr="00A3043A">
        <w:rPr>
          <w:rFonts w:ascii="Verdana" w:hAnsi="Verdana"/>
          <w:bCs/>
          <w:sz w:val="20"/>
          <w:szCs w:val="20"/>
        </w:rPr>
        <w:t>técnica especializada na categoria par</w:t>
      </w:r>
      <w:r w:rsidR="005A4122" w:rsidRPr="00A3043A">
        <w:rPr>
          <w:rFonts w:ascii="Verdana" w:hAnsi="Verdana"/>
          <w:bCs/>
          <w:sz w:val="20"/>
          <w:szCs w:val="20"/>
        </w:rPr>
        <w:t>a validação dos critérios técnicos</w:t>
      </w:r>
      <w:r w:rsidR="00B4190C" w:rsidRPr="00A3043A">
        <w:rPr>
          <w:rFonts w:ascii="Verdana" w:hAnsi="Verdana"/>
          <w:bCs/>
          <w:sz w:val="20"/>
          <w:szCs w:val="20"/>
        </w:rPr>
        <w:t xml:space="preserve">, para decisão conjunta pela Diretoria de </w:t>
      </w:r>
      <w:proofErr w:type="spellStart"/>
      <w:r w:rsidR="00B4190C" w:rsidRPr="00A3043A">
        <w:rPr>
          <w:rFonts w:ascii="Verdana" w:hAnsi="Verdana"/>
          <w:bCs/>
          <w:i/>
          <w:iCs/>
          <w:sz w:val="20"/>
          <w:szCs w:val="20"/>
        </w:rPr>
        <w:t>Supply</w:t>
      </w:r>
      <w:proofErr w:type="spellEnd"/>
      <w:r w:rsidR="00B4190C" w:rsidRPr="00A3043A">
        <w:rPr>
          <w:rFonts w:ascii="Verdana" w:hAnsi="Verdana"/>
          <w:bCs/>
          <w:i/>
          <w:iCs/>
          <w:sz w:val="20"/>
          <w:szCs w:val="20"/>
        </w:rPr>
        <w:t xml:space="preserve"> Chain</w:t>
      </w:r>
      <w:r w:rsidR="00B4190C" w:rsidRPr="00A3043A">
        <w:rPr>
          <w:rFonts w:ascii="Verdana" w:hAnsi="Verdana"/>
          <w:bCs/>
          <w:sz w:val="20"/>
          <w:szCs w:val="20"/>
        </w:rPr>
        <w:t xml:space="preserve"> e Diretoria Executiva Financeira.</w:t>
      </w:r>
    </w:p>
    <w:p w14:paraId="579A6785" w14:textId="77777777" w:rsidR="002F2DE5" w:rsidRPr="00731285" w:rsidRDefault="002F2DE5" w:rsidP="00731285">
      <w:pPr>
        <w:pStyle w:val="Ttulo2"/>
        <w:numPr>
          <w:ilvl w:val="1"/>
          <w:numId w:val="1"/>
        </w:numPr>
        <w:tabs>
          <w:tab w:val="clear" w:pos="420"/>
          <w:tab w:val="num" w:pos="851"/>
        </w:tabs>
        <w:spacing w:beforeLines="120" w:before="288" w:afterLines="120" w:after="288" w:line="240" w:lineRule="atLeast"/>
        <w:ind w:left="851" w:hanging="851"/>
      </w:pPr>
      <w:bookmarkStart w:id="55" w:name="_Toc146640124"/>
      <w:bookmarkStart w:id="56" w:name="_Toc168322020"/>
      <w:r w:rsidRPr="00731285">
        <w:t>Bloqueio de fornecedores</w:t>
      </w:r>
      <w:bookmarkEnd w:id="55"/>
      <w:bookmarkEnd w:id="56"/>
    </w:p>
    <w:p w14:paraId="59823CAC" w14:textId="77777777" w:rsidR="002F2DE5" w:rsidRPr="00731285" w:rsidRDefault="002F2DE5" w:rsidP="00731285">
      <w:pPr>
        <w:numPr>
          <w:ilvl w:val="4"/>
          <w:numId w:val="1"/>
        </w:numPr>
        <w:tabs>
          <w:tab w:val="clear" w:pos="1080"/>
          <w:tab w:val="num" w:pos="851"/>
          <w:tab w:val="num" w:pos="4820"/>
        </w:tabs>
        <w:spacing w:beforeLines="120" w:before="288" w:afterLines="120" w:after="288" w:line="240" w:lineRule="atLeast"/>
        <w:ind w:left="851" w:hanging="851"/>
        <w:jc w:val="both"/>
        <w:rPr>
          <w:rFonts w:ascii="Verdana" w:eastAsia="Verdana" w:hAnsi="Verdana" w:cs="Verdana"/>
        </w:rPr>
      </w:pPr>
      <w:r w:rsidRPr="00731285">
        <w:rPr>
          <w:rFonts w:ascii="Verdana" w:hAnsi="Verdana" w:cs="Verdana"/>
        </w:rPr>
        <w:t xml:space="preserve">O bloqueio de fornecedores, bem como distrato de contratos, deve ser realizado quando o fornecedor não atender adequadamente as condições técnicas e/ou comerciais exigidas ou não cumprir as diretrizes do Código de Conduta do GEQ, sendo necessária deliberação conjunta e formal da Diretoria de </w:t>
      </w:r>
      <w:proofErr w:type="spellStart"/>
      <w:r w:rsidRPr="00732922">
        <w:rPr>
          <w:rFonts w:ascii="Verdana" w:hAnsi="Verdana" w:cs="Verdana"/>
          <w:i/>
          <w:iCs/>
        </w:rPr>
        <w:t>Supply</w:t>
      </w:r>
      <w:proofErr w:type="spellEnd"/>
      <w:r w:rsidRPr="00732922">
        <w:rPr>
          <w:rFonts w:ascii="Verdana" w:hAnsi="Verdana" w:cs="Verdana"/>
          <w:i/>
          <w:iCs/>
        </w:rPr>
        <w:t xml:space="preserve"> Chain</w:t>
      </w:r>
      <w:r w:rsidRPr="00731285">
        <w:rPr>
          <w:rFonts w:ascii="Verdana" w:hAnsi="Verdana" w:cs="Verdana"/>
        </w:rPr>
        <w:t xml:space="preserve"> e da área de Qualidade/Gestão de fornecedores </w:t>
      </w:r>
      <w:r w:rsidRPr="00731285">
        <w:rPr>
          <w:rFonts w:ascii="Verdana" w:hAnsi="Verdana" w:cs="Verdana"/>
        </w:rPr>
        <w:lastRenderedPageBreak/>
        <w:t>da Unidade de Negócio com anuência do Departamento Jurídico e da Diretoria Administrativa Financeira do Negócio.</w:t>
      </w:r>
    </w:p>
    <w:p w14:paraId="745E723D" w14:textId="77777777" w:rsidR="002F2DE5" w:rsidRPr="00731285" w:rsidRDefault="002F2DE5" w:rsidP="00731285">
      <w:pPr>
        <w:pStyle w:val="Ttulo2"/>
        <w:numPr>
          <w:ilvl w:val="1"/>
          <w:numId w:val="1"/>
        </w:numPr>
        <w:tabs>
          <w:tab w:val="clear" w:pos="420"/>
          <w:tab w:val="num" w:pos="851"/>
        </w:tabs>
        <w:spacing w:beforeLines="120" w:before="288" w:afterLines="120" w:after="288" w:line="240" w:lineRule="atLeast"/>
        <w:ind w:left="851" w:hanging="851"/>
      </w:pPr>
      <w:bookmarkStart w:id="57" w:name="_Toc95323494"/>
      <w:bookmarkStart w:id="58" w:name="_Toc95323410"/>
      <w:bookmarkStart w:id="59" w:name="_Toc92825020"/>
      <w:bookmarkStart w:id="60" w:name="_Toc95317123"/>
      <w:bookmarkStart w:id="61" w:name="_Toc95318275"/>
      <w:bookmarkStart w:id="62" w:name="_Toc95317124"/>
      <w:bookmarkStart w:id="63" w:name="_Toc95318276"/>
      <w:bookmarkStart w:id="64" w:name="_Toc95323346"/>
      <w:bookmarkStart w:id="65" w:name="_Toc95323412"/>
      <w:bookmarkStart w:id="66" w:name="_Toc95317126"/>
      <w:bookmarkStart w:id="67" w:name="_Toc95318278"/>
      <w:bookmarkStart w:id="68" w:name="_Toc146640125"/>
      <w:bookmarkStart w:id="69" w:name="_Toc168322021"/>
      <w:bookmarkStart w:id="70" w:name="_Toc326600093"/>
      <w:bookmarkStart w:id="71" w:name="_Ref326682200"/>
      <w:bookmarkEnd w:id="34"/>
      <w:bookmarkEnd w:id="57"/>
      <w:bookmarkEnd w:id="58"/>
      <w:bookmarkEnd w:id="59"/>
      <w:bookmarkEnd w:id="60"/>
      <w:bookmarkEnd w:id="61"/>
      <w:bookmarkEnd w:id="62"/>
      <w:bookmarkEnd w:id="63"/>
      <w:bookmarkEnd w:id="64"/>
      <w:bookmarkEnd w:id="65"/>
      <w:bookmarkEnd w:id="66"/>
      <w:bookmarkEnd w:id="67"/>
      <w:r w:rsidRPr="00731285">
        <w:t>Negociações de compra</w:t>
      </w:r>
      <w:bookmarkEnd w:id="68"/>
      <w:bookmarkEnd w:id="69"/>
    </w:p>
    <w:p w14:paraId="6651939B" w14:textId="09D4D215" w:rsidR="002F2DE5" w:rsidRPr="00731285" w:rsidRDefault="002F2DE5" w:rsidP="00731285">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731285">
        <w:rPr>
          <w:rFonts w:ascii="Verdana" w:hAnsi="Verdana" w:cs="Verdana"/>
        </w:rPr>
        <w:t xml:space="preserve">As negociações de compras com fornecedores devem ser conduzidas exclusivamente pela Diretoria de </w:t>
      </w:r>
      <w:proofErr w:type="spellStart"/>
      <w:r w:rsidRPr="00732922">
        <w:rPr>
          <w:rFonts w:ascii="Verdana" w:hAnsi="Verdana" w:cs="Verdana"/>
          <w:i/>
          <w:iCs/>
        </w:rPr>
        <w:t>Supply</w:t>
      </w:r>
      <w:proofErr w:type="spellEnd"/>
      <w:r w:rsidRPr="00732922">
        <w:rPr>
          <w:rFonts w:ascii="Verdana" w:hAnsi="Verdana" w:cs="Verdana"/>
          <w:i/>
          <w:iCs/>
        </w:rPr>
        <w:t xml:space="preserve"> Chain</w:t>
      </w:r>
      <w:r w:rsidRPr="00731285">
        <w:rPr>
          <w:rFonts w:ascii="Verdana" w:hAnsi="Verdana" w:cs="Verdana"/>
        </w:rPr>
        <w:t>, observando-se o disposto no item 4.1.8, exceto nos casos de compras emergenciais, que seguem as diretrizes dos itens 4.1.1</w:t>
      </w:r>
      <w:r w:rsidR="00E513C0" w:rsidRPr="00731285">
        <w:rPr>
          <w:rFonts w:ascii="Verdana" w:hAnsi="Verdana" w:cs="Verdana"/>
        </w:rPr>
        <w:t>1</w:t>
      </w:r>
      <w:r w:rsidRPr="00731285">
        <w:rPr>
          <w:rFonts w:ascii="Verdana" w:hAnsi="Verdana" w:cs="Verdana"/>
        </w:rPr>
        <w:t>. e 4.1.1</w:t>
      </w:r>
      <w:r w:rsidR="00E513C0" w:rsidRPr="00731285">
        <w:rPr>
          <w:rFonts w:ascii="Verdana" w:hAnsi="Verdana" w:cs="Verdana"/>
        </w:rPr>
        <w:t>2</w:t>
      </w:r>
      <w:r w:rsidRPr="00731285">
        <w:rPr>
          <w:rFonts w:ascii="Verdana" w:hAnsi="Verdana" w:cs="Verdana"/>
        </w:rPr>
        <w:t>.</w:t>
      </w:r>
    </w:p>
    <w:p w14:paraId="62988E7A" w14:textId="77777777" w:rsidR="002F2DE5" w:rsidRPr="00731285" w:rsidRDefault="002F2DE5" w:rsidP="00731285">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731285">
        <w:rPr>
          <w:rFonts w:ascii="Verdana" w:hAnsi="Verdana" w:cs="Verdana"/>
        </w:rPr>
        <w:t xml:space="preserve">Os requisitantes das Unidades de Negócios ou áreas da </w:t>
      </w:r>
      <w:r w:rsidRPr="00731285">
        <w:rPr>
          <w:rFonts w:ascii="Verdana" w:hAnsi="Verdana" w:cs="Verdana"/>
          <w:i/>
          <w:iCs/>
        </w:rPr>
        <w:t xml:space="preserve">Holding </w:t>
      </w:r>
      <w:r w:rsidRPr="00731285">
        <w:rPr>
          <w:rFonts w:ascii="Verdana" w:hAnsi="Verdana" w:cs="Verdana"/>
        </w:rPr>
        <w:t>devem participar das fases de:</w:t>
      </w:r>
    </w:p>
    <w:p w14:paraId="119ED11D" w14:textId="77777777" w:rsidR="002F2DE5" w:rsidRPr="00731285" w:rsidRDefault="002F2DE5" w:rsidP="00987E86">
      <w:pPr>
        <w:numPr>
          <w:ilvl w:val="1"/>
          <w:numId w:val="9"/>
        </w:numPr>
        <w:spacing w:beforeLines="120" w:before="288" w:afterLines="120" w:after="288" w:line="240" w:lineRule="atLeast"/>
        <w:ind w:left="1276" w:hanging="422"/>
        <w:jc w:val="both"/>
        <w:rPr>
          <w:rFonts w:ascii="Verdana" w:hAnsi="Verdana"/>
          <w:bCs/>
        </w:rPr>
      </w:pPr>
      <w:r w:rsidRPr="00731285">
        <w:rPr>
          <w:rFonts w:ascii="Verdana" w:hAnsi="Verdana"/>
          <w:bCs/>
        </w:rPr>
        <w:t xml:space="preserve">Especificação das necessidades; </w:t>
      </w:r>
    </w:p>
    <w:p w14:paraId="56C21A4A" w14:textId="66146339" w:rsidR="005D014C" w:rsidRPr="00731285" w:rsidRDefault="005D014C" w:rsidP="00987E86">
      <w:pPr>
        <w:pStyle w:val="PargrafodaLista"/>
        <w:numPr>
          <w:ilvl w:val="0"/>
          <w:numId w:val="15"/>
        </w:numPr>
        <w:spacing w:beforeLines="120" w:before="288" w:afterLines="120" w:after="288" w:line="240" w:lineRule="atLeast"/>
        <w:ind w:left="1276" w:hanging="425"/>
        <w:contextualSpacing w:val="0"/>
        <w:jc w:val="both"/>
        <w:rPr>
          <w:rFonts w:ascii="Verdana" w:hAnsi="Verdana"/>
          <w:bCs/>
          <w:sz w:val="20"/>
          <w:szCs w:val="20"/>
        </w:rPr>
      </w:pPr>
      <w:r w:rsidRPr="00731285">
        <w:rPr>
          <w:rFonts w:ascii="Verdana" w:hAnsi="Verdana"/>
          <w:bCs/>
          <w:sz w:val="20"/>
          <w:szCs w:val="20"/>
        </w:rPr>
        <w:t>Avaliação das ressalvas realizadas pelo Departamento Jurídico</w:t>
      </w:r>
      <w:r w:rsidR="00921C9B">
        <w:rPr>
          <w:rFonts w:ascii="Verdana" w:hAnsi="Verdana"/>
          <w:bCs/>
          <w:sz w:val="20"/>
          <w:szCs w:val="20"/>
        </w:rPr>
        <w:t>,</w:t>
      </w:r>
      <w:r w:rsidRPr="00731285">
        <w:rPr>
          <w:rFonts w:ascii="Verdana" w:hAnsi="Verdana"/>
          <w:bCs/>
          <w:sz w:val="20"/>
          <w:szCs w:val="20"/>
        </w:rPr>
        <w:t xml:space="preserve"> quando da formalização de contratos</w:t>
      </w:r>
      <w:r w:rsidR="00921C9B">
        <w:rPr>
          <w:rFonts w:ascii="Verdana" w:hAnsi="Verdana"/>
          <w:bCs/>
          <w:sz w:val="20"/>
          <w:szCs w:val="20"/>
        </w:rPr>
        <w:t>,</w:t>
      </w:r>
      <w:r w:rsidRPr="00731285">
        <w:rPr>
          <w:rFonts w:ascii="Verdana" w:hAnsi="Verdana"/>
          <w:bCs/>
          <w:sz w:val="20"/>
          <w:szCs w:val="20"/>
        </w:rPr>
        <w:t xml:space="preserve"> e ciência expressa dos impactos jurídicos em direitos e obrigações, quando necessário.</w:t>
      </w:r>
    </w:p>
    <w:p w14:paraId="7E9827A7" w14:textId="77777777" w:rsidR="002F2DE5" w:rsidRPr="005F5806" w:rsidRDefault="002F2DE5" w:rsidP="00B418BC">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As aquisições ou contratações de bens e serviços, conforme limites e condições comerciais definidos devem ser precedidas por um processo formal de cotação de preços, objetivando menor custo e atendimento das exigências de qualidade e desempenho.</w:t>
      </w:r>
    </w:p>
    <w:p w14:paraId="406775D9" w14:textId="58AC8072" w:rsidR="00CF45DF" w:rsidRPr="00921C9B" w:rsidRDefault="002F2DE5"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921C9B">
        <w:rPr>
          <w:rFonts w:ascii="Verdana" w:hAnsi="Verdana" w:cs="Verdana"/>
        </w:rPr>
        <w:t>O processo de cotação de preços deve considerar, no mínimo, 3 (três) fornecedores</w:t>
      </w:r>
      <w:r w:rsidR="00121BF2" w:rsidRPr="00921C9B">
        <w:rPr>
          <w:rFonts w:ascii="Verdana" w:hAnsi="Verdana" w:cs="Verdana"/>
        </w:rPr>
        <w:t xml:space="preserve"> com exceção aos listados abaix</w:t>
      </w:r>
      <w:r w:rsidR="00CF45DF" w:rsidRPr="00921C9B">
        <w:rPr>
          <w:rFonts w:ascii="Verdana" w:hAnsi="Verdana" w:cs="Verdana"/>
        </w:rPr>
        <w:t>o:</w:t>
      </w:r>
    </w:p>
    <w:p w14:paraId="06C5FB72" w14:textId="5B07AD9B" w:rsidR="00CF45DF" w:rsidRPr="00921C9B" w:rsidRDefault="00CF45DF" w:rsidP="00987E86">
      <w:pPr>
        <w:pStyle w:val="PargrafodaLista"/>
        <w:numPr>
          <w:ilvl w:val="0"/>
          <w:numId w:val="11"/>
        </w:numPr>
        <w:spacing w:beforeLines="120" w:before="288" w:afterLines="120" w:after="288" w:line="240" w:lineRule="atLeast"/>
        <w:ind w:left="1418" w:hanging="567"/>
        <w:contextualSpacing w:val="0"/>
        <w:jc w:val="both"/>
        <w:rPr>
          <w:rFonts w:ascii="Verdana" w:hAnsi="Verdana" w:cs="Verdana"/>
          <w:sz w:val="20"/>
          <w:szCs w:val="20"/>
        </w:rPr>
      </w:pPr>
      <w:r w:rsidRPr="00921C9B">
        <w:rPr>
          <w:rFonts w:ascii="Verdana" w:hAnsi="Verdana" w:cs="Verdana"/>
          <w:sz w:val="20"/>
          <w:szCs w:val="20"/>
        </w:rPr>
        <w:t>I</w:t>
      </w:r>
      <w:r w:rsidR="002F2DE5" w:rsidRPr="00921C9B">
        <w:rPr>
          <w:rFonts w:ascii="Verdana" w:hAnsi="Verdana" w:cs="Verdana"/>
          <w:sz w:val="20"/>
          <w:szCs w:val="20"/>
        </w:rPr>
        <w:t>nexistência de fornecedores no mercado</w:t>
      </w:r>
      <w:r w:rsidR="00921C9B">
        <w:rPr>
          <w:rFonts w:ascii="Verdana" w:hAnsi="Verdana" w:cs="Verdana"/>
          <w:sz w:val="20"/>
          <w:szCs w:val="20"/>
        </w:rPr>
        <w:t>;</w:t>
      </w:r>
    </w:p>
    <w:p w14:paraId="20563B7F" w14:textId="4E415A51" w:rsidR="00921C9B" w:rsidRPr="00921C9B" w:rsidRDefault="00121BF2" w:rsidP="00987E86">
      <w:pPr>
        <w:pStyle w:val="PargrafodaLista"/>
        <w:numPr>
          <w:ilvl w:val="0"/>
          <w:numId w:val="11"/>
        </w:numPr>
        <w:spacing w:beforeLines="120" w:before="288" w:afterLines="120" w:after="288" w:line="240" w:lineRule="atLeast"/>
        <w:ind w:left="1418" w:hanging="567"/>
        <w:contextualSpacing w:val="0"/>
        <w:jc w:val="both"/>
        <w:rPr>
          <w:rFonts w:ascii="Verdana" w:hAnsi="Verdana" w:cs="Verdana"/>
          <w:sz w:val="20"/>
          <w:szCs w:val="20"/>
        </w:rPr>
      </w:pPr>
      <w:r w:rsidRPr="00921C9B">
        <w:rPr>
          <w:rFonts w:ascii="Verdana" w:hAnsi="Verdana" w:cs="Verdana"/>
          <w:sz w:val="20"/>
          <w:szCs w:val="20"/>
        </w:rPr>
        <w:t>N</w:t>
      </w:r>
      <w:r w:rsidR="002F2DE5" w:rsidRPr="00921C9B">
        <w:rPr>
          <w:rFonts w:ascii="Verdana" w:hAnsi="Verdana" w:cs="Verdana"/>
          <w:sz w:val="20"/>
          <w:szCs w:val="20"/>
        </w:rPr>
        <w:t>egociações de até R$ 1.000, realizadas dentro da plataforma de manutenção de frota (</w:t>
      </w:r>
      <w:proofErr w:type="spellStart"/>
      <w:r w:rsidR="002F2DE5" w:rsidRPr="00921C9B">
        <w:rPr>
          <w:rFonts w:ascii="Verdana" w:hAnsi="Verdana" w:cs="Verdana"/>
          <w:i/>
          <w:iCs/>
          <w:sz w:val="20"/>
          <w:szCs w:val="20"/>
        </w:rPr>
        <w:t>TicketLog</w:t>
      </w:r>
      <w:proofErr w:type="spellEnd"/>
      <w:r w:rsidR="002F2DE5" w:rsidRPr="00921C9B">
        <w:rPr>
          <w:rFonts w:ascii="Verdana" w:hAnsi="Verdana" w:cs="Verdana"/>
          <w:sz w:val="20"/>
          <w:szCs w:val="20"/>
        </w:rPr>
        <w:t>), em que o valor negociado não ultrapasse o valor de referência da plataforma</w:t>
      </w:r>
      <w:r w:rsidR="008B5E56">
        <w:rPr>
          <w:rFonts w:ascii="Verdana" w:hAnsi="Verdana" w:cs="Verdana"/>
          <w:sz w:val="20"/>
          <w:szCs w:val="20"/>
        </w:rPr>
        <w:t>;</w:t>
      </w:r>
    </w:p>
    <w:p w14:paraId="73810E50" w14:textId="5E207D78" w:rsidR="00CF45DF" w:rsidRPr="00921C9B" w:rsidRDefault="00CF45DF" w:rsidP="00987E86">
      <w:pPr>
        <w:pStyle w:val="PargrafodaLista"/>
        <w:numPr>
          <w:ilvl w:val="0"/>
          <w:numId w:val="11"/>
        </w:numPr>
        <w:spacing w:beforeLines="120" w:before="288" w:afterLines="120" w:after="288" w:line="240" w:lineRule="atLeast"/>
        <w:ind w:left="1418" w:hanging="567"/>
        <w:contextualSpacing w:val="0"/>
        <w:jc w:val="both"/>
        <w:rPr>
          <w:rStyle w:val="ui-provider"/>
          <w:rFonts w:ascii="Times New Roman" w:hAnsi="Times New Roman"/>
          <w:sz w:val="20"/>
          <w:szCs w:val="20"/>
          <w:lang w:eastAsia="pt-BR"/>
        </w:rPr>
      </w:pPr>
      <w:r w:rsidRPr="00921C9B">
        <w:rPr>
          <w:rStyle w:val="ui-provider"/>
          <w:rFonts w:ascii="Verdana" w:hAnsi="Verdana"/>
          <w:sz w:val="20"/>
          <w:szCs w:val="20"/>
        </w:rPr>
        <w:t xml:space="preserve">Manutenção de equipamentos </w:t>
      </w:r>
      <w:r w:rsidR="00952902">
        <w:rPr>
          <w:rStyle w:val="ui-provider"/>
          <w:rFonts w:ascii="Verdana" w:hAnsi="Verdana"/>
          <w:sz w:val="20"/>
          <w:szCs w:val="20"/>
        </w:rPr>
        <w:t xml:space="preserve">que </w:t>
      </w:r>
      <w:r w:rsidRPr="00921C9B">
        <w:rPr>
          <w:rStyle w:val="ui-provider"/>
          <w:rFonts w:ascii="Verdana" w:hAnsi="Verdana"/>
          <w:sz w:val="20"/>
          <w:szCs w:val="20"/>
        </w:rPr>
        <w:t xml:space="preserve">o próprio fabricante </w:t>
      </w:r>
      <w:r w:rsidR="00952902">
        <w:rPr>
          <w:rStyle w:val="ui-provider"/>
          <w:rFonts w:ascii="Verdana" w:hAnsi="Verdana"/>
          <w:sz w:val="20"/>
          <w:szCs w:val="20"/>
        </w:rPr>
        <w:t xml:space="preserve">deve </w:t>
      </w:r>
      <w:r w:rsidRPr="00921C9B">
        <w:rPr>
          <w:rStyle w:val="ui-provider"/>
          <w:rFonts w:ascii="Verdana" w:hAnsi="Verdana"/>
          <w:sz w:val="20"/>
          <w:szCs w:val="20"/>
        </w:rPr>
        <w:t>presta</w:t>
      </w:r>
      <w:r w:rsidR="00952902">
        <w:rPr>
          <w:rStyle w:val="ui-provider"/>
          <w:rFonts w:ascii="Verdana" w:hAnsi="Verdana"/>
          <w:sz w:val="20"/>
          <w:szCs w:val="20"/>
        </w:rPr>
        <w:t>r</w:t>
      </w:r>
      <w:r w:rsidRPr="00921C9B">
        <w:rPr>
          <w:rStyle w:val="ui-provider"/>
          <w:rFonts w:ascii="Verdana" w:hAnsi="Verdana"/>
          <w:sz w:val="20"/>
          <w:szCs w:val="20"/>
        </w:rPr>
        <w:t xml:space="preserve"> o serviço;</w:t>
      </w:r>
    </w:p>
    <w:p w14:paraId="48F6F7DE" w14:textId="28939BD5" w:rsidR="00CF45DF" w:rsidRPr="00B214CC" w:rsidRDefault="00CF45DF" w:rsidP="00987E86">
      <w:pPr>
        <w:pStyle w:val="PargrafodaLista"/>
        <w:numPr>
          <w:ilvl w:val="0"/>
          <w:numId w:val="11"/>
        </w:numPr>
        <w:spacing w:beforeLines="120" w:before="288" w:afterLines="120" w:after="288" w:line="240" w:lineRule="atLeast"/>
        <w:ind w:left="1418" w:hanging="567"/>
        <w:contextualSpacing w:val="0"/>
        <w:jc w:val="both"/>
        <w:rPr>
          <w:rStyle w:val="ui-provider"/>
          <w:rFonts w:ascii="Verdana" w:hAnsi="Verdana" w:cs="Verdana"/>
          <w:sz w:val="20"/>
          <w:szCs w:val="20"/>
        </w:rPr>
      </w:pPr>
      <w:r w:rsidRPr="00921C9B">
        <w:rPr>
          <w:rStyle w:val="ui-provider"/>
          <w:rFonts w:ascii="Verdana" w:hAnsi="Verdana"/>
          <w:sz w:val="20"/>
          <w:szCs w:val="20"/>
        </w:rPr>
        <w:t>Aquisição de peças do próprio fabricante da máquina;</w:t>
      </w:r>
    </w:p>
    <w:p w14:paraId="451F8EB9" w14:textId="401E0EE7" w:rsidR="00CF45DF" w:rsidRPr="00B214CC" w:rsidRDefault="00CF45DF" w:rsidP="00987E86">
      <w:pPr>
        <w:pStyle w:val="PargrafodaLista"/>
        <w:numPr>
          <w:ilvl w:val="0"/>
          <w:numId w:val="11"/>
        </w:numPr>
        <w:spacing w:beforeLines="120" w:before="288" w:afterLines="120" w:after="288" w:line="240" w:lineRule="atLeast"/>
        <w:ind w:left="1418" w:hanging="567"/>
        <w:contextualSpacing w:val="0"/>
        <w:jc w:val="both"/>
        <w:rPr>
          <w:rStyle w:val="ui-provider"/>
          <w:rFonts w:ascii="Verdana" w:hAnsi="Verdana" w:cs="Verdana"/>
          <w:sz w:val="20"/>
          <w:szCs w:val="20"/>
        </w:rPr>
      </w:pPr>
      <w:r w:rsidRPr="00921C9B">
        <w:rPr>
          <w:rStyle w:val="ui-provider"/>
          <w:rFonts w:ascii="Verdana" w:hAnsi="Verdana"/>
          <w:sz w:val="20"/>
          <w:szCs w:val="20"/>
        </w:rPr>
        <w:t>Orçamento/execução de serviço de manutenção de equipamento que precisa ser realizado no local do próprio prestador (Ex.: autotanque/motores)</w:t>
      </w:r>
      <w:r w:rsidR="00C6322B" w:rsidRPr="00921C9B">
        <w:rPr>
          <w:rStyle w:val="ui-provider"/>
          <w:rFonts w:ascii="Verdana" w:hAnsi="Verdana"/>
          <w:sz w:val="20"/>
          <w:szCs w:val="20"/>
        </w:rPr>
        <w:t>;</w:t>
      </w:r>
    </w:p>
    <w:p w14:paraId="62512AB7" w14:textId="076ECE3E" w:rsidR="00CF45DF" w:rsidRPr="00B214CC" w:rsidRDefault="00CF45DF" w:rsidP="00987E86">
      <w:pPr>
        <w:pStyle w:val="PargrafodaLista"/>
        <w:numPr>
          <w:ilvl w:val="0"/>
          <w:numId w:val="11"/>
        </w:numPr>
        <w:spacing w:beforeLines="120" w:before="288" w:afterLines="120" w:after="288" w:line="240" w:lineRule="atLeast"/>
        <w:ind w:left="1418" w:hanging="567"/>
        <w:contextualSpacing w:val="0"/>
        <w:jc w:val="both"/>
        <w:rPr>
          <w:rStyle w:val="ui-provider"/>
          <w:rFonts w:ascii="Verdana" w:hAnsi="Verdana" w:cs="Verdana"/>
          <w:sz w:val="20"/>
          <w:szCs w:val="20"/>
        </w:rPr>
      </w:pPr>
      <w:r w:rsidRPr="00921C9B">
        <w:rPr>
          <w:rStyle w:val="ui-provider"/>
          <w:rFonts w:ascii="Verdana" w:hAnsi="Verdana"/>
          <w:sz w:val="20"/>
          <w:szCs w:val="20"/>
        </w:rPr>
        <w:t>Treinamentos não obrigatórios que necessitem de inscrição em um curso específico aprovados pelo RH</w:t>
      </w:r>
      <w:r w:rsidR="00C6322B" w:rsidRPr="00921C9B">
        <w:rPr>
          <w:rStyle w:val="ui-provider"/>
          <w:rFonts w:ascii="Verdana" w:hAnsi="Verdana"/>
          <w:sz w:val="20"/>
          <w:szCs w:val="20"/>
        </w:rPr>
        <w:t>;</w:t>
      </w:r>
    </w:p>
    <w:p w14:paraId="51DEFAA0" w14:textId="0613E7BA" w:rsidR="00CF45DF" w:rsidRPr="00921C9B" w:rsidRDefault="00CF45DF" w:rsidP="00987E86">
      <w:pPr>
        <w:pStyle w:val="PargrafodaLista"/>
        <w:numPr>
          <w:ilvl w:val="0"/>
          <w:numId w:val="11"/>
        </w:numPr>
        <w:spacing w:beforeLines="120" w:before="288" w:afterLines="120" w:after="288" w:line="240" w:lineRule="atLeast"/>
        <w:ind w:left="1418" w:hanging="567"/>
        <w:contextualSpacing w:val="0"/>
        <w:jc w:val="both"/>
        <w:rPr>
          <w:rFonts w:ascii="Verdana" w:hAnsi="Verdana" w:cs="Verdana"/>
          <w:sz w:val="20"/>
          <w:szCs w:val="20"/>
        </w:rPr>
      </w:pPr>
      <w:r w:rsidRPr="00921C9B">
        <w:rPr>
          <w:rStyle w:val="ui-provider"/>
          <w:rFonts w:ascii="Verdana" w:hAnsi="Verdana"/>
          <w:sz w:val="20"/>
          <w:szCs w:val="20"/>
        </w:rPr>
        <w:t>Pagamento de comissão</w:t>
      </w:r>
      <w:r w:rsidR="003855FA" w:rsidRPr="00921C9B">
        <w:rPr>
          <w:rStyle w:val="ui-provider"/>
          <w:rFonts w:ascii="Verdana" w:hAnsi="Verdana"/>
          <w:sz w:val="20"/>
          <w:szCs w:val="20"/>
        </w:rPr>
        <w:t xml:space="preserve"> (Ex.: pagamento a empresas de cobranças)</w:t>
      </w:r>
      <w:r w:rsidR="002D4483" w:rsidRPr="00921C9B">
        <w:rPr>
          <w:rStyle w:val="ui-provider"/>
          <w:rFonts w:ascii="Verdana" w:hAnsi="Verdana"/>
          <w:sz w:val="20"/>
          <w:szCs w:val="20"/>
        </w:rPr>
        <w:t>.</w:t>
      </w:r>
    </w:p>
    <w:p w14:paraId="6FD94D1E" w14:textId="77777777" w:rsidR="002F2DE5" w:rsidRPr="005F5806" w:rsidRDefault="002F2DE5"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lastRenderedPageBreak/>
        <w:t>Todas as negociações e/ou cotações de compras devem ser arquivadas em sistemas de informação do GEQ ou em pasta compartilhada</w:t>
      </w:r>
      <w:r>
        <w:rPr>
          <w:rFonts w:ascii="Verdana" w:hAnsi="Verdana" w:cs="Verdana"/>
        </w:rPr>
        <w:t>,</w:t>
      </w:r>
      <w:r w:rsidRPr="005F5806">
        <w:rPr>
          <w:rFonts w:ascii="Verdana" w:hAnsi="Verdana" w:cs="Verdana"/>
        </w:rPr>
        <w:t xml:space="preserve"> conforme Procedimento Interno de Aquisição de Materiais, Bens e Serviços.</w:t>
      </w:r>
    </w:p>
    <w:p w14:paraId="7E7076AC" w14:textId="77777777" w:rsidR="002F2DE5" w:rsidRPr="005F5806" w:rsidRDefault="002F2DE5" w:rsidP="00921C9B">
      <w:pPr>
        <w:pStyle w:val="Ttulo2"/>
        <w:numPr>
          <w:ilvl w:val="1"/>
          <w:numId w:val="1"/>
        </w:numPr>
        <w:tabs>
          <w:tab w:val="clear" w:pos="420"/>
          <w:tab w:val="num" w:pos="851"/>
        </w:tabs>
        <w:spacing w:beforeLines="120" w:before="288" w:afterLines="120" w:after="288" w:line="240" w:lineRule="atLeast"/>
        <w:ind w:left="851" w:hanging="851"/>
      </w:pPr>
      <w:bookmarkStart w:id="72" w:name="_Toc146640126"/>
      <w:bookmarkStart w:id="73" w:name="_Toc168322022"/>
      <w:r w:rsidRPr="005F5806">
        <w:t>Efetivação de compras</w:t>
      </w:r>
      <w:bookmarkEnd w:id="72"/>
      <w:bookmarkEnd w:id="73"/>
    </w:p>
    <w:p w14:paraId="19497997" w14:textId="448C1757" w:rsidR="00DC36ED" w:rsidRDefault="00DC36ED"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Verdana"/>
        </w:rPr>
        <w:t>As aquisições de bens e/ou serviços devem observar as especificações técnicas e os critérios de qualidade e desempenho</w:t>
      </w:r>
      <w:r w:rsidR="00E513C0">
        <w:rPr>
          <w:rFonts w:ascii="Verdana" w:hAnsi="Verdana" w:cs="Verdana"/>
        </w:rPr>
        <w:t>,</w:t>
      </w:r>
      <w:r>
        <w:rPr>
          <w:rFonts w:ascii="Verdana" w:hAnsi="Verdana" w:cs="Verdana"/>
        </w:rPr>
        <w:t xml:space="preserve"> previamente estabelecidos pelas áreas requisitantes e/ou técnicas responsáveis.</w:t>
      </w:r>
    </w:p>
    <w:p w14:paraId="392A498F" w14:textId="52582CF0" w:rsidR="00DC36ED" w:rsidRDefault="00DC36ED"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Verdana"/>
        </w:rPr>
        <w:t>As quantidades adquiridas de materiais destinados à produção devem estar alinhadas com as necessidades das Unidades de Negócio</w:t>
      </w:r>
      <w:r w:rsidR="008B5E56">
        <w:rPr>
          <w:rFonts w:ascii="Verdana" w:hAnsi="Verdana" w:cs="Verdana"/>
        </w:rPr>
        <w:t>.</w:t>
      </w:r>
    </w:p>
    <w:p w14:paraId="3B85B193" w14:textId="66E92552" w:rsidR="002F2DE5" w:rsidRDefault="002F2DE5"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Para a efetivação das compras e contratações</w:t>
      </w:r>
      <w:r w:rsidR="00921C9B">
        <w:rPr>
          <w:rFonts w:ascii="Verdana" w:hAnsi="Verdana" w:cs="Verdana"/>
        </w:rPr>
        <w:t xml:space="preserve"> </w:t>
      </w:r>
      <w:r w:rsidRPr="005F5806">
        <w:rPr>
          <w:rFonts w:ascii="Verdana" w:hAnsi="Verdana" w:cs="Verdana"/>
        </w:rPr>
        <w:t>deve sempre ser observado o menor Custo Total de Propriedade - “</w:t>
      </w:r>
      <w:r w:rsidRPr="005F5806">
        <w:rPr>
          <w:rFonts w:ascii="Verdana" w:hAnsi="Verdana" w:cs="Verdana"/>
          <w:i/>
          <w:iCs/>
        </w:rPr>
        <w:t xml:space="preserve">Total </w:t>
      </w:r>
      <w:proofErr w:type="spellStart"/>
      <w:r w:rsidRPr="005F5806">
        <w:rPr>
          <w:rFonts w:ascii="Verdana" w:hAnsi="Verdana" w:cs="Verdana"/>
          <w:i/>
          <w:iCs/>
        </w:rPr>
        <w:t>Cost</w:t>
      </w:r>
      <w:proofErr w:type="spellEnd"/>
      <w:r w:rsidRPr="005F5806">
        <w:rPr>
          <w:rFonts w:ascii="Verdana" w:hAnsi="Verdana" w:cs="Verdana"/>
          <w:i/>
          <w:iCs/>
        </w:rPr>
        <w:t xml:space="preserve"> </w:t>
      </w:r>
      <w:proofErr w:type="spellStart"/>
      <w:r w:rsidRPr="005F5806">
        <w:rPr>
          <w:rFonts w:ascii="Verdana" w:hAnsi="Verdana" w:cs="Verdana"/>
          <w:i/>
          <w:iCs/>
        </w:rPr>
        <w:t>of</w:t>
      </w:r>
      <w:proofErr w:type="spellEnd"/>
      <w:r w:rsidRPr="005F5806">
        <w:rPr>
          <w:rFonts w:ascii="Verdana" w:hAnsi="Verdana" w:cs="Verdana"/>
          <w:i/>
          <w:iCs/>
        </w:rPr>
        <w:t xml:space="preserve"> </w:t>
      </w:r>
      <w:proofErr w:type="spellStart"/>
      <w:r w:rsidRPr="005F5806">
        <w:rPr>
          <w:rFonts w:ascii="Verdana" w:hAnsi="Verdana" w:cs="Verdana"/>
          <w:i/>
          <w:iCs/>
        </w:rPr>
        <w:t>Ownership</w:t>
      </w:r>
      <w:proofErr w:type="spellEnd"/>
      <w:r w:rsidRPr="005F5806">
        <w:rPr>
          <w:rFonts w:ascii="Verdana" w:hAnsi="Verdana" w:cs="Verdana"/>
        </w:rPr>
        <w:t xml:space="preserve">” (TCO), considerando todos os aspectos que influenciam o custo de aquisição ao longo do tempo de uso (técnicos, comerciais, </w:t>
      </w:r>
      <w:r w:rsidRPr="00E513C0">
        <w:rPr>
          <w:rFonts w:ascii="Verdana" w:hAnsi="Verdana" w:cs="Verdana"/>
        </w:rPr>
        <w:t xml:space="preserve">performance, risco, obsolescência, </w:t>
      </w:r>
      <w:r w:rsidR="00DC36ED" w:rsidRPr="00E513C0">
        <w:rPr>
          <w:rFonts w:ascii="Verdana" w:hAnsi="Verdana" w:cs="Verdana"/>
        </w:rPr>
        <w:t>garantia etc.</w:t>
      </w:r>
      <w:r w:rsidRPr="00E513C0">
        <w:rPr>
          <w:rFonts w:ascii="Verdana" w:hAnsi="Verdana" w:cs="Verdana"/>
        </w:rPr>
        <w:t>), em consonância com o item 4.1.1</w:t>
      </w:r>
      <w:r w:rsidR="00E513C0" w:rsidRPr="00E513C0">
        <w:rPr>
          <w:rFonts w:ascii="Verdana" w:hAnsi="Verdana" w:cs="Verdana"/>
        </w:rPr>
        <w:t>3</w:t>
      </w:r>
      <w:r w:rsidRPr="00E513C0">
        <w:rPr>
          <w:rFonts w:ascii="Verdana" w:hAnsi="Verdana" w:cs="Verdana"/>
        </w:rPr>
        <w:t>.</w:t>
      </w:r>
    </w:p>
    <w:p w14:paraId="12FA2F71" w14:textId="77777777" w:rsidR="002F2DE5" w:rsidRPr="005F5806" w:rsidRDefault="002F2DE5"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As quantidades adquiridas de materiais destinados à produção devem estar alinhadas com as necessidades das Unidades de Negócio.</w:t>
      </w:r>
    </w:p>
    <w:p w14:paraId="22FAD021" w14:textId="77777777" w:rsidR="002F2DE5" w:rsidRPr="005F5806" w:rsidRDefault="002F2DE5" w:rsidP="00921C9B">
      <w:pPr>
        <w:pStyle w:val="Ttulo2"/>
        <w:numPr>
          <w:ilvl w:val="1"/>
          <w:numId w:val="1"/>
        </w:numPr>
        <w:tabs>
          <w:tab w:val="clear" w:pos="420"/>
          <w:tab w:val="num" w:pos="851"/>
        </w:tabs>
        <w:spacing w:beforeLines="120" w:before="288" w:afterLines="120" w:after="288" w:line="240" w:lineRule="atLeast"/>
        <w:ind w:left="851" w:hanging="851"/>
      </w:pPr>
      <w:bookmarkStart w:id="74" w:name="_Toc146640127"/>
      <w:bookmarkStart w:id="75" w:name="_Toc168322023"/>
      <w:r w:rsidRPr="005F5806">
        <w:t>Adiantamento</w:t>
      </w:r>
      <w:bookmarkEnd w:id="74"/>
      <w:bookmarkEnd w:id="75"/>
    </w:p>
    <w:p w14:paraId="0B0F3FCF" w14:textId="4FDE0EF8" w:rsidR="002F2DE5" w:rsidRDefault="002F2DE5" w:rsidP="00921C9B">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Verdana"/>
        </w:rPr>
        <w:t>Os a</w:t>
      </w:r>
      <w:r w:rsidRPr="005F5806">
        <w:rPr>
          <w:rFonts w:ascii="Verdana" w:hAnsi="Verdana" w:cs="Verdana"/>
        </w:rPr>
        <w:t>diantamentos a fornecedores somente podem ser realizados pel</w:t>
      </w:r>
      <w:r>
        <w:rPr>
          <w:rFonts w:ascii="Verdana" w:hAnsi="Verdana" w:cs="Verdana"/>
        </w:rPr>
        <w:t>a</w:t>
      </w:r>
      <w:r w:rsidRPr="005F5806">
        <w:rPr>
          <w:rFonts w:ascii="Verdana" w:hAnsi="Verdana" w:cs="Verdana"/>
        </w:rPr>
        <w:t xml:space="preserve"> </w:t>
      </w:r>
      <w:r>
        <w:rPr>
          <w:rFonts w:ascii="Verdana" w:hAnsi="Verdana" w:cs="Verdana"/>
        </w:rPr>
        <w:t xml:space="preserve">Diretoria de </w:t>
      </w:r>
      <w:proofErr w:type="spellStart"/>
      <w:r w:rsidRPr="00502BE7">
        <w:rPr>
          <w:rFonts w:ascii="Verdana" w:hAnsi="Verdana" w:cs="Verdana"/>
          <w:i/>
          <w:iCs/>
        </w:rPr>
        <w:t>Supply</w:t>
      </w:r>
      <w:proofErr w:type="spellEnd"/>
      <w:r w:rsidRPr="00502BE7">
        <w:rPr>
          <w:rFonts w:ascii="Verdana" w:hAnsi="Verdana" w:cs="Verdana"/>
          <w:i/>
          <w:iCs/>
        </w:rPr>
        <w:t xml:space="preserve"> Chain</w:t>
      </w:r>
      <w:r>
        <w:rPr>
          <w:rFonts w:ascii="Verdana" w:hAnsi="Verdana" w:cs="Verdana"/>
          <w:i/>
          <w:iCs/>
        </w:rPr>
        <w:t xml:space="preserve"> via sistema ERP</w:t>
      </w:r>
      <w:r w:rsidRPr="005F5806">
        <w:rPr>
          <w:rFonts w:ascii="Verdana" w:hAnsi="Verdana" w:cs="Verdana"/>
        </w:rPr>
        <w:t xml:space="preserve"> e devem ser </w:t>
      </w:r>
      <w:r w:rsidRPr="00F62381">
        <w:rPr>
          <w:rFonts w:ascii="Verdana" w:hAnsi="Verdana" w:cs="Verdana"/>
        </w:rPr>
        <w:t>vinculado</w:t>
      </w:r>
      <w:r>
        <w:rPr>
          <w:rFonts w:ascii="Verdana" w:hAnsi="Verdana" w:cs="Verdana"/>
        </w:rPr>
        <w:t>s</w:t>
      </w:r>
      <w:r w:rsidRPr="00F62381">
        <w:rPr>
          <w:rFonts w:ascii="Verdana" w:hAnsi="Verdana" w:cs="Verdana"/>
        </w:rPr>
        <w:t xml:space="preserve"> a um </w:t>
      </w:r>
      <w:r w:rsidRPr="008B5E56">
        <w:rPr>
          <w:rFonts w:ascii="Verdana" w:hAnsi="Verdana" w:cs="Verdana"/>
        </w:rPr>
        <w:t xml:space="preserve">documento de compra aprovado e obedecer às diretrizes da </w:t>
      </w:r>
      <w:proofErr w:type="gramStart"/>
      <w:r w:rsidRPr="008B5E56">
        <w:rPr>
          <w:rFonts w:ascii="Verdana" w:hAnsi="Verdana" w:cs="Verdana"/>
        </w:rPr>
        <w:t>Política  de</w:t>
      </w:r>
      <w:proofErr w:type="gramEnd"/>
      <w:r w:rsidRPr="008B5E56">
        <w:rPr>
          <w:rFonts w:ascii="Verdana" w:hAnsi="Verdana" w:cs="Verdana"/>
        </w:rPr>
        <w:t xml:space="preserve"> Contas a Pagar e da Política de Alçadas.</w:t>
      </w:r>
    </w:p>
    <w:p w14:paraId="630F960E" w14:textId="77777777" w:rsidR="002F2DE5" w:rsidRDefault="002F2DE5" w:rsidP="00B418BC">
      <w:pPr>
        <w:pStyle w:val="Ttulo2"/>
        <w:numPr>
          <w:ilvl w:val="1"/>
          <w:numId w:val="1"/>
        </w:numPr>
        <w:tabs>
          <w:tab w:val="clear" w:pos="420"/>
          <w:tab w:val="num" w:pos="851"/>
        </w:tabs>
        <w:spacing w:beforeLines="120" w:before="288" w:afterLines="120" w:after="288" w:line="240" w:lineRule="atLeast"/>
        <w:ind w:left="851" w:hanging="851"/>
      </w:pPr>
      <w:bookmarkStart w:id="76" w:name="_Toc95317130"/>
      <w:bookmarkStart w:id="77" w:name="_Toc95318282"/>
      <w:bookmarkStart w:id="78" w:name="_Toc95323351"/>
      <w:bookmarkStart w:id="79" w:name="_Toc95323417"/>
      <w:bookmarkStart w:id="80" w:name="_Toc95323498"/>
      <w:bookmarkStart w:id="81" w:name="_Toc95317131"/>
      <w:bookmarkStart w:id="82" w:name="_Toc95318283"/>
      <w:bookmarkStart w:id="83" w:name="_Toc95323352"/>
      <w:bookmarkStart w:id="84" w:name="_Toc95323418"/>
      <w:bookmarkStart w:id="85" w:name="_Toc95323499"/>
      <w:bookmarkStart w:id="86" w:name="_Toc146640128"/>
      <w:bookmarkStart w:id="87" w:name="_Toc168322024"/>
      <w:bookmarkEnd w:id="76"/>
      <w:bookmarkEnd w:id="77"/>
      <w:bookmarkEnd w:id="78"/>
      <w:bookmarkEnd w:id="79"/>
      <w:bookmarkEnd w:id="80"/>
      <w:bookmarkEnd w:id="81"/>
      <w:bookmarkEnd w:id="82"/>
      <w:bookmarkEnd w:id="83"/>
      <w:bookmarkEnd w:id="84"/>
      <w:bookmarkEnd w:id="85"/>
      <w:r w:rsidRPr="005F5806">
        <w:t>Aprovações</w:t>
      </w:r>
      <w:bookmarkEnd w:id="86"/>
      <w:bookmarkEnd w:id="87"/>
    </w:p>
    <w:p w14:paraId="5B767AE8" w14:textId="77777777" w:rsidR="002F2DE5" w:rsidRPr="005F5806" w:rsidRDefault="002F2DE5" w:rsidP="00B418BC">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Requisição de Compra:</w:t>
      </w:r>
    </w:p>
    <w:p w14:paraId="6B55EEC5" w14:textId="77777777" w:rsidR="002F2DE5" w:rsidRPr="005F5806" w:rsidRDefault="002F2DE5" w:rsidP="00987E86">
      <w:pPr>
        <w:pStyle w:val="PargrafodaLista"/>
        <w:numPr>
          <w:ilvl w:val="0"/>
          <w:numId w:val="10"/>
        </w:numPr>
        <w:spacing w:beforeLines="120" w:before="288" w:afterLines="120" w:after="288" w:line="240" w:lineRule="atLeast"/>
        <w:ind w:left="1276" w:hanging="425"/>
        <w:contextualSpacing w:val="0"/>
        <w:jc w:val="both"/>
        <w:rPr>
          <w:rFonts w:ascii="Verdana" w:hAnsi="Verdana" w:cs="Verdana"/>
          <w:sz w:val="20"/>
          <w:szCs w:val="20"/>
        </w:rPr>
      </w:pPr>
      <w:r w:rsidRPr="005F5806">
        <w:rPr>
          <w:rFonts w:ascii="Verdana" w:hAnsi="Verdana" w:cs="Verdana"/>
          <w:sz w:val="20"/>
          <w:szCs w:val="20"/>
        </w:rPr>
        <w:t xml:space="preserve">Os aprovadores das requisições de compra devem ser definidos pelo Diretor Administrativo Financeiro de cada Unidade de Negócio ou por Diretor Corporativo da </w:t>
      </w:r>
      <w:r w:rsidRPr="005F5806">
        <w:rPr>
          <w:rFonts w:ascii="Verdana" w:hAnsi="Verdana" w:cs="Verdana"/>
          <w:i/>
          <w:iCs/>
          <w:sz w:val="20"/>
          <w:szCs w:val="20"/>
        </w:rPr>
        <w:t>Holding</w:t>
      </w:r>
      <w:r>
        <w:rPr>
          <w:rFonts w:ascii="Verdana" w:hAnsi="Verdana" w:cs="Verdana"/>
          <w:sz w:val="20"/>
          <w:szCs w:val="20"/>
        </w:rPr>
        <w:t>;</w:t>
      </w:r>
    </w:p>
    <w:p w14:paraId="0FC2862F" w14:textId="77777777" w:rsidR="002F2DE5" w:rsidRPr="005F5806" w:rsidRDefault="002F2DE5" w:rsidP="00987E86">
      <w:pPr>
        <w:pStyle w:val="PargrafodaLista"/>
        <w:numPr>
          <w:ilvl w:val="0"/>
          <w:numId w:val="10"/>
        </w:numPr>
        <w:spacing w:beforeLines="120" w:before="288" w:afterLines="120" w:after="288" w:line="240" w:lineRule="atLeast"/>
        <w:ind w:left="1276" w:hanging="425"/>
        <w:contextualSpacing w:val="0"/>
        <w:jc w:val="both"/>
        <w:rPr>
          <w:rFonts w:ascii="Verdana" w:hAnsi="Verdana" w:cs="Verdana"/>
          <w:sz w:val="20"/>
          <w:szCs w:val="20"/>
        </w:rPr>
      </w:pPr>
      <w:r w:rsidRPr="005F5806">
        <w:rPr>
          <w:rFonts w:ascii="Verdana" w:hAnsi="Verdana" w:cs="Verdana"/>
          <w:sz w:val="20"/>
          <w:szCs w:val="20"/>
        </w:rPr>
        <w:t xml:space="preserve">As requisições originadas por meio de sistema de Planejamento da Unidade de Negócio - </w:t>
      </w:r>
      <w:proofErr w:type="spellStart"/>
      <w:r w:rsidRPr="005F5806">
        <w:rPr>
          <w:rFonts w:ascii="Verdana" w:hAnsi="Verdana" w:cs="Verdana"/>
          <w:i/>
          <w:iCs/>
          <w:sz w:val="20"/>
          <w:szCs w:val="20"/>
        </w:rPr>
        <w:t>Advanced</w:t>
      </w:r>
      <w:proofErr w:type="spellEnd"/>
      <w:r w:rsidRPr="005F5806">
        <w:rPr>
          <w:rFonts w:ascii="Verdana" w:hAnsi="Verdana" w:cs="Verdana"/>
          <w:i/>
          <w:iCs/>
          <w:sz w:val="20"/>
          <w:szCs w:val="20"/>
        </w:rPr>
        <w:t xml:space="preserve"> </w:t>
      </w:r>
      <w:proofErr w:type="spellStart"/>
      <w:r w:rsidRPr="005F5806">
        <w:rPr>
          <w:rFonts w:ascii="Verdana" w:hAnsi="Verdana" w:cs="Verdana"/>
          <w:i/>
          <w:iCs/>
          <w:sz w:val="20"/>
          <w:szCs w:val="20"/>
        </w:rPr>
        <w:t>Supply</w:t>
      </w:r>
      <w:proofErr w:type="spellEnd"/>
      <w:r w:rsidRPr="005F5806">
        <w:rPr>
          <w:rFonts w:ascii="Verdana" w:hAnsi="Verdana" w:cs="Verdana"/>
          <w:i/>
          <w:iCs/>
          <w:sz w:val="20"/>
          <w:szCs w:val="20"/>
        </w:rPr>
        <w:t xml:space="preserve"> Chain Planning</w:t>
      </w:r>
      <w:r w:rsidRPr="005F5806">
        <w:rPr>
          <w:rFonts w:ascii="Verdana" w:hAnsi="Verdana" w:cs="Verdana"/>
          <w:sz w:val="20"/>
          <w:szCs w:val="20"/>
        </w:rPr>
        <w:t xml:space="preserve"> (ASCP) - não precisam passar pela aprovação da Requisição de Compra.</w:t>
      </w:r>
    </w:p>
    <w:p w14:paraId="34A2808F" w14:textId="77777777" w:rsidR="002F2DE5" w:rsidRPr="005F5806" w:rsidRDefault="002F2DE5" w:rsidP="00B418BC">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Ordem e Acordo de Compra:</w:t>
      </w:r>
    </w:p>
    <w:tbl>
      <w:tblPr>
        <w:tblW w:w="85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3803"/>
        <w:gridCol w:w="875"/>
        <w:gridCol w:w="3829"/>
      </w:tblGrid>
      <w:tr w:rsidR="002F2DE5" w:rsidRPr="005F5806" w14:paraId="55235163" w14:textId="77777777" w:rsidTr="00BC3005">
        <w:trPr>
          <w:trHeight w:val="221"/>
        </w:trPr>
        <w:tc>
          <w:tcPr>
            <w:tcW w:w="8507" w:type="dxa"/>
            <w:gridSpan w:val="3"/>
            <w:tcBorders>
              <w:top w:val="single" w:sz="4" w:space="0" w:color="auto"/>
            </w:tcBorders>
            <w:shd w:val="clear" w:color="auto" w:fill="FFFFFF" w:themeFill="background1"/>
            <w:tcMar>
              <w:top w:w="15" w:type="dxa"/>
              <w:left w:w="15" w:type="dxa"/>
              <w:bottom w:w="0" w:type="dxa"/>
              <w:right w:w="15" w:type="dxa"/>
            </w:tcMar>
            <w:vAlign w:val="center"/>
          </w:tcPr>
          <w:p w14:paraId="592AAC5D" w14:textId="77777777" w:rsidR="002F2DE5" w:rsidRPr="005F5806" w:rsidRDefault="002F2DE5" w:rsidP="00BC3005">
            <w:pPr>
              <w:tabs>
                <w:tab w:val="num" w:pos="851"/>
              </w:tabs>
              <w:spacing w:before="60" w:after="57"/>
              <w:jc w:val="center"/>
              <w:rPr>
                <w:rFonts w:ascii="Verdana" w:hAnsi="Verdana"/>
                <w:b/>
                <w:bCs/>
              </w:rPr>
            </w:pPr>
            <w:r w:rsidRPr="005F5806">
              <w:rPr>
                <w:rFonts w:ascii="Verdana" w:hAnsi="Verdana"/>
                <w:b/>
                <w:bCs/>
              </w:rPr>
              <w:t>Aprovação de Ordem e/ou Acordo de Compra – Unidades de Negócio</w:t>
            </w:r>
          </w:p>
        </w:tc>
      </w:tr>
      <w:tr w:rsidR="002F2DE5" w:rsidRPr="005F5806" w14:paraId="67C79B54" w14:textId="77777777" w:rsidTr="00BC3005">
        <w:trPr>
          <w:trHeight w:val="29"/>
        </w:trPr>
        <w:tc>
          <w:tcPr>
            <w:tcW w:w="3803" w:type="dxa"/>
            <w:shd w:val="clear" w:color="auto" w:fill="FFFFFF" w:themeFill="background1"/>
            <w:tcMar>
              <w:top w:w="15" w:type="dxa"/>
              <w:left w:w="15" w:type="dxa"/>
              <w:bottom w:w="0" w:type="dxa"/>
              <w:right w:w="15" w:type="dxa"/>
            </w:tcMar>
            <w:vAlign w:val="center"/>
          </w:tcPr>
          <w:p w14:paraId="46F6287E" w14:textId="77777777" w:rsidR="002F2DE5" w:rsidRPr="005F5806" w:rsidRDefault="002F2DE5" w:rsidP="00BC3005">
            <w:pPr>
              <w:tabs>
                <w:tab w:val="num" w:pos="851"/>
              </w:tabs>
              <w:spacing w:before="20" w:after="57"/>
              <w:ind w:left="851" w:hanging="851"/>
              <w:jc w:val="center"/>
              <w:rPr>
                <w:rFonts w:ascii="Verdana" w:hAnsi="Verdana"/>
              </w:rPr>
            </w:pPr>
            <w:r w:rsidRPr="005F5806">
              <w:rPr>
                <w:rFonts w:ascii="Verdana" w:hAnsi="Verdana"/>
                <w:b/>
                <w:bCs/>
              </w:rPr>
              <w:t>Aprovador</w:t>
            </w:r>
          </w:p>
        </w:tc>
        <w:tc>
          <w:tcPr>
            <w:tcW w:w="875" w:type="dxa"/>
            <w:shd w:val="clear" w:color="auto" w:fill="FFFFFF" w:themeFill="background1"/>
            <w:tcMar>
              <w:top w:w="15" w:type="dxa"/>
              <w:left w:w="15" w:type="dxa"/>
              <w:bottom w:w="0" w:type="dxa"/>
              <w:right w:w="15" w:type="dxa"/>
            </w:tcMar>
            <w:vAlign w:val="center"/>
            <w:hideMark/>
          </w:tcPr>
          <w:p w14:paraId="6C7C4855" w14:textId="77777777" w:rsidR="002F2DE5" w:rsidRPr="005F5806" w:rsidRDefault="002F2DE5" w:rsidP="00BC3005">
            <w:pPr>
              <w:tabs>
                <w:tab w:val="num" w:pos="851"/>
              </w:tabs>
              <w:spacing w:before="20" w:after="57"/>
              <w:ind w:left="851" w:hanging="851"/>
              <w:jc w:val="center"/>
              <w:rPr>
                <w:rFonts w:ascii="Verdana" w:hAnsi="Verdana"/>
              </w:rPr>
            </w:pPr>
            <w:r w:rsidRPr="005F5806">
              <w:rPr>
                <w:rFonts w:ascii="Verdana" w:hAnsi="Verdana"/>
                <w:b/>
                <w:bCs/>
              </w:rPr>
              <w:t>Nível</w:t>
            </w:r>
          </w:p>
        </w:tc>
        <w:tc>
          <w:tcPr>
            <w:tcW w:w="3829" w:type="dxa"/>
            <w:shd w:val="clear" w:color="auto" w:fill="FFFFFF" w:themeFill="background1"/>
            <w:tcMar>
              <w:top w:w="15" w:type="dxa"/>
              <w:left w:w="15" w:type="dxa"/>
              <w:bottom w:w="0" w:type="dxa"/>
              <w:right w:w="15" w:type="dxa"/>
            </w:tcMar>
            <w:vAlign w:val="center"/>
          </w:tcPr>
          <w:p w14:paraId="76EFC78E" w14:textId="77777777" w:rsidR="002F2DE5" w:rsidRPr="005F5806" w:rsidRDefault="002F2DE5" w:rsidP="00BC3005">
            <w:pPr>
              <w:tabs>
                <w:tab w:val="num" w:pos="851"/>
              </w:tabs>
              <w:spacing w:before="20" w:after="57"/>
              <w:ind w:left="851" w:hanging="851"/>
              <w:jc w:val="center"/>
              <w:rPr>
                <w:rFonts w:ascii="Verdana" w:hAnsi="Verdana"/>
              </w:rPr>
            </w:pPr>
            <w:r w:rsidRPr="005F5806">
              <w:rPr>
                <w:rFonts w:ascii="Verdana" w:hAnsi="Verdana"/>
                <w:b/>
                <w:bCs/>
              </w:rPr>
              <w:t>Alçada</w:t>
            </w:r>
          </w:p>
        </w:tc>
      </w:tr>
      <w:tr w:rsidR="002F2DE5" w:rsidRPr="005F5806" w14:paraId="4B7EA3E1"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6F9ED262"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Gerente de Suprimentos</w:t>
            </w:r>
          </w:p>
        </w:tc>
        <w:tc>
          <w:tcPr>
            <w:tcW w:w="875" w:type="dxa"/>
            <w:shd w:val="clear" w:color="auto" w:fill="FFFFFF" w:themeFill="background1"/>
            <w:tcMar>
              <w:top w:w="15" w:type="dxa"/>
              <w:left w:w="15" w:type="dxa"/>
              <w:bottom w:w="0" w:type="dxa"/>
              <w:right w:w="15" w:type="dxa"/>
            </w:tcMar>
            <w:vAlign w:val="center"/>
          </w:tcPr>
          <w:p w14:paraId="3AF9F6E2"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1</w:t>
            </w:r>
          </w:p>
        </w:tc>
        <w:tc>
          <w:tcPr>
            <w:tcW w:w="3829" w:type="dxa"/>
            <w:shd w:val="clear" w:color="auto" w:fill="FFFFFF" w:themeFill="background1"/>
            <w:tcMar>
              <w:top w:w="15" w:type="dxa"/>
              <w:left w:w="15" w:type="dxa"/>
              <w:bottom w:w="0" w:type="dxa"/>
              <w:right w:w="15" w:type="dxa"/>
            </w:tcMar>
            <w:vAlign w:val="center"/>
          </w:tcPr>
          <w:p w14:paraId="22810A8E" w14:textId="77777777" w:rsidR="002F2DE5" w:rsidRPr="005F5806" w:rsidRDefault="002F2DE5" w:rsidP="00BC3005">
            <w:pPr>
              <w:tabs>
                <w:tab w:val="num" w:pos="851"/>
              </w:tabs>
              <w:spacing w:after="57"/>
              <w:jc w:val="center"/>
              <w:rPr>
                <w:rFonts w:ascii="Verdana" w:hAnsi="Verdana"/>
                <w:bCs/>
              </w:rPr>
            </w:pPr>
            <w:r w:rsidRPr="005F5806">
              <w:rPr>
                <w:rFonts w:ascii="Verdana" w:hAnsi="Verdana"/>
                <w:bCs/>
              </w:rPr>
              <w:t>Até R$ 199.999</w:t>
            </w:r>
          </w:p>
        </w:tc>
      </w:tr>
      <w:tr w:rsidR="002F2DE5" w:rsidRPr="005F5806" w14:paraId="39108757"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5461D4B7"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 xml:space="preserve">Diretor </w:t>
            </w:r>
            <w:proofErr w:type="spellStart"/>
            <w:r w:rsidRPr="005F5806">
              <w:rPr>
                <w:rFonts w:ascii="Verdana" w:hAnsi="Verdana"/>
                <w:i/>
                <w:iCs/>
              </w:rPr>
              <w:t>Supply</w:t>
            </w:r>
            <w:proofErr w:type="spellEnd"/>
            <w:r w:rsidRPr="005F5806">
              <w:rPr>
                <w:rFonts w:ascii="Verdana" w:hAnsi="Verdana"/>
                <w:i/>
                <w:iCs/>
              </w:rPr>
              <w:t xml:space="preserve"> Chain</w:t>
            </w:r>
          </w:p>
        </w:tc>
        <w:tc>
          <w:tcPr>
            <w:tcW w:w="875" w:type="dxa"/>
            <w:shd w:val="clear" w:color="auto" w:fill="FFFFFF" w:themeFill="background1"/>
            <w:tcMar>
              <w:top w:w="15" w:type="dxa"/>
              <w:left w:w="15" w:type="dxa"/>
              <w:bottom w:w="0" w:type="dxa"/>
              <w:right w:w="15" w:type="dxa"/>
            </w:tcMar>
            <w:vAlign w:val="center"/>
          </w:tcPr>
          <w:p w14:paraId="482A527D"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1</w:t>
            </w:r>
          </w:p>
        </w:tc>
        <w:tc>
          <w:tcPr>
            <w:tcW w:w="3829" w:type="dxa"/>
            <w:shd w:val="clear" w:color="auto" w:fill="FFFFFF" w:themeFill="background1"/>
            <w:tcMar>
              <w:top w:w="15" w:type="dxa"/>
              <w:left w:w="15" w:type="dxa"/>
              <w:bottom w:w="0" w:type="dxa"/>
              <w:right w:w="15" w:type="dxa"/>
            </w:tcMar>
            <w:vAlign w:val="center"/>
          </w:tcPr>
          <w:p w14:paraId="1AAB4F5E" w14:textId="77777777" w:rsidR="002F2DE5" w:rsidRPr="005F5806" w:rsidRDefault="002F2DE5" w:rsidP="00BC3005">
            <w:pPr>
              <w:tabs>
                <w:tab w:val="num" w:pos="851"/>
              </w:tabs>
              <w:spacing w:after="57"/>
              <w:jc w:val="center"/>
              <w:rPr>
                <w:rFonts w:ascii="Verdana" w:hAnsi="Verdana"/>
                <w:bCs/>
              </w:rPr>
            </w:pPr>
            <w:r w:rsidRPr="005F5806">
              <w:rPr>
                <w:rFonts w:ascii="Verdana" w:hAnsi="Verdana"/>
                <w:bCs/>
              </w:rPr>
              <w:t>Acima de R$ 199.999</w:t>
            </w:r>
          </w:p>
        </w:tc>
      </w:tr>
      <w:tr w:rsidR="002F2DE5" w:rsidRPr="005F5806" w14:paraId="70C6BB16"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4A24E54E"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lastRenderedPageBreak/>
              <w:t>Gerente de Área</w:t>
            </w:r>
          </w:p>
        </w:tc>
        <w:tc>
          <w:tcPr>
            <w:tcW w:w="875" w:type="dxa"/>
            <w:shd w:val="clear" w:color="auto" w:fill="FFFFFF" w:themeFill="background1"/>
            <w:tcMar>
              <w:top w:w="15" w:type="dxa"/>
              <w:left w:w="15" w:type="dxa"/>
              <w:bottom w:w="0" w:type="dxa"/>
              <w:right w:w="15" w:type="dxa"/>
            </w:tcMar>
            <w:vAlign w:val="center"/>
          </w:tcPr>
          <w:p w14:paraId="047DACDE"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2</w:t>
            </w:r>
          </w:p>
        </w:tc>
        <w:tc>
          <w:tcPr>
            <w:tcW w:w="3829" w:type="dxa"/>
            <w:shd w:val="clear" w:color="auto" w:fill="FFFFFF" w:themeFill="background1"/>
            <w:tcMar>
              <w:top w:w="15" w:type="dxa"/>
              <w:left w:w="15" w:type="dxa"/>
              <w:bottom w:w="0" w:type="dxa"/>
              <w:right w:w="15" w:type="dxa"/>
            </w:tcMar>
            <w:vAlign w:val="center"/>
          </w:tcPr>
          <w:p w14:paraId="645D77B8" w14:textId="77777777" w:rsidR="002F2DE5" w:rsidRPr="005F5806" w:rsidRDefault="002F2DE5" w:rsidP="00BC3005">
            <w:pPr>
              <w:tabs>
                <w:tab w:val="num" w:pos="851"/>
              </w:tabs>
              <w:spacing w:after="57"/>
              <w:jc w:val="center"/>
              <w:rPr>
                <w:rFonts w:ascii="Verdana" w:hAnsi="Verdana"/>
                <w:bCs/>
              </w:rPr>
            </w:pPr>
            <w:r w:rsidRPr="005F5806">
              <w:rPr>
                <w:rFonts w:ascii="Verdana" w:hAnsi="Verdana"/>
                <w:bCs/>
              </w:rPr>
              <w:t>Até R$ 199.999</w:t>
            </w:r>
          </w:p>
        </w:tc>
      </w:tr>
      <w:tr w:rsidR="002F2DE5" w:rsidRPr="005F5806" w14:paraId="785AEC07"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130434C1"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Diretor Administrativo Financeiro</w:t>
            </w:r>
          </w:p>
        </w:tc>
        <w:tc>
          <w:tcPr>
            <w:tcW w:w="875" w:type="dxa"/>
            <w:shd w:val="clear" w:color="auto" w:fill="FFFFFF" w:themeFill="background1"/>
            <w:tcMar>
              <w:top w:w="15" w:type="dxa"/>
              <w:left w:w="15" w:type="dxa"/>
              <w:bottom w:w="0" w:type="dxa"/>
              <w:right w:w="15" w:type="dxa"/>
            </w:tcMar>
            <w:vAlign w:val="center"/>
            <w:hideMark/>
          </w:tcPr>
          <w:p w14:paraId="23688A09"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3</w:t>
            </w:r>
          </w:p>
        </w:tc>
        <w:tc>
          <w:tcPr>
            <w:tcW w:w="3829" w:type="dxa"/>
            <w:shd w:val="clear" w:color="auto" w:fill="FFFFFF" w:themeFill="background1"/>
            <w:tcMar>
              <w:top w:w="15" w:type="dxa"/>
              <w:left w:w="15" w:type="dxa"/>
              <w:bottom w:w="0" w:type="dxa"/>
              <w:right w:w="15" w:type="dxa"/>
            </w:tcMar>
            <w:vAlign w:val="center"/>
          </w:tcPr>
          <w:p w14:paraId="7C843E67" w14:textId="77777777" w:rsidR="002F2DE5" w:rsidRPr="005F5806" w:rsidRDefault="002F2DE5" w:rsidP="00BC3005">
            <w:pPr>
              <w:tabs>
                <w:tab w:val="num" w:pos="851"/>
              </w:tabs>
              <w:spacing w:after="57"/>
              <w:jc w:val="center"/>
              <w:rPr>
                <w:rFonts w:ascii="Verdana" w:hAnsi="Verdana"/>
              </w:rPr>
            </w:pPr>
            <w:r w:rsidRPr="005F5806">
              <w:rPr>
                <w:rFonts w:ascii="Verdana" w:hAnsi="Verdana"/>
                <w:bCs/>
              </w:rPr>
              <w:t>De R$ 200.000 até R$ 1.999.999</w:t>
            </w:r>
          </w:p>
        </w:tc>
      </w:tr>
      <w:tr w:rsidR="002F2DE5" w:rsidRPr="005F5806" w14:paraId="07F0D95F"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531DB710"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Diretor Superintendente</w:t>
            </w:r>
          </w:p>
        </w:tc>
        <w:tc>
          <w:tcPr>
            <w:tcW w:w="875" w:type="dxa"/>
            <w:shd w:val="clear" w:color="auto" w:fill="FFFFFF" w:themeFill="background1"/>
            <w:tcMar>
              <w:top w:w="15" w:type="dxa"/>
              <w:left w:w="15" w:type="dxa"/>
              <w:bottom w:w="0" w:type="dxa"/>
              <w:right w:w="15" w:type="dxa"/>
            </w:tcMar>
            <w:vAlign w:val="center"/>
            <w:hideMark/>
          </w:tcPr>
          <w:p w14:paraId="3604B7A8"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4</w:t>
            </w:r>
          </w:p>
        </w:tc>
        <w:tc>
          <w:tcPr>
            <w:tcW w:w="3829" w:type="dxa"/>
            <w:shd w:val="clear" w:color="auto" w:fill="FFFFFF" w:themeFill="background1"/>
            <w:tcMar>
              <w:top w:w="15" w:type="dxa"/>
              <w:left w:w="15" w:type="dxa"/>
              <w:bottom w:w="0" w:type="dxa"/>
              <w:right w:w="15" w:type="dxa"/>
            </w:tcMar>
            <w:vAlign w:val="center"/>
          </w:tcPr>
          <w:p w14:paraId="6E066F83" w14:textId="77777777" w:rsidR="002F2DE5" w:rsidRPr="005F5806" w:rsidRDefault="002F2DE5" w:rsidP="00BC3005">
            <w:pPr>
              <w:tabs>
                <w:tab w:val="num" w:pos="851"/>
              </w:tabs>
              <w:spacing w:after="57"/>
              <w:jc w:val="center"/>
              <w:rPr>
                <w:rFonts w:ascii="Verdana" w:hAnsi="Verdana"/>
              </w:rPr>
            </w:pPr>
            <w:r w:rsidRPr="005F5806">
              <w:rPr>
                <w:rFonts w:ascii="Verdana" w:hAnsi="Verdana"/>
                <w:bCs/>
              </w:rPr>
              <w:t>De R$ 2.000.000 até R$ 3.499.999</w:t>
            </w:r>
          </w:p>
        </w:tc>
      </w:tr>
      <w:tr w:rsidR="002F2DE5" w:rsidRPr="005F5806" w14:paraId="1EC23C95"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3DCFD0D4"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Presidente</w:t>
            </w:r>
          </w:p>
        </w:tc>
        <w:tc>
          <w:tcPr>
            <w:tcW w:w="875" w:type="dxa"/>
            <w:shd w:val="clear" w:color="auto" w:fill="FFFFFF" w:themeFill="background1"/>
            <w:tcMar>
              <w:top w:w="15" w:type="dxa"/>
              <w:left w:w="15" w:type="dxa"/>
              <w:bottom w:w="0" w:type="dxa"/>
              <w:right w:w="15" w:type="dxa"/>
            </w:tcMar>
            <w:vAlign w:val="center"/>
            <w:hideMark/>
          </w:tcPr>
          <w:p w14:paraId="688B1B25"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5</w:t>
            </w:r>
          </w:p>
        </w:tc>
        <w:tc>
          <w:tcPr>
            <w:tcW w:w="3829" w:type="dxa"/>
            <w:shd w:val="clear" w:color="auto" w:fill="FFFFFF" w:themeFill="background1"/>
            <w:tcMar>
              <w:top w:w="15" w:type="dxa"/>
              <w:left w:w="15" w:type="dxa"/>
              <w:bottom w:w="0" w:type="dxa"/>
              <w:right w:w="15" w:type="dxa"/>
            </w:tcMar>
            <w:vAlign w:val="center"/>
          </w:tcPr>
          <w:p w14:paraId="3B9D5B3E" w14:textId="77777777" w:rsidR="002F2DE5" w:rsidRPr="005F5806" w:rsidRDefault="002F2DE5" w:rsidP="00BC3005">
            <w:pPr>
              <w:tabs>
                <w:tab w:val="num" w:pos="851"/>
              </w:tabs>
              <w:spacing w:after="57"/>
              <w:jc w:val="center"/>
              <w:rPr>
                <w:rFonts w:ascii="Verdana" w:hAnsi="Verdana"/>
              </w:rPr>
            </w:pPr>
            <w:r w:rsidRPr="005F5806">
              <w:rPr>
                <w:rFonts w:ascii="Verdana" w:hAnsi="Verdana"/>
                <w:bCs/>
              </w:rPr>
              <w:t>De R$ 3.500.000 até R$ 9.999.999</w:t>
            </w:r>
          </w:p>
        </w:tc>
      </w:tr>
      <w:tr w:rsidR="002F2DE5" w:rsidRPr="005F5806" w14:paraId="60F22315" w14:textId="77777777" w:rsidTr="00BC3005">
        <w:trPr>
          <w:trHeight w:val="170"/>
        </w:trPr>
        <w:tc>
          <w:tcPr>
            <w:tcW w:w="3803" w:type="dxa"/>
            <w:shd w:val="clear" w:color="auto" w:fill="FFFFFF" w:themeFill="background1"/>
            <w:tcMar>
              <w:top w:w="15" w:type="dxa"/>
              <w:left w:w="15" w:type="dxa"/>
              <w:bottom w:w="0" w:type="dxa"/>
              <w:right w:w="15" w:type="dxa"/>
            </w:tcMar>
            <w:vAlign w:val="center"/>
          </w:tcPr>
          <w:p w14:paraId="1C9AD88D" w14:textId="77777777" w:rsidR="002F2DE5" w:rsidRPr="005F5806" w:rsidRDefault="002F2DE5" w:rsidP="00BC3005">
            <w:pPr>
              <w:tabs>
                <w:tab w:val="left" w:pos="930"/>
              </w:tabs>
              <w:spacing w:after="57"/>
              <w:jc w:val="center"/>
              <w:rPr>
                <w:rFonts w:ascii="Verdana" w:hAnsi="Verdana"/>
              </w:rPr>
            </w:pPr>
            <w:r w:rsidRPr="005F5806">
              <w:rPr>
                <w:rFonts w:ascii="Verdana" w:hAnsi="Verdana"/>
              </w:rPr>
              <w:t>Presidente, após aprovação específica ou orçamentária pelo Conselho de Administração</w:t>
            </w:r>
          </w:p>
        </w:tc>
        <w:tc>
          <w:tcPr>
            <w:tcW w:w="875" w:type="dxa"/>
            <w:shd w:val="clear" w:color="auto" w:fill="FFFFFF" w:themeFill="background1"/>
            <w:tcMar>
              <w:top w:w="15" w:type="dxa"/>
              <w:left w:w="15" w:type="dxa"/>
              <w:bottom w:w="0" w:type="dxa"/>
              <w:right w:w="15" w:type="dxa"/>
            </w:tcMar>
            <w:vAlign w:val="center"/>
          </w:tcPr>
          <w:p w14:paraId="7B726A71" w14:textId="77777777" w:rsidR="002F2DE5" w:rsidRPr="005F5806" w:rsidRDefault="002F2DE5" w:rsidP="00BC3005">
            <w:pPr>
              <w:tabs>
                <w:tab w:val="num" w:pos="851"/>
              </w:tabs>
              <w:spacing w:after="57"/>
              <w:ind w:left="851" w:hanging="851"/>
              <w:jc w:val="center"/>
              <w:rPr>
                <w:rFonts w:ascii="Verdana" w:hAnsi="Verdana"/>
              </w:rPr>
            </w:pPr>
            <w:r w:rsidRPr="005F5806">
              <w:rPr>
                <w:rFonts w:ascii="Verdana" w:hAnsi="Verdana"/>
              </w:rPr>
              <w:t>5</w:t>
            </w:r>
          </w:p>
        </w:tc>
        <w:tc>
          <w:tcPr>
            <w:tcW w:w="3829" w:type="dxa"/>
            <w:shd w:val="clear" w:color="auto" w:fill="FFFFFF" w:themeFill="background1"/>
            <w:tcMar>
              <w:top w:w="15" w:type="dxa"/>
              <w:left w:w="15" w:type="dxa"/>
              <w:bottom w:w="0" w:type="dxa"/>
              <w:right w:w="15" w:type="dxa"/>
            </w:tcMar>
            <w:vAlign w:val="center"/>
          </w:tcPr>
          <w:p w14:paraId="6F6A6D5B" w14:textId="77777777" w:rsidR="002F2DE5" w:rsidRPr="005F5806" w:rsidRDefault="002F2DE5" w:rsidP="00BC3005">
            <w:pPr>
              <w:tabs>
                <w:tab w:val="num" w:pos="851"/>
              </w:tabs>
              <w:spacing w:after="57"/>
              <w:jc w:val="center"/>
              <w:rPr>
                <w:rFonts w:ascii="Verdana" w:hAnsi="Verdana"/>
              </w:rPr>
            </w:pPr>
            <w:r w:rsidRPr="005F5806">
              <w:rPr>
                <w:rFonts w:ascii="Verdana" w:hAnsi="Verdana"/>
                <w:bCs/>
              </w:rPr>
              <w:t>Acima de R$ 10.000.000</w:t>
            </w:r>
          </w:p>
        </w:tc>
      </w:tr>
      <w:tr w:rsidR="002F2DE5" w:rsidRPr="005F5806" w14:paraId="7E681A9D" w14:textId="77777777" w:rsidTr="00BC3005">
        <w:trPr>
          <w:trHeight w:val="170"/>
        </w:trPr>
        <w:tc>
          <w:tcPr>
            <w:tcW w:w="3803" w:type="dxa"/>
            <w:tcBorders>
              <w:top w:val="single" w:sz="4" w:space="0" w:color="auto"/>
              <w:left w:val="nil"/>
              <w:bottom w:val="single" w:sz="4" w:space="0" w:color="auto"/>
              <w:right w:val="nil"/>
            </w:tcBorders>
            <w:shd w:val="clear" w:color="auto" w:fill="FFFFFF" w:themeFill="background1"/>
            <w:tcMar>
              <w:top w:w="15" w:type="dxa"/>
              <w:left w:w="15" w:type="dxa"/>
              <w:bottom w:w="0" w:type="dxa"/>
              <w:right w:w="15" w:type="dxa"/>
            </w:tcMar>
            <w:vAlign w:val="center"/>
          </w:tcPr>
          <w:p w14:paraId="4438D38A" w14:textId="77777777" w:rsidR="002F2DE5" w:rsidRPr="005F5806" w:rsidRDefault="002F2DE5" w:rsidP="00BC3005">
            <w:pPr>
              <w:tabs>
                <w:tab w:val="num" w:pos="851"/>
              </w:tabs>
              <w:spacing w:after="57"/>
              <w:rPr>
                <w:rFonts w:ascii="Verdana" w:hAnsi="Verdana"/>
              </w:rPr>
            </w:pPr>
          </w:p>
        </w:tc>
        <w:tc>
          <w:tcPr>
            <w:tcW w:w="875" w:type="dxa"/>
            <w:tcBorders>
              <w:top w:val="single" w:sz="4" w:space="0" w:color="auto"/>
              <w:left w:val="nil"/>
              <w:bottom w:val="single" w:sz="4" w:space="0" w:color="auto"/>
              <w:right w:val="nil"/>
            </w:tcBorders>
            <w:shd w:val="clear" w:color="auto" w:fill="FFFFFF" w:themeFill="background1"/>
            <w:tcMar>
              <w:top w:w="15" w:type="dxa"/>
              <w:left w:w="15" w:type="dxa"/>
              <w:bottom w:w="0" w:type="dxa"/>
              <w:right w:w="15" w:type="dxa"/>
            </w:tcMar>
            <w:vAlign w:val="center"/>
          </w:tcPr>
          <w:p w14:paraId="53183916" w14:textId="77777777" w:rsidR="002F2DE5" w:rsidRPr="005F5806" w:rsidRDefault="002F2DE5" w:rsidP="00BC3005">
            <w:pPr>
              <w:tabs>
                <w:tab w:val="num" w:pos="851"/>
              </w:tabs>
              <w:spacing w:after="57"/>
              <w:ind w:left="851" w:hanging="851"/>
              <w:jc w:val="center"/>
              <w:rPr>
                <w:rFonts w:ascii="Verdana" w:hAnsi="Verdana"/>
              </w:rPr>
            </w:pPr>
          </w:p>
        </w:tc>
        <w:tc>
          <w:tcPr>
            <w:tcW w:w="3829" w:type="dxa"/>
            <w:tcBorders>
              <w:top w:val="single" w:sz="4" w:space="0" w:color="auto"/>
              <w:left w:val="nil"/>
              <w:bottom w:val="single" w:sz="4" w:space="0" w:color="auto"/>
              <w:right w:val="nil"/>
            </w:tcBorders>
            <w:shd w:val="clear" w:color="auto" w:fill="FFFFFF" w:themeFill="background1"/>
            <w:tcMar>
              <w:top w:w="15" w:type="dxa"/>
              <w:left w:w="15" w:type="dxa"/>
              <w:bottom w:w="0" w:type="dxa"/>
              <w:right w:w="15" w:type="dxa"/>
            </w:tcMar>
            <w:vAlign w:val="center"/>
          </w:tcPr>
          <w:p w14:paraId="6352E6AB" w14:textId="77777777" w:rsidR="002F2DE5" w:rsidRPr="005F5806" w:rsidRDefault="002F2DE5" w:rsidP="00BC3005">
            <w:pPr>
              <w:spacing w:after="57"/>
              <w:jc w:val="center"/>
              <w:rPr>
                <w:rFonts w:ascii="Verdana" w:hAnsi="Verdana"/>
                <w:bCs/>
              </w:rPr>
            </w:pPr>
          </w:p>
        </w:tc>
      </w:tr>
      <w:tr w:rsidR="002F2DE5" w:rsidRPr="005F5806" w14:paraId="646A69DF" w14:textId="77777777" w:rsidTr="00BC3005">
        <w:trPr>
          <w:trHeight w:val="283"/>
        </w:trPr>
        <w:tc>
          <w:tcPr>
            <w:tcW w:w="8507" w:type="dxa"/>
            <w:gridSpan w:val="3"/>
            <w:tcBorders>
              <w:top w:val="single" w:sz="4" w:space="0" w:color="auto"/>
            </w:tcBorders>
            <w:shd w:val="clear" w:color="auto" w:fill="FFFFFF" w:themeFill="background1"/>
            <w:tcMar>
              <w:top w:w="15" w:type="dxa"/>
              <w:left w:w="15" w:type="dxa"/>
              <w:bottom w:w="0" w:type="dxa"/>
              <w:right w:w="15" w:type="dxa"/>
            </w:tcMar>
            <w:vAlign w:val="center"/>
          </w:tcPr>
          <w:p w14:paraId="7AD1F9D5" w14:textId="77777777" w:rsidR="002F2DE5" w:rsidRPr="005F5806" w:rsidRDefault="002F2DE5" w:rsidP="00BC3005">
            <w:pPr>
              <w:pStyle w:val="PargrafodaLista"/>
              <w:tabs>
                <w:tab w:val="left" w:pos="930"/>
              </w:tabs>
              <w:spacing w:before="60" w:after="57" w:line="240" w:lineRule="auto"/>
              <w:ind w:left="0"/>
              <w:contextualSpacing w:val="0"/>
              <w:jc w:val="center"/>
              <w:rPr>
                <w:rFonts w:ascii="Verdana" w:hAnsi="Verdana"/>
                <w:b/>
                <w:bCs/>
                <w:sz w:val="20"/>
                <w:szCs w:val="20"/>
              </w:rPr>
            </w:pPr>
            <w:r w:rsidRPr="005F5806">
              <w:rPr>
                <w:rFonts w:ascii="Verdana" w:hAnsi="Verdana"/>
                <w:b/>
                <w:bCs/>
                <w:sz w:val="20"/>
                <w:szCs w:val="20"/>
              </w:rPr>
              <w:t xml:space="preserve">Aprovação Ordem e/ou Acordo de Compra - </w:t>
            </w:r>
            <w:r w:rsidRPr="005F5806">
              <w:rPr>
                <w:rFonts w:ascii="Verdana" w:hAnsi="Verdana"/>
                <w:b/>
                <w:bCs/>
                <w:i/>
                <w:iCs/>
                <w:sz w:val="20"/>
                <w:szCs w:val="20"/>
              </w:rPr>
              <w:t>Holding</w:t>
            </w:r>
            <w:r w:rsidRPr="005F5806">
              <w:rPr>
                <w:rFonts w:ascii="Verdana" w:hAnsi="Verdana"/>
                <w:b/>
                <w:bCs/>
                <w:sz w:val="20"/>
                <w:szCs w:val="20"/>
              </w:rPr>
              <w:t xml:space="preserve"> (QPL) </w:t>
            </w:r>
          </w:p>
        </w:tc>
      </w:tr>
      <w:tr w:rsidR="002F2DE5" w:rsidRPr="005F5806" w14:paraId="765DBD4C" w14:textId="77777777" w:rsidTr="00BC3005">
        <w:trPr>
          <w:trHeight w:val="253"/>
        </w:trPr>
        <w:tc>
          <w:tcPr>
            <w:tcW w:w="3803" w:type="dxa"/>
            <w:shd w:val="clear" w:color="auto" w:fill="FFFFFF" w:themeFill="background1"/>
            <w:tcMar>
              <w:top w:w="15" w:type="dxa"/>
              <w:left w:w="15" w:type="dxa"/>
              <w:bottom w:w="0" w:type="dxa"/>
              <w:right w:w="15" w:type="dxa"/>
            </w:tcMar>
            <w:vAlign w:val="center"/>
          </w:tcPr>
          <w:p w14:paraId="616C75D6" w14:textId="77777777" w:rsidR="002F2DE5" w:rsidRPr="005F5806" w:rsidRDefault="002F2DE5" w:rsidP="00BC3005">
            <w:pPr>
              <w:tabs>
                <w:tab w:val="left" w:pos="930"/>
              </w:tabs>
              <w:spacing w:before="20" w:after="57"/>
              <w:jc w:val="center"/>
              <w:rPr>
                <w:rFonts w:ascii="Verdana" w:hAnsi="Verdana"/>
              </w:rPr>
            </w:pPr>
            <w:r w:rsidRPr="005F5806">
              <w:rPr>
                <w:rFonts w:ascii="Verdana" w:hAnsi="Verdana"/>
                <w:b/>
                <w:bCs/>
              </w:rPr>
              <w:t>Aprovador</w:t>
            </w:r>
          </w:p>
        </w:tc>
        <w:tc>
          <w:tcPr>
            <w:tcW w:w="875" w:type="dxa"/>
            <w:shd w:val="clear" w:color="auto" w:fill="FFFFFF" w:themeFill="background1"/>
            <w:tcMar>
              <w:top w:w="15" w:type="dxa"/>
              <w:left w:w="15" w:type="dxa"/>
              <w:bottom w:w="0" w:type="dxa"/>
              <w:right w:w="15" w:type="dxa"/>
            </w:tcMar>
            <w:vAlign w:val="center"/>
          </w:tcPr>
          <w:p w14:paraId="18F18D2D" w14:textId="77777777" w:rsidR="002F2DE5" w:rsidRPr="005F5806" w:rsidRDefault="002F2DE5" w:rsidP="00BC3005">
            <w:pPr>
              <w:tabs>
                <w:tab w:val="left" w:pos="930"/>
              </w:tabs>
              <w:spacing w:before="20" w:after="57"/>
              <w:jc w:val="center"/>
              <w:rPr>
                <w:rFonts w:ascii="Verdana" w:hAnsi="Verdana"/>
              </w:rPr>
            </w:pPr>
            <w:r w:rsidRPr="005F5806">
              <w:rPr>
                <w:rFonts w:ascii="Verdana" w:hAnsi="Verdana"/>
                <w:b/>
                <w:bCs/>
              </w:rPr>
              <w:t>Nível</w:t>
            </w:r>
          </w:p>
        </w:tc>
        <w:tc>
          <w:tcPr>
            <w:tcW w:w="3829" w:type="dxa"/>
            <w:shd w:val="clear" w:color="auto" w:fill="FFFFFF" w:themeFill="background1"/>
            <w:tcMar>
              <w:top w:w="15" w:type="dxa"/>
              <w:left w:w="15" w:type="dxa"/>
              <w:bottom w:w="0" w:type="dxa"/>
              <w:right w:w="15" w:type="dxa"/>
            </w:tcMar>
            <w:vAlign w:val="center"/>
          </w:tcPr>
          <w:p w14:paraId="05C1C98C" w14:textId="77777777" w:rsidR="002F2DE5" w:rsidRPr="005F5806" w:rsidRDefault="002F2DE5" w:rsidP="00BC3005">
            <w:pPr>
              <w:tabs>
                <w:tab w:val="left" w:pos="930"/>
              </w:tabs>
              <w:spacing w:before="20" w:after="57"/>
              <w:jc w:val="center"/>
              <w:rPr>
                <w:rFonts w:ascii="Verdana" w:hAnsi="Verdana"/>
                <w:bCs/>
              </w:rPr>
            </w:pPr>
            <w:r w:rsidRPr="005F5806">
              <w:rPr>
                <w:rFonts w:ascii="Verdana" w:hAnsi="Verdana"/>
                <w:b/>
                <w:bCs/>
              </w:rPr>
              <w:t>Alçada</w:t>
            </w:r>
          </w:p>
        </w:tc>
      </w:tr>
      <w:tr w:rsidR="002F2DE5" w:rsidRPr="005F5806" w14:paraId="7B919FDF" w14:textId="77777777" w:rsidTr="00BC3005">
        <w:trPr>
          <w:trHeight w:val="253"/>
        </w:trPr>
        <w:tc>
          <w:tcPr>
            <w:tcW w:w="3803" w:type="dxa"/>
            <w:shd w:val="clear" w:color="auto" w:fill="auto"/>
            <w:tcMar>
              <w:top w:w="15" w:type="dxa"/>
              <w:left w:w="15" w:type="dxa"/>
              <w:bottom w:w="0" w:type="dxa"/>
              <w:right w:w="15" w:type="dxa"/>
            </w:tcMar>
            <w:vAlign w:val="center"/>
            <w:hideMark/>
          </w:tcPr>
          <w:p w14:paraId="05340AB8" w14:textId="77777777" w:rsidR="002F2DE5" w:rsidRPr="005F5806" w:rsidRDefault="002F2DE5" w:rsidP="00BC3005">
            <w:pPr>
              <w:tabs>
                <w:tab w:val="left" w:pos="930"/>
              </w:tabs>
              <w:spacing w:before="20" w:after="57"/>
              <w:jc w:val="center"/>
              <w:rPr>
                <w:rFonts w:ascii="Verdana" w:hAnsi="Verdana"/>
                <w:b/>
                <w:bCs/>
              </w:rPr>
            </w:pPr>
            <w:r w:rsidRPr="005F5806">
              <w:rPr>
                <w:rFonts w:ascii="Verdana" w:hAnsi="Verdana"/>
              </w:rPr>
              <w:t>Gerente de Suprimentos</w:t>
            </w:r>
          </w:p>
        </w:tc>
        <w:tc>
          <w:tcPr>
            <w:tcW w:w="875" w:type="dxa"/>
            <w:shd w:val="clear" w:color="auto" w:fill="auto"/>
            <w:tcMar>
              <w:top w:w="15" w:type="dxa"/>
              <w:left w:w="15" w:type="dxa"/>
              <w:bottom w:w="0" w:type="dxa"/>
              <w:right w:w="15" w:type="dxa"/>
            </w:tcMar>
            <w:vAlign w:val="center"/>
            <w:hideMark/>
          </w:tcPr>
          <w:p w14:paraId="388BDCEE" w14:textId="77777777" w:rsidR="002F2DE5" w:rsidRPr="005F5806" w:rsidRDefault="002F2DE5" w:rsidP="00BC3005">
            <w:pPr>
              <w:tabs>
                <w:tab w:val="left" w:pos="930"/>
              </w:tabs>
              <w:spacing w:before="20" w:after="57"/>
              <w:jc w:val="center"/>
              <w:rPr>
                <w:rFonts w:ascii="Verdana" w:hAnsi="Verdana"/>
              </w:rPr>
            </w:pPr>
            <w:r w:rsidRPr="005F5806">
              <w:rPr>
                <w:rFonts w:ascii="Verdana" w:hAnsi="Verdana"/>
              </w:rPr>
              <w:t>1</w:t>
            </w:r>
          </w:p>
        </w:tc>
        <w:tc>
          <w:tcPr>
            <w:tcW w:w="3829" w:type="dxa"/>
            <w:shd w:val="clear" w:color="auto" w:fill="auto"/>
            <w:tcMar>
              <w:top w:w="15" w:type="dxa"/>
              <w:left w:w="15" w:type="dxa"/>
              <w:bottom w:w="0" w:type="dxa"/>
              <w:right w:w="15" w:type="dxa"/>
            </w:tcMar>
            <w:vAlign w:val="center"/>
          </w:tcPr>
          <w:p w14:paraId="68A7771E" w14:textId="77777777" w:rsidR="002F2DE5" w:rsidRPr="005F5806" w:rsidRDefault="002F2DE5" w:rsidP="00BC3005">
            <w:pPr>
              <w:tabs>
                <w:tab w:val="left" w:pos="930"/>
              </w:tabs>
              <w:spacing w:before="20" w:after="57"/>
              <w:jc w:val="center"/>
              <w:rPr>
                <w:rFonts w:ascii="Verdana" w:hAnsi="Verdana"/>
              </w:rPr>
            </w:pPr>
            <w:r w:rsidRPr="005F5806">
              <w:rPr>
                <w:rFonts w:ascii="Verdana" w:hAnsi="Verdana"/>
                <w:bCs/>
              </w:rPr>
              <w:t>Até R$ 199.999</w:t>
            </w:r>
          </w:p>
        </w:tc>
      </w:tr>
      <w:tr w:rsidR="002F2DE5" w:rsidRPr="005F5806" w14:paraId="548740C6" w14:textId="77777777" w:rsidTr="00BC3005">
        <w:trPr>
          <w:trHeight w:val="221"/>
        </w:trPr>
        <w:tc>
          <w:tcPr>
            <w:tcW w:w="3803" w:type="dxa"/>
            <w:shd w:val="clear" w:color="auto" w:fill="FFFFFF" w:themeFill="background1"/>
            <w:tcMar>
              <w:top w:w="15" w:type="dxa"/>
              <w:left w:w="15" w:type="dxa"/>
              <w:bottom w:w="0" w:type="dxa"/>
              <w:right w:w="15" w:type="dxa"/>
            </w:tcMar>
            <w:vAlign w:val="center"/>
          </w:tcPr>
          <w:p w14:paraId="1CAF3662" w14:textId="77777777" w:rsidR="002F2DE5" w:rsidRPr="005F5806" w:rsidRDefault="002F2DE5" w:rsidP="00BC3005">
            <w:pPr>
              <w:tabs>
                <w:tab w:val="left" w:pos="930"/>
              </w:tabs>
              <w:spacing w:after="57"/>
              <w:jc w:val="center"/>
              <w:rPr>
                <w:rFonts w:ascii="Verdana" w:hAnsi="Verdana"/>
                <w:bCs/>
              </w:rPr>
            </w:pPr>
            <w:r w:rsidRPr="005F5806">
              <w:rPr>
                <w:rFonts w:ascii="Verdana" w:hAnsi="Verdana"/>
              </w:rPr>
              <w:t xml:space="preserve">Diretor </w:t>
            </w:r>
            <w:proofErr w:type="spellStart"/>
            <w:r w:rsidRPr="005F5806">
              <w:rPr>
                <w:rFonts w:ascii="Verdana" w:hAnsi="Verdana"/>
                <w:i/>
                <w:iCs/>
              </w:rPr>
              <w:t>Supply</w:t>
            </w:r>
            <w:proofErr w:type="spellEnd"/>
            <w:r w:rsidRPr="005F5806">
              <w:rPr>
                <w:rFonts w:ascii="Verdana" w:hAnsi="Verdana"/>
                <w:i/>
                <w:iCs/>
              </w:rPr>
              <w:t xml:space="preserve"> Chain</w:t>
            </w:r>
          </w:p>
        </w:tc>
        <w:tc>
          <w:tcPr>
            <w:tcW w:w="875" w:type="dxa"/>
            <w:shd w:val="clear" w:color="auto" w:fill="FFFFFF" w:themeFill="background1"/>
            <w:tcMar>
              <w:top w:w="15" w:type="dxa"/>
              <w:left w:w="15" w:type="dxa"/>
              <w:bottom w:w="0" w:type="dxa"/>
              <w:right w:w="15" w:type="dxa"/>
            </w:tcMar>
            <w:vAlign w:val="center"/>
            <w:hideMark/>
          </w:tcPr>
          <w:p w14:paraId="08C6178F" w14:textId="77777777" w:rsidR="002F2DE5" w:rsidRPr="005F5806" w:rsidRDefault="002F2DE5" w:rsidP="00BC3005">
            <w:pPr>
              <w:tabs>
                <w:tab w:val="left" w:pos="930"/>
              </w:tabs>
              <w:spacing w:after="57"/>
              <w:jc w:val="center"/>
              <w:rPr>
                <w:rFonts w:ascii="Verdana" w:hAnsi="Verdana"/>
              </w:rPr>
            </w:pPr>
            <w:r w:rsidRPr="005F5806">
              <w:rPr>
                <w:rFonts w:ascii="Verdana" w:hAnsi="Verdana"/>
              </w:rPr>
              <w:t>1</w:t>
            </w:r>
          </w:p>
        </w:tc>
        <w:tc>
          <w:tcPr>
            <w:tcW w:w="3829" w:type="dxa"/>
            <w:shd w:val="clear" w:color="auto" w:fill="FFFFFF" w:themeFill="background1"/>
            <w:tcMar>
              <w:top w:w="15" w:type="dxa"/>
              <w:left w:w="15" w:type="dxa"/>
              <w:bottom w:w="0" w:type="dxa"/>
              <w:right w:w="15" w:type="dxa"/>
            </w:tcMar>
            <w:vAlign w:val="center"/>
          </w:tcPr>
          <w:p w14:paraId="32828724" w14:textId="77777777" w:rsidR="002F2DE5" w:rsidRPr="005F5806" w:rsidRDefault="002F2DE5" w:rsidP="00BC3005">
            <w:pPr>
              <w:tabs>
                <w:tab w:val="left" w:pos="930"/>
              </w:tabs>
              <w:spacing w:after="57"/>
              <w:jc w:val="center"/>
              <w:rPr>
                <w:rFonts w:ascii="Verdana" w:hAnsi="Verdana"/>
              </w:rPr>
            </w:pPr>
            <w:r w:rsidRPr="005F5806">
              <w:rPr>
                <w:rFonts w:ascii="Verdana" w:hAnsi="Verdana"/>
                <w:bCs/>
              </w:rPr>
              <w:t>Acima de R$ 199.999</w:t>
            </w:r>
          </w:p>
        </w:tc>
      </w:tr>
      <w:tr w:rsidR="002F2DE5" w:rsidRPr="005F5806" w14:paraId="23BE918A" w14:textId="77777777" w:rsidTr="00BC3005">
        <w:trPr>
          <w:trHeight w:val="221"/>
        </w:trPr>
        <w:tc>
          <w:tcPr>
            <w:tcW w:w="3803" w:type="dxa"/>
            <w:shd w:val="clear" w:color="auto" w:fill="FFFFFF" w:themeFill="background1"/>
            <w:tcMar>
              <w:top w:w="15" w:type="dxa"/>
              <w:left w:w="15" w:type="dxa"/>
              <w:bottom w:w="0" w:type="dxa"/>
              <w:right w:w="15" w:type="dxa"/>
            </w:tcMar>
            <w:vAlign w:val="center"/>
          </w:tcPr>
          <w:p w14:paraId="63CCDDD2" w14:textId="77777777" w:rsidR="002F2DE5" w:rsidRPr="005F5806" w:rsidRDefault="002F2DE5" w:rsidP="00BC3005">
            <w:pPr>
              <w:tabs>
                <w:tab w:val="left" w:pos="930"/>
              </w:tabs>
              <w:spacing w:after="57"/>
              <w:jc w:val="center"/>
              <w:rPr>
                <w:rFonts w:ascii="Verdana" w:hAnsi="Verdana"/>
              </w:rPr>
            </w:pPr>
            <w:r w:rsidRPr="005F5806">
              <w:rPr>
                <w:rFonts w:ascii="Verdana" w:hAnsi="Verdana"/>
              </w:rPr>
              <w:t>Gerente de Área</w:t>
            </w:r>
          </w:p>
        </w:tc>
        <w:tc>
          <w:tcPr>
            <w:tcW w:w="875" w:type="dxa"/>
            <w:shd w:val="clear" w:color="auto" w:fill="FFFFFF" w:themeFill="background1"/>
            <w:tcMar>
              <w:top w:w="15" w:type="dxa"/>
              <w:left w:w="15" w:type="dxa"/>
              <w:bottom w:w="0" w:type="dxa"/>
              <w:right w:w="15" w:type="dxa"/>
            </w:tcMar>
            <w:vAlign w:val="center"/>
          </w:tcPr>
          <w:p w14:paraId="45669EBA" w14:textId="77777777" w:rsidR="002F2DE5" w:rsidRPr="005F5806" w:rsidRDefault="002F2DE5" w:rsidP="00BC3005">
            <w:pPr>
              <w:tabs>
                <w:tab w:val="left" w:pos="930"/>
              </w:tabs>
              <w:spacing w:after="57"/>
              <w:jc w:val="center"/>
              <w:rPr>
                <w:rFonts w:ascii="Verdana" w:hAnsi="Verdana"/>
              </w:rPr>
            </w:pPr>
            <w:r w:rsidRPr="005F5806">
              <w:rPr>
                <w:rFonts w:ascii="Verdana" w:hAnsi="Verdana"/>
              </w:rPr>
              <w:t>2</w:t>
            </w:r>
          </w:p>
        </w:tc>
        <w:tc>
          <w:tcPr>
            <w:tcW w:w="3829" w:type="dxa"/>
            <w:shd w:val="clear" w:color="auto" w:fill="FFFFFF" w:themeFill="background1"/>
            <w:tcMar>
              <w:top w:w="15" w:type="dxa"/>
              <w:left w:w="15" w:type="dxa"/>
              <w:bottom w:w="0" w:type="dxa"/>
              <w:right w:w="15" w:type="dxa"/>
            </w:tcMar>
            <w:vAlign w:val="center"/>
          </w:tcPr>
          <w:p w14:paraId="0CE40C75" w14:textId="77777777" w:rsidR="002F2DE5" w:rsidRPr="005F5806" w:rsidRDefault="002F2DE5" w:rsidP="00BC3005">
            <w:pPr>
              <w:tabs>
                <w:tab w:val="left" w:pos="930"/>
              </w:tabs>
              <w:spacing w:after="57"/>
              <w:jc w:val="center"/>
              <w:rPr>
                <w:rFonts w:ascii="Verdana" w:hAnsi="Verdana"/>
                <w:bCs/>
              </w:rPr>
            </w:pPr>
            <w:r w:rsidRPr="005F5806">
              <w:rPr>
                <w:rFonts w:ascii="Verdana" w:hAnsi="Verdana"/>
                <w:bCs/>
              </w:rPr>
              <w:t>Até R$ 199.999</w:t>
            </w:r>
          </w:p>
        </w:tc>
      </w:tr>
      <w:tr w:rsidR="002F2DE5" w:rsidRPr="005F5806" w14:paraId="48EC05E2" w14:textId="77777777" w:rsidTr="00BC3005">
        <w:trPr>
          <w:trHeight w:val="221"/>
        </w:trPr>
        <w:tc>
          <w:tcPr>
            <w:tcW w:w="3803" w:type="dxa"/>
            <w:shd w:val="clear" w:color="auto" w:fill="FFFFFF" w:themeFill="background1"/>
            <w:tcMar>
              <w:top w:w="15" w:type="dxa"/>
              <w:left w:w="15" w:type="dxa"/>
              <w:bottom w:w="0" w:type="dxa"/>
              <w:right w:w="15" w:type="dxa"/>
            </w:tcMar>
            <w:vAlign w:val="center"/>
          </w:tcPr>
          <w:p w14:paraId="60E214FA" w14:textId="77777777" w:rsidR="002F2DE5" w:rsidRPr="005F5806" w:rsidRDefault="002F2DE5" w:rsidP="00BC3005">
            <w:pPr>
              <w:tabs>
                <w:tab w:val="left" w:pos="930"/>
              </w:tabs>
              <w:spacing w:after="57"/>
              <w:jc w:val="center"/>
              <w:rPr>
                <w:rFonts w:ascii="Verdana" w:hAnsi="Verdana"/>
                <w:bCs/>
              </w:rPr>
            </w:pPr>
            <w:r w:rsidRPr="005F5806">
              <w:rPr>
                <w:rFonts w:ascii="Verdana" w:hAnsi="Verdana" w:cs="Arial"/>
                <w:color w:val="000000"/>
                <w:kern w:val="24"/>
              </w:rPr>
              <w:t xml:space="preserve">Diretor </w:t>
            </w:r>
            <w:r w:rsidRPr="005F5806">
              <w:rPr>
                <w:rFonts w:ascii="Verdana" w:hAnsi="Verdana"/>
              </w:rPr>
              <w:t>Corporativo</w:t>
            </w:r>
          </w:p>
        </w:tc>
        <w:tc>
          <w:tcPr>
            <w:tcW w:w="875" w:type="dxa"/>
            <w:shd w:val="clear" w:color="auto" w:fill="FFFFFF" w:themeFill="background1"/>
            <w:tcMar>
              <w:top w:w="15" w:type="dxa"/>
              <w:left w:w="15" w:type="dxa"/>
              <w:bottom w:w="0" w:type="dxa"/>
              <w:right w:w="15" w:type="dxa"/>
            </w:tcMar>
            <w:vAlign w:val="center"/>
            <w:hideMark/>
          </w:tcPr>
          <w:p w14:paraId="5C4B9D5A" w14:textId="77777777" w:rsidR="002F2DE5" w:rsidRPr="005F5806" w:rsidRDefault="002F2DE5" w:rsidP="00BC3005">
            <w:pPr>
              <w:tabs>
                <w:tab w:val="left" w:pos="930"/>
              </w:tabs>
              <w:spacing w:after="57"/>
              <w:jc w:val="center"/>
              <w:rPr>
                <w:rFonts w:ascii="Verdana" w:hAnsi="Verdana"/>
              </w:rPr>
            </w:pPr>
            <w:r w:rsidRPr="005F5806">
              <w:rPr>
                <w:rFonts w:ascii="Verdana" w:hAnsi="Verdana"/>
              </w:rPr>
              <w:t>3</w:t>
            </w:r>
          </w:p>
        </w:tc>
        <w:tc>
          <w:tcPr>
            <w:tcW w:w="3829" w:type="dxa"/>
            <w:shd w:val="clear" w:color="auto" w:fill="FFFFFF" w:themeFill="background1"/>
            <w:tcMar>
              <w:top w:w="15" w:type="dxa"/>
              <w:left w:w="15" w:type="dxa"/>
              <w:bottom w:w="0" w:type="dxa"/>
              <w:right w:w="15" w:type="dxa"/>
            </w:tcMar>
            <w:vAlign w:val="center"/>
          </w:tcPr>
          <w:p w14:paraId="5BE05A10" w14:textId="77777777" w:rsidR="002F2DE5" w:rsidRPr="005F5806" w:rsidRDefault="002F2DE5" w:rsidP="00BC3005">
            <w:pPr>
              <w:tabs>
                <w:tab w:val="left" w:pos="930"/>
              </w:tabs>
              <w:spacing w:after="57"/>
              <w:jc w:val="center"/>
              <w:rPr>
                <w:rFonts w:ascii="Verdana" w:hAnsi="Verdana"/>
              </w:rPr>
            </w:pPr>
            <w:r w:rsidRPr="005F5806">
              <w:rPr>
                <w:rFonts w:ascii="Verdana" w:hAnsi="Verdana" w:cs="Arial"/>
                <w:bCs/>
                <w:color w:val="000000"/>
                <w:kern w:val="24"/>
              </w:rPr>
              <w:t>De R$ 200.000 a R$ 999.999</w:t>
            </w:r>
          </w:p>
        </w:tc>
      </w:tr>
      <w:tr w:rsidR="002F2DE5" w:rsidRPr="005F5806" w14:paraId="4531EEAB" w14:textId="77777777" w:rsidTr="00BC3005">
        <w:trPr>
          <w:trHeight w:val="221"/>
        </w:trPr>
        <w:tc>
          <w:tcPr>
            <w:tcW w:w="3803" w:type="dxa"/>
            <w:shd w:val="clear" w:color="auto" w:fill="FFFFFF" w:themeFill="background1"/>
            <w:tcMar>
              <w:top w:w="15" w:type="dxa"/>
              <w:left w:w="15" w:type="dxa"/>
              <w:bottom w:w="0" w:type="dxa"/>
              <w:right w:w="15" w:type="dxa"/>
            </w:tcMar>
            <w:vAlign w:val="center"/>
          </w:tcPr>
          <w:p w14:paraId="21AA826D" w14:textId="77777777" w:rsidR="002F2DE5" w:rsidRPr="005F5806" w:rsidRDefault="002F2DE5" w:rsidP="00BC3005">
            <w:pPr>
              <w:tabs>
                <w:tab w:val="left" w:pos="930"/>
              </w:tabs>
              <w:spacing w:after="57"/>
              <w:jc w:val="center"/>
              <w:rPr>
                <w:rFonts w:ascii="Verdana" w:hAnsi="Verdana"/>
                <w:bCs/>
              </w:rPr>
            </w:pPr>
            <w:r w:rsidRPr="005F5806">
              <w:rPr>
                <w:rFonts w:ascii="Verdana" w:hAnsi="Verdana"/>
              </w:rPr>
              <w:t xml:space="preserve">Diretor Estatutário ou </w:t>
            </w:r>
            <w:r w:rsidRPr="005F5806">
              <w:rPr>
                <w:rFonts w:ascii="Verdana" w:hAnsi="Verdana" w:cs="Arial"/>
                <w:color w:val="000000"/>
                <w:kern w:val="24"/>
              </w:rPr>
              <w:t>de Área</w:t>
            </w:r>
          </w:p>
        </w:tc>
        <w:tc>
          <w:tcPr>
            <w:tcW w:w="875" w:type="dxa"/>
            <w:shd w:val="clear" w:color="auto" w:fill="FFFFFF" w:themeFill="background1"/>
            <w:tcMar>
              <w:top w:w="15" w:type="dxa"/>
              <w:left w:w="15" w:type="dxa"/>
              <w:bottom w:w="0" w:type="dxa"/>
              <w:right w:w="15" w:type="dxa"/>
            </w:tcMar>
            <w:vAlign w:val="center"/>
          </w:tcPr>
          <w:p w14:paraId="255A427A" w14:textId="77777777" w:rsidR="002F2DE5" w:rsidRPr="005F5806" w:rsidRDefault="002F2DE5" w:rsidP="00BC3005">
            <w:pPr>
              <w:tabs>
                <w:tab w:val="left" w:pos="930"/>
              </w:tabs>
              <w:spacing w:after="57"/>
              <w:jc w:val="center"/>
              <w:rPr>
                <w:rFonts w:ascii="Verdana" w:hAnsi="Verdana"/>
              </w:rPr>
            </w:pPr>
            <w:r w:rsidRPr="005F5806">
              <w:rPr>
                <w:rFonts w:ascii="Verdana" w:hAnsi="Verdana"/>
              </w:rPr>
              <w:t>4</w:t>
            </w:r>
          </w:p>
        </w:tc>
        <w:tc>
          <w:tcPr>
            <w:tcW w:w="3829" w:type="dxa"/>
            <w:shd w:val="clear" w:color="auto" w:fill="FFFFFF" w:themeFill="background1"/>
            <w:tcMar>
              <w:top w:w="15" w:type="dxa"/>
              <w:left w:w="15" w:type="dxa"/>
              <w:bottom w:w="0" w:type="dxa"/>
              <w:right w:w="15" w:type="dxa"/>
            </w:tcMar>
            <w:vAlign w:val="center"/>
          </w:tcPr>
          <w:p w14:paraId="12B5029D" w14:textId="77777777" w:rsidR="002F2DE5" w:rsidRPr="005F5806" w:rsidRDefault="002F2DE5" w:rsidP="00BC3005">
            <w:pPr>
              <w:tabs>
                <w:tab w:val="left" w:pos="930"/>
              </w:tabs>
              <w:spacing w:after="57"/>
              <w:jc w:val="center"/>
              <w:rPr>
                <w:rFonts w:ascii="Verdana" w:hAnsi="Verdana"/>
              </w:rPr>
            </w:pPr>
            <w:r w:rsidRPr="005F5806">
              <w:rPr>
                <w:rFonts w:ascii="Verdana" w:hAnsi="Verdana"/>
                <w:bCs/>
              </w:rPr>
              <w:t>De R$ 1.000.000 a R$ 3.499.999</w:t>
            </w:r>
          </w:p>
        </w:tc>
      </w:tr>
      <w:tr w:rsidR="002F2DE5" w:rsidRPr="005F5806" w14:paraId="4C5C0404" w14:textId="77777777" w:rsidTr="00BC3005">
        <w:trPr>
          <w:trHeight w:val="221"/>
        </w:trPr>
        <w:tc>
          <w:tcPr>
            <w:tcW w:w="3803" w:type="dxa"/>
            <w:shd w:val="clear" w:color="auto" w:fill="FFFFFF" w:themeFill="background1"/>
            <w:tcMar>
              <w:top w:w="15" w:type="dxa"/>
              <w:left w:w="15" w:type="dxa"/>
              <w:bottom w:w="0" w:type="dxa"/>
              <w:right w:w="15" w:type="dxa"/>
            </w:tcMar>
            <w:vAlign w:val="center"/>
          </w:tcPr>
          <w:p w14:paraId="279DE15A" w14:textId="77777777" w:rsidR="002F2DE5" w:rsidRPr="005F5806" w:rsidRDefault="002F2DE5" w:rsidP="00BC3005">
            <w:pPr>
              <w:tabs>
                <w:tab w:val="left" w:pos="930"/>
              </w:tabs>
              <w:spacing w:after="57"/>
              <w:jc w:val="center"/>
              <w:rPr>
                <w:rFonts w:ascii="Verdana" w:hAnsi="Verdana"/>
                <w:bCs/>
              </w:rPr>
            </w:pPr>
            <w:r w:rsidRPr="005F5806">
              <w:rPr>
                <w:rFonts w:ascii="Verdana" w:hAnsi="Verdana"/>
              </w:rPr>
              <w:t>Presidente</w:t>
            </w:r>
          </w:p>
        </w:tc>
        <w:tc>
          <w:tcPr>
            <w:tcW w:w="875" w:type="dxa"/>
            <w:shd w:val="clear" w:color="auto" w:fill="FFFFFF" w:themeFill="background1"/>
            <w:tcMar>
              <w:top w:w="15" w:type="dxa"/>
              <w:left w:w="15" w:type="dxa"/>
              <w:bottom w:w="0" w:type="dxa"/>
              <w:right w:w="15" w:type="dxa"/>
            </w:tcMar>
            <w:vAlign w:val="center"/>
          </w:tcPr>
          <w:p w14:paraId="6EDAFB41" w14:textId="77777777" w:rsidR="002F2DE5" w:rsidRPr="005F5806" w:rsidRDefault="002F2DE5" w:rsidP="00BC3005">
            <w:pPr>
              <w:tabs>
                <w:tab w:val="left" w:pos="930"/>
              </w:tabs>
              <w:spacing w:after="57"/>
              <w:jc w:val="center"/>
              <w:rPr>
                <w:rFonts w:ascii="Verdana" w:hAnsi="Verdana"/>
              </w:rPr>
            </w:pPr>
            <w:r w:rsidRPr="005F5806">
              <w:rPr>
                <w:rFonts w:ascii="Verdana" w:hAnsi="Verdana"/>
              </w:rPr>
              <w:t>5</w:t>
            </w:r>
          </w:p>
        </w:tc>
        <w:tc>
          <w:tcPr>
            <w:tcW w:w="3829" w:type="dxa"/>
            <w:shd w:val="clear" w:color="auto" w:fill="FFFFFF" w:themeFill="background1"/>
            <w:tcMar>
              <w:top w:w="15" w:type="dxa"/>
              <w:left w:w="15" w:type="dxa"/>
              <w:bottom w:w="0" w:type="dxa"/>
              <w:right w:w="15" w:type="dxa"/>
            </w:tcMar>
            <w:vAlign w:val="center"/>
          </w:tcPr>
          <w:p w14:paraId="61E5EA57" w14:textId="77777777" w:rsidR="002F2DE5" w:rsidRPr="005F5806" w:rsidRDefault="002F2DE5" w:rsidP="00BC3005">
            <w:pPr>
              <w:tabs>
                <w:tab w:val="left" w:pos="930"/>
              </w:tabs>
              <w:spacing w:after="57"/>
              <w:jc w:val="center"/>
              <w:rPr>
                <w:rFonts w:ascii="Verdana" w:hAnsi="Verdana"/>
              </w:rPr>
            </w:pPr>
            <w:r w:rsidRPr="005F5806">
              <w:rPr>
                <w:rFonts w:ascii="Verdana" w:hAnsi="Verdana"/>
                <w:bCs/>
              </w:rPr>
              <w:t>De R$ 3.500.000 até R$ 9.999.999</w:t>
            </w:r>
          </w:p>
        </w:tc>
      </w:tr>
      <w:tr w:rsidR="002F2DE5" w:rsidRPr="005F5806" w14:paraId="1842C8C9" w14:textId="77777777" w:rsidTr="00BC3005">
        <w:trPr>
          <w:trHeight w:val="121"/>
        </w:trPr>
        <w:tc>
          <w:tcPr>
            <w:tcW w:w="3803" w:type="dxa"/>
            <w:shd w:val="clear" w:color="auto" w:fill="FFFFFF" w:themeFill="background1"/>
            <w:tcMar>
              <w:top w:w="15" w:type="dxa"/>
              <w:left w:w="15" w:type="dxa"/>
              <w:bottom w:w="0" w:type="dxa"/>
              <w:right w:w="15" w:type="dxa"/>
            </w:tcMar>
            <w:vAlign w:val="center"/>
          </w:tcPr>
          <w:p w14:paraId="0112E353" w14:textId="77777777" w:rsidR="002F2DE5" w:rsidRPr="005F5806" w:rsidRDefault="002F2DE5" w:rsidP="00BC3005">
            <w:pPr>
              <w:tabs>
                <w:tab w:val="left" w:pos="930"/>
              </w:tabs>
              <w:spacing w:after="57"/>
              <w:jc w:val="center"/>
              <w:rPr>
                <w:rFonts w:ascii="Verdana" w:hAnsi="Verdana"/>
                <w:bCs/>
              </w:rPr>
            </w:pPr>
            <w:r w:rsidRPr="005F5806">
              <w:rPr>
                <w:rFonts w:ascii="Verdana" w:hAnsi="Verdana"/>
              </w:rPr>
              <w:t>Presidente, após aprovação específica ou orçamentária pelo Conselho de Administração</w:t>
            </w:r>
          </w:p>
        </w:tc>
        <w:tc>
          <w:tcPr>
            <w:tcW w:w="875" w:type="dxa"/>
            <w:shd w:val="clear" w:color="auto" w:fill="FFFFFF" w:themeFill="background1"/>
            <w:tcMar>
              <w:top w:w="15" w:type="dxa"/>
              <w:left w:w="15" w:type="dxa"/>
              <w:bottom w:w="0" w:type="dxa"/>
              <w:right w:w="15" w:type="dxa"/>
            </w:tcMar>
            <w:vAlign w:val="center"/>
          </w:tcPr>
          <w:p w14:paraId="4CA7A0C6" w14:textId="77777777" w:rsidR="002F2DE5" w:rsidRPr="005F5806" w:rsidRDefault="002F2DE5" w:rsidP="00BC3005">
            <w:pPr>
              <w:tabs>
                <w:tab w:val="left" w:pos="930"/>
              </w:tabs>
              <w:spacing w:after="57"/>
              <w:jc w:val="center"/>
              <w:rPr>
                <w:rFonts w:ascii="Verdana" w:hAnsi="Verdana"/>
              </w:rPr>
            </w:pPr>
            <w:r w:rsidRPr="005F5806">
              <w:rPr>
                <w:rFonts w:ascii="Verdana" w:hAnsi="Verdana"/>
              </w:rPr>
              <w:t>5</w:t>
            </w:r>
          </w:p>
        </w:tc>
        <w:tc>
          <w:tcPr>
            <w:tcW w:w="3829" w:type="dxa"/>
            <w:shd w:val="clear" w:color="auto" w:fill="FFFFFF" w:themeFill="background1"/>
            <w:tcMar>
              <w:top w:w="15" w:type="dxa"/>
              <w:left w:w="15" w:type="dxa"/>
              <w:bottom w:w="0" w:type="dxa"/>
              <w:right w:w="15" w:type="dxa"/>
            </w:tcMar>
            <w:vAlign w:val="center"/>
          </w:tcPr>
          <w:p w14:paraId="55CF998E" w14:textId="77777777" w:rsidR="002F2DE5" w:rsidRPr="005F5806" w:rsidRDefault="002F2DE5" w:rsidP="00BC3005">
            <w:pPr>
              <w:tabs>
                <w:tab w:val="left" w:pos="930"/>
              </w:tabs>
              <w:spacing w:after="57"/>
              <w:jc w:val="center"/>
              <w:rPr>
                <w:rFonts w:ascii="Verdana" w:hAnsi="Verdana"/>
              </w:rPr>
            </w:pPr>
            <w:r w:rsidRPr="005F5806">
              <w:rPr>
                <w:rFonts w:ascii="Verdana" w:hAnsi="Verdana"/>
                <w:bCs/>
              </w:rPr>
              <w:t>Acima de R$ 10.000.000</w:t>
            </w:r>
          </w:p>
        </w:tc>
      </w:tr>
      <w:bookmarkEnd w:id="70"/>
      <w:bookmarkEnd w:id="71"/>
    </w:tbl>
    <w:p w14:paraId="0489799C" w14:textId="77777777" w:rsidR="005D014C" w:rsidRDefault="005D014C" w:rsidP="005D014C">
      <w:pPr>
        <w:tabs>
          <w:tab w:val="num" w:pos="4820"/>
        </w:tabs>
        <w:spacing w:beforeLines="120" w:before="288" w:afterLines="120" w:after="288" w:line="240" w:lineRule="atLeast"/>
        <w:ind w:left="851"/>
        <w:jc w:val="both"/>
        <w:rPr>
          <w:rFonts w:ascii="Verdana" w:hAnsi="Verdana" w:cs="Verdana"/>
        </w:rPr>
      </w:pPr>
    </w:p>
    <w:p w14:paraId="551D8595" w14:textId="17B136A1" w:rsidR="002F2DE5" w:rsidRPr="00A605A1" w:rsidRDefault="002F2DE5" w:rsidP="00861E8F">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A605A1">
        <w:rPr>
          <w:rFonts w:ascii="Verdana" w:hAnsi="Verdana" w:cs="Verdana"/>
        </w:rPr>
        <w:t>As aprovações para aquisição de ativo imobilizado devem seguir, além do disposto nesta Política, as diretrizes da Política de Ativo Fixo e Política de Transportes e Mobilidade.</w:t>
      </w:r>
    </w:p>
    <w:p w14:paraId="689A98AB" w14:textId="77777777" w:rsidR="002F2DE5" w:rsidRPr="005F5806" w:rsidRDefault="002F2DE5" w:rsidP="00861E8F">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Na hipótese de extinção, vacância ou inexistência de cargo e/ou nível hierárquico com alçada prevista nesta Política, a decisão deve ser submetida à pessoa com cargo imediatamente superior, conforme estabelece a Política de Alçadas.</w:t>
      </w:r>
    </w:p>
    <w:p w14:paraId="0DDFB569" w14:textId="77777777" w:rsidR="002F2DE5" w:rsidRDefault="002F2DE5" w:rsidP="00861E8F">
      <w:pPr>
        <w:numPr>
          <w:ilvl w:val="4"/>
          <w:numId w:val="1"/>
        </w:numPr>
        <w:tabs>
          <w:tab w:val="clear" w:pos="1080"/>
          <w:tab w:val="num" w:pos="851"/>
          <w:tab w:val="num" w:pos="4820"/>
        </w:tabs>
        <w:spacing w:beforeLines="120" w:before="288" w:afterLines="120" w:after="288" w:line="240" w:lineRule="atLeast"/>
        <w:ind w:left="851" w:hanging="851"/>
        <w:jc w:val="both"/>
        <w:rPr>
          <w:rFonts w:ascii="Verdana" w:hAnsi="Verdana" w:cs="Verdana"/>
        </w:rPr>
      </w:pPr>
      <w:r w:rsidRPr="005F5806">
        <w:rPr>
          <w:rFonts w:ascii="Verdana" w:hAnsi="Verdana" w:cs="Verdana"/>
        </w:rPr>
        <w:t>Independentemente das alçadas, as aquisições de bens ou contratações de serviços ou fornecedores de valores acima de R$ 500.000 (quinhentos mil reais) que não tenham sido previstas no orçamento, ainda que de maneira estimada</w:t>
      </w:r>
      <w:r>
        <w:rPr>
          <w:rFonts w:ascii="Verdana" w:hAnsi="Verdana" w:cs="Verdana"/>
        </w:rPr>
        <w:t>,</w:t>
      </w:r>
      <w:r w:rsidRPr="005F5806">
        <w:rPr>
          <w:rFonts w:ascii="Verdana" w:hAnsi="Verdana" w:cs="Verdana"/>
        </w:rPr>
        <w:t xml:space="preserve"> devem ser previamente submetidas à aprovação do Presidente, conforme estabelece a Política de Alçadas. </w:t>
      </w:r>
    </w:p>
    <w:p w14:paraId="5A3F3617" w14:textId="77777777" w:rsidR="002F2DE5" w:rsidRDefault="002F2DE5" w:rsidP="00B418BC">
      <w:pPr>
        <w:tabs>
          <w:tab w:val="num" w:pos="4820"/>
        </w:tabs>
        <w:spacing w:beforeLines="120" w:before="288" w:afterLines="120" w:after="288" w:line="240" w:lineRule="atLeast"/>
        <w:ind w:left="851"/>
        <w:jc w:val="both"/>
        <w:rPr>
          <w:rFonts w:ascii="Verdana" w:hAnsi="Verdana" w:cs="Verdana"/>
        </w:rPr>
      </w:pPr>
    </w:p>
    <w:p w14:paraId="460AEBFE" w14:textId="77777777" w:rsidR="002F2DE5" w:rsidRPr="00F3386B" w:rsidRDefault="002F2DE5" w:rsidP="00B418BC">
      <w:pPr>
        <w:pStyle w:val="Ttulo1"/>
        <w:numPr>
          <w:ilvl w:val="0"/>
          <w:numId w:val="1"/>
        </w:numPr>
        <w:tabs>
          <w:tab w:val="clear" w:pos="562"/>
          <w:tab w:val="num" w:pos="851"/>
        </w:tabs>
        <w:spacing w:beforeLines="120" w:before="288" w:afterLines="120" w:after="288" w:line="240" w:lineRule="atLeast"/>
        <w:ind w:left="851" w:hanging="851"/>
      </w:pPr>
      <w:bookmarkStart w:id="88" w:name="_Toc168322025"/>
      <w:bookmarkStart w:id="89" w:name="_Toc125038618"/>
      <w:r>
        <w:t>DIVULGAÇÃO E DISSEMINAÇÃO</w:t>
      </w:r>
      <w:bookmarkEnd w:id="88"/>
      <w:r>
        <w:t xml:space="preserve"> </w:t>
      </w:r>
      <w:bookmarkEnd w:id="89"/>
    </w:p>
    <w:p w14:paraId="2C0C4EBC" w14:textId="77777777" w:rsidR="002F2DE5" w:rsidRDefault="002F2DE5" w:rsidP="00B418BC">
      <w:pPr>
        <w:spacing w:beforeLines="120" w:before="288" w:afterLines="120" w:after="288" w:line="240" w:lineRule="atLeast"/>
        <w:jc w:val="both"/>
        <w:rPr>
          <w:rFonts w:ascii="Verdana" w:hAnsi="Verdana" w:cs="Verdana"/>
        </w:rPr>
      </w:pPr>
      <w:bookmarkStart w:id="90" w:name="_Hlk125038844"/>
      <w:r w:rsidRPr="002A32FE">
        <w:rPr>
          <w:rFonts w:ascii="Verdana" w:hAnsi="Verdana" w:cs="Verdana"/>
        </w:rPr>
        <w:t>A divulgação interna e disseminação desta política é fundamental para sua efetividade</w:t>
      </w:r>
      <w:r>
        <w:rPr>
          <w:rFonts w:ascii="Verdana" w:hAnsi="Verdana" w:cs="Verdana"/>
        </w:rPr>
        <w:t>. Cabe à</w:t>
      </w:r>
      <w:r w:rsidRPr="002A32FE">
        <w:rPr>
          <w:rFonts w:ascii="Verdana" w:hAnsi="Verdana" w:cs="Verdana"/>
        </w:rPr>
        <w:t xml:space="preserve"> área técnica responsável desenvolver periodicamente planos de comunicação e treinamento para disseminação desta política, seja para a totalidade </w:t>
      </w:r>
      <w:r w:rsidRPr="002A32FE">
        <w:rPr>
          <w:rFonts w:ascii="Verdana" w:hAnsi="Verdana" w:cs="Verdana"/>
        </w:rPr>
        <w:lastRenderedPageBreak/>
        <w:t>dos colaboradores ou para grupos específicos, conforme a necessidade e/ou confidencialidade do tema.</w:t>
      </w:r>
    </w:p>
    <w:p w14:paraId="6F354581" w14:textId="77777777" w:rsidR="002F2DE5" w:rsidRPr="002A32FE" w:rsidRDefault="002F2DE5" w:rsidP="00B418BC">
      <w:pPr>
        <w:spacing w:beforeLines="120" w:before="288" w:afterLines="120" w:after="288" w:line="240" w:lineRule="atLeast"/>
        <w:jc w:val="both"/>
        <w:rPr>
          <w:rFonts w:ascii="Verdana" w:hAnsi="Verdana" w:cs="Verdana"/>
        </w:rPr>
      </w:pPr>
    </w:p>
    <w:p w14:paraId="69B86371" w14:textId="77777777" w:rsidR="002F2DE5" w:rsidRPr="002A32FE" w:rsidRDefault="002F2DE5" w:rsidP="00B418BC">
      <w:pPr>
        <w:pStyle w:val="Ttulo1"/>
        <w:numPr>
          <w:ilvl w:val="0"/>
          <w:numId w:val="1"/>
        </w:numPr>
        <w:tabs>
          <w:tab w:val="clear" w:pos="562"/>
          <w:tab w:val="num" w:pos="851"/>
        </w:tabs>
        <w:spacing w:beforeLines="120" w:before="288" w:afterLines="120" w:after="288" w:line="240" w:lineRule="atLeast"/>
        <w:ind w:left="851" w:hanging="851"/>
      </w:pPr>
      <w:bookmarkStart w:id="91" w:name="_Toc125038619"/>
      <w:bookmarkStart w:id="92" w:name="_Toc168322026"/>
      <w:bookmarkEnd w:id="90"/>
      <w:r w:rsidRPr="002A32FE">
        <w:t>CONSEQUÊNCIAS</w:t>
      </w:r>
      <w:bookmarkEnd w:id="91"/>
      <w:bookmarkEnd w:id="92"/>
    </w:p>
    <w:p w14:paraId="61CBD05F" w14:textId="292D4D4F" w:rsidR="002F2DE5" w:rsidRPr="002A32FE" w:rsidRDefault="002F2DE5" w:rsidP="00B418BC">
      <w:pPr>
        <w:spacing w:beforeLines="120" w:before="288" w:afterLines="120" w:after="288" w:line="240" w:lineRule="atLeast"/>
        <w:jc w:val="both"/>
        <w:rPr>
          <w:rFonts w:ascii="Verdana" w:hAnsi="Verdana"/>
        </w:rPr>
      </w:pPr>
      <w:r w:rsidRPr="002A32FE">
        <w:rPr>
          <w:rFonts w:ascii="Verdana" w:hAnsi="Verdana"/>
        </w:rPr>
        <w:t>A violação dessa política sujeitará o infrator às medidas previstas no Código de Conduta e na Política de Consequências</w:t>
      </w:r>
      <w:r w:rsidR="000C6F54">
        <w:rPr>
          <w:rFonts w:ascii="Verdana" w:hAnsi="Verdana"/>
        </w:rPr>
        <w:t>, sem prejuízo das demais sanções cabíveis.</w:t>
      </w:r>
    </w:p>
    <w:p w14:paraId="6305C30C" w14:textId="77777777" w:rsidR="002F2DE5" w:rsidRPr="002A32FE" w:rsidRDefault="002F2DE5" w:rsidP="00B418BC">
      <w:pPr>
        <w:spacing w:beforeLines="120" w:before="288" w:afterLines="120" w:after="288" w:line="240" w:lineRule="atLeast"/>
        <w:jc w:val="both"/>
        <w:rPr>
          <w:rFonts w:ascii="Verdana" w:hAnsi="Verdana"/>
        </w:rPr>
      </w:pPr>
      <w:r w:rsidRPr="002A32FE">
        <w:rPr>
          <w:rFonts w:ascii="Verdana" w:hAnsi="Verdana"/>
        </w:rPr>
        <w:t xml:space="preserve">O conhecimento de qualquer infração ou indício de infração das regras contidas nesta política deve ser relatada </w:t>
      </w:r>
      <w:r>
        <w:rPr>
          <w:rFonts w:ascii="Verdana" w:hAnsi="Verdana"/>
        </w:rPr>
        <w:t>no</w:t>
      </w:r>
      <w:r w:rsidRPr="002A32FE">
        <w:rPr>
          <w:rFonts w:ascii="Verdana" w:hAnsi="Verdana"/>
        </w:rPr>
        <w:t xml:space="preserve"> Canal de Conduta, disponível 24 horas por dia, 7 dias por semana, pelo número 0800-602-1836, pela internet (</w:t>
      </w:r>
      <w:hyperlink r:id="rId9" w:history="1">
        <w:r w:rsidRPr="002A32FE">
          <w:rPr>
            <w:rStyle w:val="Hyperlink"/>
            <w:rFonts w:ascii="Verdana" w:hAnsi="Verdana"/>
          </w:rPr>
          <w:t>www.contatoseguro.com.br/grupoedsonqueiroz</w:t>
        </w:r>
      </w:hyperlink>
      <w:r w:rsidRPr="002A32FE">
        <w:rPr>
          <w:rFonts w:ascii="Verdana" w:hAnsi="Verdana"/>
        </w:rPr>
        <w:t>) ou pelo aplicativo de celular da Contato Seguro.</w:t>
      </w:r>
    </w:p>
    <w:p w14:paraId="6F188AD5" w14:textId="77777777" w:rsidR="002F2DE5" w:rsidRDefault="002F2DE5" w:rsidP="00B418BC">
      <w:pPr>
        <w:spacing w:beforeLines="120" w:before="288" w:afterLines="120" w:after="288" w:line="240" w:lineRule="atLeast"/>
        <w:jc w:val="both"/>
        <w:rPr>
          <w:rFonts w:ascii="Verdana" w:hAnsi="Verdana"/>
        </w:rPr>
      </w:pPr>
      <w:r w:rsidRPr="002A32FE">
        <w:rPr>
          <w:rFonts w:ascii="Verdana" w:hAnsi="Verdana"/>
        </w:rPr>
        <w:t>Todos os relatos são direcionados ao Comitê de Conduta e tratados de forma confidencial. Não é admitida, sob qualquer circunstância, retaliação ou represália ao colaborador ou outra pessoa que utilizar apropriadamente o Canal de Conduta.</w:t>
      </w:r>
    </w:p>
    <w:p w14:paraId="1B9307AA" w14:textId="77777777" w:rsidR="002F2DE5" w:rsidRPr="002A32FE" w:rsidRDefault="002F2DE5" w:rsidP="00B418BC">
      <w:pPr>
        <w:spacing w:beforeLines="120" w:before="288" w:afterLines="120" w:after="288" w:line="240" w:lineRule="atLeast"/>
        <w:jc w:val="both"/>
        <w:rPr>
          <w:rFonts w:ascii="Verdana" w:hAnsi="Verdana"/>
        </w:rPr>
      </w:pPr>
    </w:p>
    <w:p w14:paraId="7299C904" w14:textId="77777777" w:rsidR="002F2DE5" w:rsidRDefault="002F2DE5" w:rsidP="00B418BC">
      <w:pPr>
        <w:pStyle w:val="Ttulo1"/>
        <w:numPr>
          <w:ilvl w:val="0"/>
          <w:numId w:val="1"/>
        </w:numPr>
        <w:tabs>
          <w:tab w:val="clear" w:pos="562"/>
          <w:tab w:val="num" w:pos="851"/>
        </w:tabs>
        <w:spacing w:beforeLines="120" w:before="288" w:afterLines="120" w:after="288" w:line="240" w:lineRule="atLeast"/>
        <w:ind w:left="851" w:hanging="851"/>
      </w:pPr>
      <w:bookmarkStart w:id="93" w:name="_Toc125038620"/>
      <w:bookmarkStart w:id="94" w:name="_Toc168322027"/>
      <w:r w:rsidRPr="00487CA6">
        <w:t>RESPONSABILIDADES</w:t>
      </w:r>
      <w:bookmarkEnd w:id="93"/>
      <w:bookmarkEnd w:id="94"/>
    </w:p>
    <w:p w14:paraId="10C18A81" w14:textId="77777777" w:rsidR="002F2DE5" w:rsidRPr="005F5806" w:rsidRDefault="002F2DE5" w:rsidP="00B418BC">
      <w:pPr>
        <w:spacing w:before="120" w:after="120" w:line="240" w:lineRule="atLeast"/>
        <w:rPr>
          <w:rFonts w:ascii="Verdana" w:hAnsi="Verdana" w:cs="Verdana"/>
        </w:rPr>
      </w:pPr>
      <w:r w:rsidRPr="002A32FE">
        <w:rPr>
          <w:rFonts w:ascii="Verdana" w:hAnsi="Verdana"/>
        </w:rPr>
        <w:t>As responsabilidades voltadas ao cumprimento das diretrizes desta política são as seguintes:</w:t>
      </w:r>
    </w:p>
    <w:p w14:paraId="183774EF" w14:textId="77777777" w:rsidR="00202C8C" w:rsidRPr="00344C20" w:rsidRDefault="00202C8C" w:rsidP="00B333B7">
      <w:pPr>
        <w:pStyle w:val="Ttulo2"/>
        <w:numPr>
          <w:ilvl w:val="1"/>
          <w:numId w:val="1"/>
        </w:numPr>
        <w:tabs>
          <w:tab w:val="clear" w:pos="420"/>
          <w:tab w:val="num" w:pos="851"/>
        </w:tabs>
        <w:spacing w:beforeLines="120" w:before="288" w:afterLines="120" w:after="288" w:line="240" w:lineRule="atLeast"/>
        <w:ind w:left="851" w:hanging="851"/>
      </w:pPr>
      <w:bookmarkStart w:id="95" w:name="_Toc95317133"/>
      <w:bookmarkStart w:id="96" w:name="_Toc95318285"/>
      <w:bookmarkStart w:id="97" w:name="_Toc95317134"/>
      <w:bookmarkStart w:id="98" w:name="_Toc95318286"/>
      <w:bookmarkStart w:id="99" w:name="_Toc95317135"/>
      <w:bookmarkStart w:id="100" w:name="_Toc95318287"/>
      <w:bookmarkStart w:id="101" w:name="_Toc146640132"/>
      <w:bookmarkStart w:id="102" w:name="_Toc168322028"/>
      <w:bookmarkStart w:id="103" w:name="_Toc146640133"/>
      <w:bookmarkStart w:id="104" w:name="_Toc146640130"/>
      <w:bookmarkEnd w:id="95"/>
      <w:bookmarkEnd w:id="96"/>
      <w:bookmarkEnd w:id="97"/>
      <w:bookmarkEnd w:id="98"/>
      <w:bookmarkEnd w:id="99"/>
      <w:bookmarkEnd w:id="100"/>
      <w:r w:rsidRPr="00344C20">
        <w:t>Área de Auditoria</w:t>
      </w:r>
      <w:bookmarkEnd w:id="101"/>
      <w:bookmarkEnd w:id="102"/>
    </w:p>
    <w:p w14:paraId="0EFE0D84" w14:textId="16DF21BA" w:rsidR="009714C4" w:rsidRPr="001837D7" w:rsidRDefault="001837D7" w:rsidP="00453140">
      <w:pPr>
        <w:pStyle w:val="Ttulo3"/>
        <w:numPr>
          <w:ilvl w:val="2"/>
          <w:numId w:val="33"/>
        </w:numPr>
      </w:pPr>
      <w:bookmarkStart w:id="105" w:name="_Toc168322029"/>
      <w:r w:rsidRPr="001837D7">
        <w:t xml:space="preserve">Aprovar baseline e </w:t>
      </w:r>
      <w:proofErr w:type="spellStart"/>
      <w:r w:rsidRPr="001837D7">
        <w:t>fee</w:t>
      </w:r>
      <w:proofErr w:type="spellEnd"/>
      <w:r w:rsidRPr="001837D7">
        <w:t>, após validação pela Unidade de Negócio, em t</w:t>
      </w:r>
      <w:r w:rsidR="009714C4" w:rsidRPr="001837D7">
        <w:t xml:space="preserve">oda contratação com pagamento condicionado a </w:t>
      </w:r>
      <w:proofErr w:type="spellStart"/>
      <w:r w:rsidR="009714C4" w:rsidRPr="001837D7">
        <w:rPr>
          <w:i/>
          <w:iCs/>
        </w:rPr>
        <w:t>success</w:t>
      </w:r>
      <w:proofErr w:type="spellEnd"/>
      <w:r w:rsidR="009714C4" w:rsidRPr="001837D7">
        <w:rPr>
          <w:i/>
          <w:iCs/>
        </w:rPr>
        <w:t xml:space="preserve"> </w:t>
      </w:r>
      <w:proofErr w:type="spellStart"/>
      <w:r w:rsidR="009714C4" w:rsidRPr="001837D7">
        <w:rPr>
          <w:i/>
          <w:iCs/>
        </w:rPr>
        <w:t>f</w:t>
      </w:r>
      <w:r w:rsidRPr="001837D7">
        <w:rPr>
          <w:i/>
          <w:iCs/>
        </w:rPr>
        <w:t>ee</w:t>
      </w:r>
      <w:proofErr w:type="spellEnd"/>
      <w:r w:rsidR="00BF1916">
        <w:rPr>
          <w:i/>
          <w:iCs/>
        </w:rPr>
        <w:t>;</w:t>
      </w:r>
      <w:bookmarkEnd w:id="105"/>
    </w:p>
    <w:p w14:paraId="3380957A" w14:textId="6914826F" w:rsidR="00202C8C" w:rsidRPr="00A7176B" w:rsidRDefault="00202C8C" w:rsidP="00342A99">
      <w:pPr>
        <w:pStyle w:val="PargrafodaLista"/>
        <w:numPr>
          <w:ilvl w:val="2"/>
          <w:numId w:val="33"/>
        </w:numPr>
        <w:spacing w:beforeLines="120" w:before="288" w:afterLines="120" w:after="288" w:line="240" w:lineRule="atLeast"/>
        <w:jc w:val="both"/>
        <w:rPr>
          <w:rFonts w:ascii="Verdana" w:hAnsi="Verdana"/>
          <w:sz w:val="20"/>
          <w:szCs w:val="20"/>
        </w:rPr>
      </w:pPr>
      <w:r w:rsidRPr="00342A99">
        <w:rPr>
          <w:rFonts w:ascii="Verdana" w:hAnsi="Verdana"/>
          <w:sz w:val="20"/>
          <w:szCs w:val="20"/>
        </w:rPr>
        <w:t xml:space="preserve">Realizar auditoria de contratos irregulares, bem como de eventuais </w:t>
      </w:r>
      <w:r w:rsidRPr="00A7176B">
        <w:rPr>
          <w:rFonts w:ascii="Verdana" w:hAnsi="Verdana"/>
          <w:sz w:val="20"/>
          <w:szCs w:val="20"/>
        </w:rPr>
        <w:t>documentos não submetidos ao DEJUR e assinado.</w:t>
      </w:r>
    </w:p>
    <w:p w14:paraId="004FA174" w14:textId="77777777" w:rsidR="00D77B18" w:rsidRPr="00A7176B" w:rsidRDefault="00D77B18" w:rsidP="00B333B7">
      <w:pPr>
        <w:pStyle w:val="Ttulo2"/>
        <w:numPr>
          <w:ilvl w:val="1"/>
          <w:numId w:val="1"/>
        </w:numPr>
        <w:tabs>
          <w:tab w:val="clear" w:pos="420"/>
          <w:tab w:val="num" w:pos="851"/>
        </w:tabs>
        <w:spacing w:beforeLines="120" w:before="288" w:afterLines="120" w:after="288" w:line="240" w:lineRule="atLeast"/>
        <w:ind w:left="851" w:hanging="851"/>
      </w:pPr>
      <w:bookmarkStart w:id="106" w:name="_Toc168322030"/>
      <w:r w:rsidRPr="00A7176B">
        <w:t xml:space="preserve">Área de Performance de </w:t>
      </w:r>
      <w:proofErr w:type="spellStart"/>
      <w:r w:rsidRPr="00A7176B">
        <w:rPr>
          <w:i/>
          <w:iCs/>
        </w:rPr>
        <w:t>Supply</w:t>
      </w:r>
      <w:proofErr w:type="spellEnd"/>
      <w:r w:rsidRPr="00A7176B">
        <w:rPr>
          <w:i/>
          <w:iCs/>
        </w:rPr>
        <w:t xml:space="preserve"> Chain</w:t>
      </w:r>
      <w:bookmarkEnd w:id="106"/>
      <w:r w:rsidRPr="00A7176B">
        <w:t xml:space="preserve"> </w:t>
      </w:r>
    </w:p>
    <w:p w14:paraId="09F1A1AE" w14:textId="64E9EDA5" w:rsidR="00D77B18" w:rsidRPr="00A7176B" w:rsidRDefault="00D77B18" w:rsidP="00A7176B">
      <w:pPr>
        <w:pStyle w:val="PargrafodaLista"/>
        <w:numPr>
          <w:ilvl w:val="2"/>
          <w:numId w:val="26"/>
        </w:numPr>
        <w:spacing w:beforeLines="120" w:before="288" w:afterLines="120" w:after="288" w:line="240" w:lineRule="atLeast"/>
        <w:ind w:left="851" w:hanging="851"/>
        <w:contextualSpacing w:val="0"/>
        <w:jc w:val="both"/>
        <w:rPr>
          <w:rFonts w:ascii="Verdana" w:hAnsi="Verdana" w:cs="Verdana"/>
          <w:sz w:val="20"/>
          <w:szCs w:val="20"/>
        </w:rPr>
      </w:pPr>
      <w:r w:rsidRPr="00A7176B">
        <w:rPr>
          <w:rFonts w:ascii="Verdana" w:hAnsi="Verdana" w:cs="Verdana"/>
          <w:sz w:val="20"/>
          <w:szCs w:val="20"/>
        </w:rPr>
        <w:t>Realizar a negociação e formalização das aquisições e contratações de bens e serviços, conforme item 4.1.16</w:t>
      </w:r>
      <w:r w:rsidR="00DA6045" w:rsidRPr="00A7176B">
        <w:rPr>
          <w:rFonts w:ascii="Verdana" w:hAnsi="Verdana" w:cs="Verdana"/>
          <w:sz w:val="20"/>
          <w:szCs w:val="20"/>
        </w:rPr>
        <w:t>.</w:t>
      </w:r>
      <w:r w:rsidRPr="00A7176B">
        <w:rPr>
          <w:rFonts w:ascii="Verdana" w:hAnsi="Verdana" w:cs="Verdana"/>
          <w:sz w:val="20"/>
          <w:szCs w:val="20"/>
        </w:rPr>
        <w:t>;</w:t>
      </w:r>
    </w:p>
    <w:p w14:paraId="15D44F15" w14:textId="09FC9042" w:rsidR="00D77B18" w:rsidRPr="00A7176B" w:rsidRDefault="00D77B18" w:rsidP="00A7176B">
      <w:pPr>
        <w:pStyle w:val="PargrafodaLista"/>
        <w:numPr>
          <w:ilvl w:val="2"/>
          <w:numId w:val="26"/>
        </w:numPr>
        <w:spacing w:beforeLines="120" w:before="288" w:afterLines="120" w:after="288" w:line="240" w:lineRule="atLeast"/>
        <w:ind w:left="851" w:hanging="851"/>
        <w:contextualSpacing w:val="0"/>
        <w:jc w:val="both"/>
        <w:rPr>
          <w:rFonts w:ascii="Verdana" w:hAnsi="Verdana" w:cs="Verdana"/>
          <w:sz w:val="20"/>
          <w:szCs w:val="20"/>
        </w:rPr>
      </w:pPr>
      <w:r w:rsidRPr="00A7176B">
        <w:rPr>
          <w:rFonts w:ascii="Verdana" w:hAnsi="Verdana" w:cs="Verdana"/>
          <w:sz w:val="20"/>
          <w:szCs w:val="20"/>
        </w:rPr>
        <w:t>Solicitar</w:t>
      </w:r>
      <w:r w:rsidR="00A7176B" w:rsidRPr="00A7176B">
        <w:rPr>
          <w:rFonts w:ascii="Verdana" w:hAnsi="Verdana" w:cs="Verdana"/>
          <w:sz w:val="20"/>
          <w:szCs w:val="20"/>
        </w:rPr>
        <w:t xml:space="preserve">, </w:t>
      </w:r>
      <w:r w:rsidR="00A7176B">
        <w:rPr>
          <w:rFonts w:ascii="Verdana" w:hAnsi="Verdana" w:cs="Verdana"/>
          <w:sz w:val="20"/>
          <w:szCs w:val="20"/>
        </w:rPr>
        <w:t>em conjunto</w:t>
      </w:r>
      <w:r w:rsidR="00A7176B" w:rsidRPr="00A7176B">
        <w:rPr>
          <w:rFonts w:ascii="Verdana" w:hAnsi="Verdana" w:cs="Verdana"/>
          <w:sz w:val="20"/>
          <w:szCs w:val="20"/>
        </w:rPr>
        <w:t xml:space="preserve"> com a área de Qualidade/Gestão</w:t>
      </w:r>
      <w:r w:rsidRPr="00A7176B">
        <w:rPr>
          <w:rFonts w:ascii="Verdana" w:hAnsi="Verdana" w:cs="Verdana"/>
          <w:sz w:val="20"/>
          <w:szCs w:val="20"/>
        </w:rPr>
        <w:t xml:space="preserve"> </w:t>
      </w:r>
      <w:r w:rsidR="00A7176B" w:rsidRPr="00A7176B">
        <w:rPr>
          <w:rFonts w:ascii="Verdana" w:hAnsi="Verdana" w:cs="Verdana"/>
          <w:sz w:val="20"/>
          <w:szCs w:val="20"/>
        </w:rPr>
        <w:t xml:space="preserve">de Fornecedor da Unidade de Negócio, </w:t>
      </w:r>
      <w:r w:rsidRPr="00A7176B">
        <w:rPr>
          <w:rFonts w:ascii="Verdana" w:hAnsi="Verdana" w:cs="Verdana"/>
          <w:sz w:val="20"/>
          <w:szCs w:val="20"/>
        </w:rPr>
        <w:t xml:space="preserve">o bloqueio de fornecedores para a </w:t>
      </w:r>
      <w:r w:rsidR="00F40DB6">
        <w:rPr>
          <w:rFonts w:ascii="Verdana" w:hAnsi="Verdana" w:cs="Verdana"/>
          <w:sz w:val="20"/>
          <w:szCs w:val="20"/>
        </w:rPr>
        <w:t>Central de</w:t>
      </w:r>
      <w:r w:rsidRPr="00A7176B">
        <w:rPr>
          <w:rFonts w:ascii="Verdana" w:hAnsi="Verdana" w:cs="Verdana"/>
          <w:sz w:val="20"/>
          <w:szCs w:val="20"/>
        </w:rPr>
        <w:t xml:space="preserve"> cadastro</w:t>
      </w:r>
      <w:r w:rsidR="00A7176B">
        <w:rPr>
          <w:rFonts w:ascii="Verdana" w:hAnsi="Verdana" w:cs="Verdana"/>
          <w:sz w:val="20"/>
          <w:szCs w:val="20"/>
        </w:rPr>
        <w:t xml:space="preserve"> do CSC</w:t>
      </w:r>
      <w:r w:rsidR="00A7176B" w:rsidRPr="00A7176B">
        <w:rPr>
          <w:rFonts w:ascii="Verdana" w:hAnsi="Verdana" w:cs="Verdana"/>
          <w:sz w:val="20"/>
          <w:szCs w:val="20"/>
        </w:rPr>
        <w:t xml:space="preserve">, conforme </w:t>
      </w:r>
      <w:r w:rsidRPr="00A7176B">
        <w:rPr>
          <w:rFonts w:ascii="Verdana" w:hAnsi="Verdana" w:cs="Verdana"/>
          <w:sz w:val="20"/>
          <w:szCs w:val="20"/>
        </w:rPr>
        <w:t>previst</w:t>
      </w:r>
      <w:r w:rsidR="00A7176B" w:rsidRPr="00A7176B">
        <w:rPr>
          <w:rFonts w:ascii="Verdana" w:hAnsi="Verdana" w:cs="Verdana"/>
          <w:sz w:val="20"/>
          <w:szCs w:val="20"/>
        </w:rPr>
        <w:t>o</w:t>
      </w:r>
      <w:r w:rsidRPr="00A7176B">
        <w:rPr>
          <w:rFonts w:ascii="Verdana" w:hAnsi="Verdana" w:cs="Verdana"/>
          <w:sz w:val="20"/>
          <w:szCs w:val="20"/>
        </w:rPr>
        <w:t xml:space="preserve"> no item 4.</w:t>
      </w:r>
      <w:r w:rsidR="00A7176B" w:rsidRPr="00A7176B">
        <w:rPr>
          <w:rFonts w:ascii="Verdana" w:hAnsi="Verdana" w:cs="Verdana"/>
          <w:sz w:val="20"/>
          <w:szCs w:val="20"/>
        </w:rPr>
        <w:t>5</w:t>
      </w:r>
      <w:r w:rsidRPr="00A7176B">
        <w:rPr>
          <w:rFonts w:ascii="Verdana" w:hAnsi="Verdana" w:cs="Verdana"/>
          <w:sz w:val="20"/>
          <w:szCs w:val="20"/>
        </w:rPr>
        <w:t>.1.;</w:t>
      </w:r>
    </w:p>
    <w:p w14:paraId="0CEA8355" w14:textId="1EFA1061" w:rsidR="00D77B18" w:rsidRPr="00A7176B" w:rsidRDefault="00D77B18" w:rsidP="00A7176B">
      <w:pPr>
        <w:pStyle w:val="PargrafodaLista"/>
        <w:numPr>
          <w:ilvl w:val="2"/>
          <w:numId w:val="26"/>
        </w:numPr>
        <w:spacing w:beforeLines="120" w:before="288" w:afterLines="120" w:after="288" w:line="240" w:lineRule="atLeast"/>
        <w:ind w:left="851" w:hanging="851"/>
        <w:contextualSpacing w:val="0"/>
        <w:jc w:val="both"/>
        <w:rPr>
          <w:rFonts w:ascii="Verdana" w:hAnsi="Verdana" w:cs="Verdana"/>
          <w:sz w:val="20"/>
          <w:szCs w:val="20"/>
        </w:rPr>
      </w:pPr>
      <w:r w:rsidRPr="00A7176B">
        <w:rPr>
          <w:rFonts w:ascii="Verdana" w:hAnsi="Verdana"/>
          <w:sz w:val="20"/>
          <w:szCs w:val="20"/>
        </w:rPr>
        <w:t>Não submeter a assinatura contrato, aditivo ou distrato sem a respectiva análise e chancela do Departamento Jurídico.</w:t>
      </w:r>
    </w:p>
    <w:p w14:paraId="12E75E0A" w14:textId="77777777" w:rsidR="00202C8C" w:rsidRPr="0028028B" w:rsidRDefault="004B2CA3" w:rsidP="00B333B7">
      <w:pPr>
        <w:pStyle w:val="Ttulo2"/>
        <w:numPr>
          <w:ilvl w:val="1"/>
          <w:numId w:val="1"/>
        </w:numPr>
        <w:tabs>
          <w:tab w:val="clear" w:pos="420"/>
          <w:tab w:val="num" w:pos="851"/>
        </w:tabs>
        <w:spacing w:beforeLines="120" w:before="288" w:afterLines="120" w:after="288" w:line="240" w:lineRule="atLeast"/>
        <w:ind w:left="851" w:hanging="851"/>
      </w:pPr>
      <w:bookmarkStart w:id="107" w:name="_Toc168322031"/>
      <w:r w:rsidRPr="0028028B">
        <w:lastRenderedPageBreak/>
        <w:t>Departamento Jurídico</w:t>
      </w:r>
      <w:bookmarkEnd w:id="103"/>
      <w:bookmarkEnd w:id="107"/>
    </w:p>
    <w:p w14:paraId="71F11844" w14:textId="532D51F3" w:rsidR="004B2CA3" w:rsidRPr="0028028B" w:rsidRDefault="004B2CA3" w:rsidP="00B333B7">
      <w:pPr>
        <w:pStyle w:val="PargrafodaLista"/>
        <w:numPr>
          <w:ilvl w:val="2"/>
          <w:numId w:val="30"/>
        </w:numPr>
        <w:spacing w:beforeLines="120" w:before="288" w:afterLines="120" w:after="288" w:line="240" w:lineRule="atLeast"/>
        <w:contextualSpacing w:val="0"/>
        <w:jc w:val="both"/>
        <w:rPr>
          <w:rFonts w:ascii="Verdana" w:hAnsi="Verdana"/>
          <w:sz w:val="20"/>
          <w:szCs w:val="20"/>
        </w:rPr>
      </w:pPr>
      <w:r w:rsidRPr="0028028B">
        <w:rPr>
          <w:rFonts w:ascii="Verdana" w:hAnsi="Verdana"/>
          <w:sz w:val="20"/>
          <w:szCs w:val="20"/>
        </w:rPr>
        <w:t>Analisar cláusulas contratuais com impacto jurídico em direitos e obrigações e chancelar, quando possível, os contratos negociados, em consonância com o item 4.1.16.</w:t>
      </w:r>
    </w:p>
    <w:p w14:paraId="67CD237A" w14:textId="77777777" w:rsidR="00987E86" w:rsidRPr="003B3E67" w:rsidRDefault="00987E86" w:rsidP="00B333B7">
      <w:pPr>
        <w:pStyle w:val="Ttulo2"/>
        <w:numPr>
          <w:ilvl w:val="1"/>
          <w:numId w:val="1"/>
        </w:numPr>
        <w:tabs>
          <w:tab w:val="clear" w:pos="420"/>
          <w:tab w:val="num" w:pos="851"/>
        </w:tabs>
        <w:spacing w:beforeLines="120" w:before="288" w:afterLines="120" w:after="288" w:line="240" w:lineRule="atLeast"/>
        <w:ind w:left="851" w:hanging="851"/>
      </w:pPr>
      <w:bookmarkStart w:id="108" w:name="_Toc168322032"/>
      <w:r w:rsidRPr="003B3E67">
        <w:t xml:space="preserve">Diretor Corporativo da </w:t>
      </w:r>
      <w:r w:rsidRPr="00732922">
        <w:rPr>
          <w:i/>
          <w:iCs/>
        </w:rPr>
        <w:t>Holding</w:t>
      </w:r>
      <w:bookmarkEnd w:id="108"/>
    </w:p>
    <w:p w14:paraId="43D6F808" w14:textId="70FD8CEE" w:rsidR="00987E86" w:rsidRPr="003B3E67" w:rsidRDefault="00987E86" w:rsidP="00B333B7">
      <w:pPr>
        <w:pStyle w:val="PargrafodaLista"/>
        <w:numPr>
          <w:ilvl w:val="2"/>
          <w:numId w:val="29"/>
        </w:numPr>
        <w:spacing w:beforeLines="120" w:before="288" w:afterLines="120" w:after="288" w:line="240" w:lineRule="atLeast"/>
        <w:ind w:left="851" w:hanging="851"/>
        <w:contextualSpacing w:val="0"/>
        <w:jc w:val="both"/>
        <w:rPr>
          <w:rFonts w:ascii="Verdana" w:hAnsi="Verdana"/>
          <w:sz w:val="20"/>
          <w:szCs w:val="20"/>
        </w:rPr>
      </w:pPr>
      <w:r w:rsidRPr="003B3E67">
        <w:rPr>
          <w:rFonts w:ascii="Verdana" w:hAnsi="Verdana" w:cs="Verdana"/>
          <w:sz w:val="20"/>
          <w:szCs w:val="20"/>
        </w:rPr>
        <w:t xml:space="preserve">Definir os aprovadores das requisições de compra. </w:t>
      </w:r>
    </w:p>
    <w:p w14:paraId="4315AB4B" w14:textId="77777777" w:rsidR="003B3E67" w:rsidRPr="003B3E67" w:rsidRDefault="003B3E67" w:rsidP="00B333B7">
      <w:pPr>
        <w:pStyle w:val="Ttulo2"/>
        <w:numPr>
          <w:ilvl w:val="1"/>
          <w:numId w:val="1"/>
        </w:numPr>
        <w:tabs>
          <w:tab w:val="clear" w:pos="420"/>
          <w:tab w:val="num" w:pos="851"/>
        </w:tabs>
        <w:spacing w:beforeLines="120" w:before="288" w:afterLines="120" w:after="288" w:line="240" w:lineRule="atLeast"/>
        <w:ind w:left="851" w:hanging="851"/>
      </w:pPr>
      <w:bookmarkStart w:id="109" w:name="_Toc168322033"/>
      <w:r w:rsidRPr="003B3E67">
        <w:t>Diretor Superintendente do Negócio</w:t>
      </w:r>
      <w:bookmarkEnd w:id="109"/>
    </w:p>
    <w:p w14:paraId="31592C45" w14:textId="3B34294E" w:rsidR="003B3E67" w:rsidRPr="003B3E67" w:rsidRDefault="003B3E67" w:rsidP="00B333B7">
      <w:pPr>
        <w:pStyle w:val="PargrafodaLista"/>
        <w:numPr>
          <w:ilvl w:val="2"/>
          <w:numId w:val="28"/>
        </w:numPr>
        <w:spacing w:beforeLines="120" w:before="288" w:afterLines="120" w:after="288" w:line="240" w:lineRule="atLeast"/>
        <w:ind w:left="851" w:hanging="851"/>
        <w:contextualSpacing w:val="0"/>
        <w:jc w:val="both"/>
        <w:rPr>
          <w:rFonts w:ascii="Verdana" w:hAnsi="Verdana" w:cs="Verdana"/>
          <w:sz w:val="20"/>
          <w:szCs w:val="20"/>
        </w:rPr>
      </w:pPr>
      <w:r w:rsidRPr="003B3E67">
        <w:rPr>
          <w:rFonts w:ascii="Verdana" w:hAnsi="Verdana" w:cs="Verdana"/>
          <w:sz w:val="20"/>
          <w:szCs w:val="20"/>
        </w:rPr>
        <w:t>Aprovar compras Emergenciais através do Formulário de Compra Emergencial, conforme item 4.1.11.</w:t>
      </w:r>
    </w:p>
    <w:p w14:paraId="521C8EE0" w14:textId="2F7777AA" w:rsidR="00A53955" w:rsidRPr="003B3E67" w:rsidRDefault="00A53955" w:rsidP="00B333B7">
      <w:pPr>
        <w:pStyle w:val="Ttulo2"/>
        <w:numPr>
          <w:ilvl w:val="1"/>
          <w:numId w:val="1"/>
        </w:numPr>
        <w:tabs>
          <w:tab w:val="clear" w:pos="420"/>
          <w:tab w:val="num" w:pos="851"/>
        </w:tabs>
        <w:spacing w:beforeLines="120" w:before="288" w:afterLines="120" w:after="288" w:line="240" w:lineRule="atLeast"/>
        <w:ind w:left="851" w:hanging="851"/>
      </w:pPr>
      <w:bookmarkStart w:id="110" w:name="_Toc168322034"/>
      <w:r w:rsidRPr="003B3E67">
        <w:t>Diretoria Administrativa Financeira</w:t>
      </w:r>
      <w:bookmarkEnd w:id="110"/>
    </w:p>
    <w:p w14:paraId="54E0B86C" w14:textId="2A1F0265" w:rsidR="00A53955" w:rsidRPr="003B3E67" w:rsidRDefault="00A53955" w:rsidP="00B333B7">
      <w:pPr>
        <w:pStyle w:val="PargrafodaLista"/>
        <w:numPr>
          <w:ilvl w:val="2"/>
          <w:numId w:val="27"/>
        </w:numPr>
        <w:spacing w:beforeLines="120" w:before="288" w:afterLines="120" w:after="288" w:line="240" w:lineRule="atLeast"/>
        <w:ind w:left="851" w:hanging="851"/>
        <w:contextualSpacing w:val="0"/>
        <w:jc w:val="both"/>
        <w:rPr>
          <w:rFonts w:ascii="Verdana" w:hAnsi="Verdana" w:cs="Verdana"/>
          <w:sz w:val="20"/>
          <w:szCs w:val="20"/>
        </w:rPr>
      </w:pPr>
      <w:r w:rsidRPr="003B3E67">
        <w:rPr>
          <w:rFonts w:ascii="Verdana" w:hAnsi="Verdana" w:cs="Verdana"/>
          <w:sz w:val="20"/>
          <w:szCs w:val="20"/>
        </w:rPr>
        <w:t>Definir os aprovadores das requisições de compra.</w:t>
      </w:r>
    </w:p>
    <w:p w14:paraId="4317B0B7" w14:textId="50D134BA" w:rsidR="002F2DE5" w:rsidRPr="00344C20" w:rsidRDefault="002F2DE5" w:rsidP="00B333B7">
      <w:pPr>
        <w:pStyle w:val="Ttulo2"/>
        <w:numPr>
          <w:ilvl w:val="1"/>
          <w:numId w:val="1"/>
        </w:numPr>
        <w:tabs>
          <w:tab w:val="clear" w:pos="420"/>
          <w:tab w:val="num" w:pos="851"/>
        </w:tabs>
        <w:spacing w:beforeLines="120" w:before="288" w:afterLines="120" w:after="288" w:line="240" w:lineRule="atLeast"/>
        <w:ind w:left="851" w:hanging="851"/>
      </w:pPr>
      <w:bookmarkStart w:id="111" w:name="_Toc146640131"/>
      <w:bookmarkStart w:id="112" w:name="_Toc168322035"/>
      <w:bookmarkEnd w:id="104"/>
      <w:r w:rsidRPr="00344C20">
        <w:t xml:space="preserve">Unidade de Negócio/Áreas da </w:t>
      </w:r>
      <w:r w:rsidRPr="00732922">
        <w:rPr>
          <w:i/>
          <w:iCs/>
        </w:rPr>
        <w:t>Holding</w:t>
      </w:r>
      <w:bookmarkEnd w:id="111"/>
      <w:bookmarkEnd w:id="112"/>
    </w:p>
    <w:p w14:paraId="6F5892A9" w14:textId="4E1F55FB" w:rsidR="00B418BC" w:rsidRPr="00344C20" w:rsidRDefault="00B046E9" w:rsidP="00B333B7">
      <w:pPr>
        <w:pStyle w:val="PargrafodaLista"/>
        <w:numPr>
          <w:ilvl w:val="2"/>
          <w:numId w:val="19"/>
        </w:numPr>
        <w:spacing w:beforeLines="120" w:before="288" w:afterLines="120" w:after="288" w:line="240" w:lineRule="atLeast"/>
        <w:ind w:left="851" w:hanging="851"/>
        <w:contextualSpacing w:val="0"/>
        <w:jc w:val="both"/>
        <w:rPr>
          <w:rFonts w:ascii="Verdana" w:hAnsi="Verdana"/>
          <w:sz w:val="20"/>
          <w:szCs w:val="20"/>
        </w:rPr>
      </w:pPr>
      <w:r w:rsidRPr="00344C20">
        <w:rPr>
          <w:rFonts w:ascii="Verdana" w:hAnsi="Verdana" w:cs="Verdana"/>
          <w:sz w:val="20"/>
          <w:szCs w:val="20"/>
        </w:rPr>
        <w:t>No caso de contratação de bens ou serviços (indiretos) de um fornecedor único e/ou exclusivo, j</w:t>
      </w:r>
      <w:r w:rsidR="005836FD" w:rsidRPr="00344C20">
        <w:rPr>
          <w:rFonts w:ascii="Verdana" w:hAnsi="Verdana" w:cs="Verdana"/>
          <w:sz w:val="20"/>
          <w:szCs w:val="20"/>
        </w:rPr>
        <w:t>ustificar, através do Formulário para Fornecimento com Exclusividade</w:t>
      </w:r>
      <w:r w:rsidRPr="00344C20">
        <w:rPr>
          <w:rFonts w:ascii="Verdana" w:hAnsi="Verdana" w:cs="Verdana"/>
          <w:sz w:val="20"/>
          <w:szCs w:val="20"/>
        </w:rPr>
        <w:t>, devidamente</w:t>
      </w:r>
      <w:r w:rsidR="005836FD" w:rsidRPr="00344C20">
        <w:rPr>
          <w:rFonts w:ascii="Verdana" w:hAnsi="Verdana" w:cs="Verdana"/>
          <w:sz w:val="20"/>
          <w:szCs w:val="20"/>
        </w:rPr>
        <w:t xml:space="preserve"> assinad</w:t>
      </w:r>
      <w:r w:rsidRPr="00344C20">
        <w:rPr>
          <w:rFonts w:ascii="Verdana" w:hAnsi="Verdana" w:cs="Verdana"/>
          <w:sz w:val="20"/>
          <w:szCs w:val="20"/>
        </w:rPr>
        <w:t>o</w:t>
      </w:r>
      <w:r w:rsidR="005836FD" w:rsidRPr="00344C20">
        <w:rPr>
          <w:rFonts w:ascii="Verdana" w:hAnsi="Verdana" w:cs="Verdana"/>
          <w:sz w:val="20"/>
          <w:szCs w:val="20"/>
        </w:rPr>
        <w:t xml:space="preserve"> pelo Gestor da área e Diretor do Negócio</w:t>
      </w:r>
      <w:r w:rsidR="00B418BC" w:rsidRPr="00344C20">
        <w:rPr>
          <w:rFonts w:ascii="Verdana" w:hAnsi="Verdana" w:cs="Verdana"/>
          <w:sz w:val="20"/>
          <w:szCs w:val="20"/>
        </w:rPr>
        <w:t>;</w:t>
      </w:r>
    </w:p>
    <w:p w14:paraId="1A9E9FB8" w14:textId="4AA63271" w:rsidR="00B418BC" w:rsidRPr="00344C20" w:rsidRDefault="002F2DE5" w:rsidP="00B333B7">
      <w:pPr>
        <w:pStyle w:val="PargrafodaLista"/>
        <w:numPr>
          <w:ilvl w:val="2"/>
          <w:numId w:val="19"/>
        </w:numPr>
        <w:spacing w:beforeLines="120" w:before="288" w:afterLines="120" w:after="288" w:line="240" w:lineRule="atLeast"/>
        <w:ind w:left="851" w:hanging="851"/>
        <w:contextualSpacing w:val="0"/>
        <w:jc w:val="both"/>
        <w:rPr>
          <w:rFonts w:ascii="Verdana" w:hAnsi="Verdana"/>
          <w:sz w:val="20"/>
          <w:szCs w:val="20"/>
        </w:rPr>
      </w:pPr>
      <w:r w:rsidRPr="00344C20">
        <w:rPr>
          <w:rFonts w:ascii="Verdana" w:hAnsi="Verdana"/>
          <w:sz w:val="20"/>
          <w:szCs w:val="20"/>
        </w:rPr>
        <w:t>Realizar a gestão dos contratos formalizados pelo Departamento Suprimentos, conforme item 4.1.1</w:t>
      </w:r>
      <w:r w:rsidR="00B418BC" w:rsidRPr="00344C20">
        <w:rPr>
          <w:rFonts w:ascii="Verdana" w:hAnsi="Verdana"/>
          <w:sz w:val="20"/>
          <w:szCs w:val="20"/>
        </w:rPr>
        <w:t>6</w:t>
      </w:r>
      <w:r w:rsidR="00DA6045">
        <w:rPr>
          <w:rFonts w:ascii="Verdana" w:hAnsi="Verdana"/>
          <w:sz w:val="20"/>
          <w:szCs w:val="20"/>
        </w:rPr>
        <w:t>.</w:t>
      </w:r>
      <w:r w:rsidRPr="00344C20">
        <w:rPr>
          <w:rFonts w:ascii="Verdana" w:hAnsi="Verdana"/>
          <w:sz w:val="20"/>
          <w:szCs w:val="20"/>
        </w:rPr>
        <w:t>;</w:t>
      </w:r>
    </w:p>
    <w:p w14:paraId="7A538AB0" w14:textId="34D3475F" w:rsidR="002F2DE5" w:rsidRDefault="002F2DE5" w:rsidP="00B333B7">
      <w:pPr>
        <w:pStyle w:val="PargrafodaLista"/>
        <w:numPr>
          <w:ilvl w:val="2"/>
          <w:numId w:val="19"/>
        </w:numPr>
        <w:spacing w:beforeLines="120" w:before="288" w:afterLines="120" w:after="288" w:line="240" w:lineRule="atLeast"/>
        <w:ind w:left="851" w:hanging="851"/>
        <w:contextualSpacing w:val="0"/>
        <w:jc w:val="both"/>
        <w:rPr>
          <w:rFonts w:ascii="Verdana" w:hAnsi="Verdana"/>
          <w:sz w:val="20"/>
          <w:szCs w:val="20"/>
        </w:rPr>
      </w:pPr>
      <w:r w:rsidRPr="003D5FA4">
        <w:rPr>
          <w:rFonts w:ascii="Verdana" w:hAnsi="Verdana"/>
          <w:sz w:val="20"/>
          <w:szCs w:val="20"/>
        </w:rPr>
        <w:t>Realizar aceite técnico da prestação de serviços de consultoria, conforme item 4.1.1</w:t>
      </w:r>
      <w:r w:rsidR="00B418BC" w:rsidRPr="003D5FA4">
        <w:rPr>
          <w:rFonts w:ascii="Verdana" w:hAnsi="Verdana"/>
          <w:sz w:val="20"/>
          <w:szCs w:val="20"/>
        </w:rPr>
        <w:t>7</w:t>
      </w:r>
      <w:r w:rsidRPr="003D5FA4">
        <w:rPr>
          <w:rFonts w:ascii="Verdana" w:hAnsi="Verdana"/>
          <w:sz w:val="20"/>
          <w:szCs w:val="20"/>
        </w:rPr>
        <w:t>;</w:t>
      </w:r>
    </w:p>
    <w:p w14:paraId="4BA95AEA" w14:textId="1300BE26" w:rsidR="00F7028F" w:rsidRPr="001837D7" w:rsidRDefault="00F7028F" w:rsidP="00B333B7">
      <w:pPr>
        <w:pStyle w:val="PargrafodaLista"/>
        <w:numPr>
          <w:ilvl w:val="2"/>
          <w:numId w:val="19"/>
        </w:numPr>
        <w:spacing w:beforeLines="120" w:before="288" w:afterLines="120" w:after="288" w:line="240" w:lineRule="atLeast"/>
        <w:ind w:left="851" w:hanging="851"/>
        <w:contextualSpacing w:val="0"/>
        <w:jc w:val="both"/>
        <w:rPr>
          <w:rFonts w:ascii="Verdana" w:hAnsi="Verdana"/>
          <w:sz w:val="20"/>
          <w:szCs w:val="20"/>
        </w:rPr>
      </w:pPr>
      <w:r w:rsidRPr="001837D7">
        <w:rPr>
          <w:rFonts w:ascii="Verdana" w:hAnsi="Verdana"/>
          <w:sz w:val="20"/>
          <w:szCs w:val="20"/>
        </w:rPr>
        <w:t xml:space="preserve">Validar </w:t>
      </w:r>
      <w:r w:rsidR="001837D7" w:rsidRPr="001837D7">
        <w:rPr>
          <w:rFonts w:ascii="Verdana" w:hAnsi="Verdana"/>
          <w:sz w:val="20"/>
          <w:szCs w:val="20"/>
        </w:rPr>
        <w:t xml:space="preserve">baseline e </w:t>
      </w:r>
      <w:proofErr w:type="spellStart"/>
      <w:r w:rsidR="001837D7" w:rsidRPr="001837D7">
        <w:rPr>
          <w:rFonts w:ascii="Verdana" w:hAnsi="Verdana"/>
          <w:sz w:val="20"/>
          <w:szCs w:val="20"/>
        </w:rPr>
        <w:t>fee</w:t>
      </w:r>
      <w:proofErr w:type="spellEnd"/>
      <w:r w:rsidR="001837D7" w:rsidRPr="001837D7">
        <w:rPr>
          <w:rFonts w:ascii="Verdana" w:hAnsi="Verdana"/>
          <w:sz w:val="20"/>
          <w:szCs w:val="20"/>
        </w:rPr>
        <w:t xml:space="preserve"> </w:t>
      </w:r>
      <w:r w:rsidRPr="001837D7">
        <w:rPr>
          <w:rFonts w:ascii="Verdana" w:hAnsi="Verdana"/>
          <w:sz w:val="20"/>
          <w:szCs w:val="20"/>
        </w:rPr>
        <w:t xml:space="preserve">para as contratações com pagamento condicionado a </w:t>
      </w:r>
      <w:proofErr w:type="spellStart"/>
      <w:r w:rsidRPr="001837D7">
        <w:rPr>
          <w:rFonts w:ascii="Verdana" w:hAnsi="Verdana"/>
          <w:sz w:val="20"/>
          <w:szCs w:val="20"/>
        </w:rPr>
        <w:t>sucess</w:t>
      </w:r>
      <w:proofErr w:type="spellEnd"/>
      <w:r w:rsidRPr="001837D7">
        <w:rPr>
          <w:rFonts w:ascii="Verdana" w:hAnsi="Verdana"/>
          <w:sz w:val="20"/>
          <w:szCs w:val="20"/>
        </w:rPr>
        <w:t xml:space="preserve"> </w:t>
      </w:r>
      <w:proofErr w:type="spellStart"/>
      <w:r w:rsidRPr="001837D7">
        <w:rPr>
          <w:rFonts w:ascii="Verdana" w:hAnsi="Verdana"/>
          <w:sz w:val="20"/>
          <w:szCs w:val="20"/>
        </w:rPr>
        <w:t>fee</w:t>
      </w:r>
      <w:proofErr w:type="spellEnd"/>
      <w:r w:rsidRPr="001837D7">
        <w:rPr>
          <w:rFonts w:ascii="Verdana" w:hAnsi="Verdana"/>
          <w:sz w:val="20"/>
          <w:szCs w:val="20"/>
        </w:rPr>
        <w:t>, conforme item 4.1.18</w:t>
      </w:r>
      <w:r w:rsidR="00DA6045" w:rsidRPr="001837D7">
        <w:rPr>
          <w:rFonts w:ascii="Verdana" w:hAnsi="Verdana"/>
          <w:sz w:val="20"/>
          <w:szCs w:val="20"/>
        </w:rPr>
        <w:t>.</w:t>
      </w:r>
      <w:r w:rsidRPr="001837D7">
        <w:rPr>
          <w:rFonts w:ascii="Verdana" w:hAnsi="Verdana"/>
          <w:sz w:val="20"/>
          <w:szCs w:val="20"/>
        </w:rPr>
        <w:t>;</w:t>
      </w:r>
    </w:p>
    <w:p w14:paraId="2BF797CF" w14:textId="1324170B" w:rsidR="002F2DE5" w:rsidRPr="00C358FA" w:rsidRDefault="002F2DE5" w:rsidP="00B333B7">
      <w:pPr>
        <w:pStyle w:val="PargrafodaLista"/>
        <w:numPr>
          <w:ilvl w:val="2"/>
          <w:numId w:val="19"/>
        </w:numPr>
        <w:spacing w:beforeLines="120" w:before="288" w:afterLines="120" w:after="288" w:line="240" w:lineRule="atLeast"/>
        <w:ind w:left="851" w:hanging="851"/>
        <w:contextualSpacing w:val="0"/>
        <w:jc w:val="both"/>
        <w:rPr>
          <w:rFonts w:ascii="Verdana" w:hAnsi="Verdana"/>
          <w:sz w:val="20"/>
          <w:szCs w:val="20"/>
        </w:rPr>
      </w:pPr>
      <w:r w:rsidRPr="00C358FA">
        <w:rPr>
          <w:rFonts w:ascii="Verdana" w:hAnsi="Verdana"/>
          <w:sz w:val="20"/>
          <w:szCs w:val="20"/>
        </w:rPr>
        <w:t>Cabe a Diretoria do Negócio/área Corporativa obter as devidas aprovações para aquisições não previstas em orçamento, conforme item 4.</w:t>
      </w:r>
      <w:r w:rsidR="00334180">
        <w:rPr>
          <w:rFonts w:ascii="Verdana" w:hAnsi="Verdana"/>
          <w:sz w:val="20"/>
          <w:szCs w:val="20"/>
        </w:rPr>
        <w:t>9</w:t>
      </w:r>
      <w:r w:rsidRPr="00C358FA">
        <w:rPr>
          <w:rFonts w:ascii="Verdana" w:hAnsi="Verdana"/>
          <w:sz w:val="20"/>
          <w:szCs w:val="20"/>
        </w:rPr>
        <w:t>.5.</w:t>
      </w:r>
      <w:r w:rsidR="00DA6045">
        <w:rPr>
          <w:rFonts w:ascii="Verdana" w:hAnsi="Verdana"/>
          <w:sz w:val="20"/>
          <w:szCs w:val="20"/>
        </w:rPr>
        <w:t>;</w:t>
      </w:r>
    </w:p>
    <w:p w14:paraId="746F1505" w14:textId="77777777" w:rsidR="002F2DE5" w:rsidRPr="00B214CC" w:rsidRDefault="002F2DE5" w:rsidP="00B333B7">
      <w:pPr>
        <w:pStyle w:val="PargrafodaLista"/>
        <w:numPr>
          <w:ilvl w:val="2"/>
          <w:numId w:val="19"/>
        </w:numPr>
        <w:spacing w:beforeLines="120" w:before="288" w:afterLines="120" w:after="288" w:line="240" w:lineRule="atLeast"/>
        <w:ind w:left="851" w:hanging="851"/>
        <w:contextualSpacing w:val="0"/>
        <w:jc w:val="both"/>
        <w:rPr>
          <w:rFonts w:ascii="Verdana" w:hAnsi="Verdana"/>
          <w:sz w:val="20"/>
          <w:szCs w:val="20"/>
        </w:rPr>
      </w:pPr>
      <w:r w:rsidRPr="00904FEA">
        <w:rPr>
          <w:rFonts w:ascii="Verdana" w:hAnsi="Verdana"/>
          <w:sz w:val="20"/>
          <w:szCs w:val="20"/>
        </w:rPr>
        <w:t xml:space="preserve">Anexar o escopo com as especificações técnicas e os critérios de qualidade </w:t>
      </w:r>
      <w:r w:rsidRPr="00B214CC">
        <w:rPr>
          <w:rFonts w:ascii="Verdana" w:hAnsi="Verdana"/>
          <w:sz w:val="20"/>
          <w:szCs w:val="20"/>
        </w:rPr>
        <w:t>e desempenho referente aos Serviços a serem adquiridos/ contratados.</w:t>
      </w:r>
    </w:p>
    <w:p w14:paraId="7A6E2008" w14:textId="77777777" w:rsidR="00A54F2D" w:rsidRPr="00A54F2D" w:rsidRDefault="00A54F2D" w:rsidP="00B333B7">
      <w:pPr>
        <w:pStyle w:val="PargrafodaLista"/>
        <w:spacing w:before="120" w:after="120" w:line="240" w:lineRule="atLeast"/>
        <w:ind w:left="851"/>
        <w:contextualSpacing w:val="0"/>
        <w:jc w:val="both"/>
        <w:rPr>
          <w:rFonts w:ascii="Verdana" w:hAnsi="Verdana"/>
          <w:sz w:val="28"/>
          <w:szCs w:val="28"/>
        </w:rPr>
      </w:pPr>
    </w:p>
    <w:p w14:paraId="75537E0F" w14:textId="77777777" w:rsidR="002F2DE5" w:rsidRPr="005F5806" w:rsidRDefault="002F2DE5" w:rsidP="00B333B7">
      <w:pPr>
        <w:pStyle w:val="Ttulo1"/>
        <w:numPr>
          <w:ilvl w:val="0"/>
          <w:numId w:val="1"/>
        </w:numPr>
        <w:tabs>
          <w:tab w:val="clear" w:pos="562"/>
          <w:tab w:val="num" w:pos="851"/>
        </w:tabs>
        <w:spacing w:beforeLines="120" w:before="288" w:afterLines="120" w:after="288" w:line="240" w:lineRule="atLeast"/>
        <w:ind w:left="851" w:hanging="851"/>
      </w:pPr>
      <w:bookmarkStart w:id="113" w:name="_Toc326675503"/>
      <w:bookmarkStart w:id="114" w:name="_Toc146640134"/>
      <w:bookmarkStart w:id="115" w:name="_Toc168322036"/>
      <w:r w:rsidRPr="005F5806">
        <w:t>EXCEÇÕES</w:t>
      </w:r>
      <w:bookmarkEnd w:id="113"/>
      <w:bookmarkEnd w:id="114"/>
      <w:bookmarkEnd w:id="115"/>
    </w:p>
    <w:p w14:paraId="76223A7C" w14:textId="021C56A3" w:rsidR="002F2DE5" w:rsidRPr="005F5806" w:rsidRDefault="002F2DE5" w:rsidP="003F6685">
      <w:pPr>
        <w:spacing w:beforeLines="120" w:before="288" w:afterLines="120" w:after="288" w:line="240" w:lineRule="atLeast"/>
        <w:jc w:val="both"/>
        <w:rPr>
          <w:rFonts w:ascii="Verdana" w:hAnsi="Verdana" w:cs="Verdana"/>
        </w:rPr>
      </w:pPr>
      <w:r w:rsidRPr="005F5806">
        <w:rPr>
          <w:rFonts w:ascii="Verdana" w:hAnsi="Verdana" w:cs="Verdana"/>
        </w:rPr>
        <w:t xml:space="preserve">Para todas as situações excepcionais não contempladas nesta política, caberá à Diretoria de </w:t>
      </w:r>
      <w:proofErr w:type="spellStart"/>
      <w:r w:rsidRPr="005F5806">
        <w:rPr>
          <w:rFonts w:ascii="Verdana" w:hAnsi="Verdana" w:cs="Verdana"/>
          <w:i/>
          <w:iCs/>
        </w:rPr>
        <w:t>Supply</w:t>
      </w:r>
      <w:proofErr w:type="spellEnd"/>
      <w:r w:rsidRPr="005F5806">
        <w:rPr>
          <w:rFonts w:ascii="Verdana" w:hAnsi="Verdana" w:cs="Verdana"/>
          <w:i/>
          <w:iCs/>
        </w:rPr>
        <w:t xml:space="preserve"> Chain</w:t>
      </w:r>
      <w:r w:rsidRPr="005F5806">
        <w:rPr>
          <w:rFonts w:ascii="Verdana" w:hAnsi="Verdana" w:cs="Verdana"/>
        </w:rPr>
        <w:t xml:space="preserve"> </w:t>
      </w:r>
      <w:r w:rsidR="007A6536">
        <w:rPr>
          <w:rFonts w:ascii="Verdana" w:hAnsi="Verdana" w:cs="Verdana"/>
        </w:rPr>
        <w:t>recomendar</w:t>
      </w:r>
      <w:r w:rsidRPr="005F5806">
        <w:rPr>
          <w:rFonts w:ascii="Verdana" w:hAnsi="Verdana" w:cs="Verdana"/>
        </w:rPr>
        <w:t xml:space="preserve"> a </w:t>
      </w:r>
      <w:r w:rsidRPr="003765FD">
        <w:rPr>
          <w:rFonts w:ascii="Verdana" w:hAnsi="Verdana" w:cs="Verdana"/>
        </w:rPr>
        <w:t xml:space="preserve">medida a ser adotada e submetê-la ao </w:t>
      </w:r>
      <w:r w:rsidRPr="003765FD">
        <w:rPr>
          <w:rFonts w:ascii="Verdana" w:hAnsi="Verdana" w:cs="Verdana"/>
        </w:rPr>
        <w:lastRenderedPageBreak/>
        <w:t>Comitê Executivo do Grupo Edson Queiroz</w:t>
      </w:r>
      <w:r w:rsidR="007A6536" w:rsidRPr="003765FD">
        <w:rPr>
          <w:rFonts w:ascii="Verdana" w:hAnsi="Verdana" w:cs="Verdana"/>
        </w:rPr>
        <w:t xml:space="preserve"> para deliberação e</w:t>
      </w:r>
      <w:r w:rsidR="000C6F54" w:rsidRPr="003765FD">
        <w:rPr>
          <w:rFonts w:ascii="Verdana" w:hAnsi="Verdana" w:cs="Verdana"/>
        </w:rPr>
        <w:t>, c</w:t>
      </w:r>
      <w:r w:rsidRPr="003765FD">
        <w:rPr>
          <w:rFonts w:ascii="Verdana" w:hAnsi="Verdana"/>
        </w:rPr>
        <w:t>aso necessário, solicitar a sua posterior inclusão nesta política.</w:t>
      </w:r>
    </w:p>
    <w:p w14:paraId="1A2A8E4D" w14:textId="77777777" w:rsidR="002F2DE5" w:rsidRDefault="002F2DE5" w:rsidP="002F2DE5">
      <w:pPr>
        <w:tabs>
          <w:tab w:val="num" w:pos="4820"/>
        </w:tabs>
        <w:spacing w:beforeLines="120" w:before="288" w:afterLines="120" w:after="288" w:line="240" w:lineRule="atLeast"/>
        <w:jc w:val="center"/>
      </w:pPr>
      <w:r w:rsidRPr="005F5806">
        <w:t>*      *      *</w:t>
      </w:r>
    </w:p>
    <w:bookmarkEnd w:id="0"/>
    <w:p w14:paraId="1854F70B" w14:textId="6DA1DF22" w:rsidR="00921819" w:rsidRDefault="00921819" w:rsidP="002F2DE5">
      <w:pPr>
        <w:pStyle w:val="Ttulo1"/>
        <w:spacing w:beforeLines="120" w:before="288" w:afterLines="120" w:after="288" w:line="240" w:lineRule="atLeast"/>
        <w:ind w:left="851"/>
      </w:pPr>
    </w:p>
    <w:sectPr w:rsidR="00921819" w:rsidSect="00A66330">
      <w:headerReference w:type="even" r:id="rId10"/>
      <w:headerReference w:type="default" r:id="rId11"/>
      <w:footerReference w:type="even" r:id="rId12"/>
      <w:footerReference w:type="default" r:id="rId13"/>
      <w:headerReference w:type="first" r:id="rId14"/>
      <w:footerReference w:type="first" r:id="rId15"/>
      <w:pgSz w:w="11907" w:h="16840" w:code="9"/>
      <w:pgMar w:top="2667" w:right="1701" w:bottom="1418" w:left="1701" w:header="720" w:footer="55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4516" w14:textId="77777777" w:rsidR="002E6F87" w:rsidRDefault="002E6F87" w:rsidP="005422D9">
      <w:r>
        <w:separator/>
      </w:r>
    </w:p>
    <w:p w14:paraId="012325FA" w14:textId="77777777" w:rsidR="002E6F87" w:rsidRDefault="002E6F87"/>
    <w:p w14:paraId="3C749826" w14:textId="77777777" w:rsidR="002E6F87" w:rsidRDefault="002E6F87" w:rsidP="0088760B"/>
  </w:endnote>
  <w:endnote w:type="continuationSeparator" w:id="0">
    <w:p w14:paraId="2630439B" w14:textId="77777777" w:rsidR="002E6F87" w:rsidRDefault="002E6F87" w:rsidP="005422D9">
      <w:r>
        <w:continuationSeparator/>
      </w:r>
    </w:p>
    <w:p w14:paraId="249E47C9" w14:textId="77777777" w:rsidR="002E6F87" w:rsidRDefault="002E6F87"/>
    <w:p w14:paraId="67349F84" w14:textId="77777777" w:rsidR="002E6F87" w:rsidRDefault="002E6F87" w:rsidP="00887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E818" w14:textId="18663147" w:rsidR="00EE34D3" w:rsidRDefault="004D2047">
    <w:pPr>
      <w:pStyle w:val="Rodap"/>
      <w:framePr w:wrap="around" w:vAnchor="text" w:hAnchor="margin" w:xAlign="right" w:y="1"/>
      <w:rPr>
        <w:rStyle w:val="Nmerodepgina"/>
      </w:rPr>
    </w:pPr>
    <w:r>
      <w:rPr>
        <w:noProof/>
      </w:rPr>
      <mc:AlternateContent>
        <mc:Choice Requires="wps">
          <w:drawing>
            <wp:anchor distT="0" distB="0" distL="0" distR="0" simplePos="0" relativeHeight="251659264" behindDoc="0" locked="0" layoutInCell="1" allowOverlap="1" wp14:anchorId="237D4278" wp14:editId="627BE5F5">
              <wp:simplePos x="635" y="635"/>
              <wp:positionH relativeFrom="page">
                <wp:align>left</wp:align>
              </wp:positionH>
              <wp:positionV relativeFrom="page">
                <wp:align>bottom</wp:align>
              </wp:positionV>
              <wp:extent cx="443865" cy="443865"/>
              <wp:effectExtent l="0" t="0" r="7620" b="0"/>
              <wp:wrapNone/>
              <wp:docPr id="3" name="Caixa de Texto 3" descr="Classificaçã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0A9FD" w14:textId="1DF61AAA" w:rsidR="004D2047" w:rsidRPr="004D2047" w:rsidRDefault="004D2047" w:rsidP="004D2047">
                          <w:pPr>
                            <w:rPr>
                              <w:rFonts w:ascii="Calibri" w:eastAsia="Calibri" w:hAnsi="Calibri" w:cs="Calibri"/>
                              <w:noProof/>
                              <w:color w:val="000000"/>
                            </w:rPr>
                          </w:pPr>
                          <w:r w:rsidRPr="004D2047">
                            <w:rPr>
                              <w:rFonts w:ascii="Calibri" w:eastAsia="Calibri" w:hAnsi="Calibri" w:cs="Calibri"/>
                              <w:noProof/>
                              <w:color w:val="000000"/>
                            </w:rPr>
                            <w:t>Classificação: 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7D4278" id="_x0000_t202" coordsize="21600,21600" o:spt="202" path="m,l,21600r21600,l21600,xe">
              <v:stroke joinstyle="miter"/>
              <v:path gradientshapeok="t" o:connecttype="rect"/>
            </v:shapetype>
            <v:shape id="Caixa de Texto 3" o:spid="_x0000_s1026" type="#_x0000_t202" alt="Classificação: Público"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830A9FD" w14:textId="1DF61AAA" w:rsidR="004D2047" w:rsidRPr="004D2047" w:rsidRDefault="004D2047" w:rsidP="004D2047">
                    <w:pPr>
                      <w:rPr>
                        <w:rFonts w:ascii="Calibri" w:eastAsia="Calibri" w:hAnsi="Calibri" w:cs="Calibri"/>
                        <w:noProof/>
                        <w:color w:val="000000"/>
                      </w:rPr>
                    </w:pPr>
                    <w:r w:rsidRPr="004D2047">
                      <w:rPr>
                        <w:rFonts w:ascii="Calibri" w:eastAsia="Calibri" w:hAnsi="Calibri" w:cs="Calibri"/>
                        <w:noProof/>
                        <w:color w:val="000000"/>
                      </w:rPr>
                      <w:t>Classificação: Público</w:t>
                    </w:r>
                  </w:p>
                </w:txbxContent>
              </v:textbox>
              <w10:wrap anchorx="page" anchory="page"/>
            </v:shape>
          </w:pict>
        </mc:Fallback>
      </mc:AlternateContent>
    </w:r>
    <w:r w:rsidR="002F2DE5">
      <w:rPr>
        <w:rStyle w:val="Nmerodepgina"/>
      </w:rPr>
      <w:fldChar w:fldCharType="begin"/>
    </w:r>
    <w:r w:rsidR="002F2DE5">
      <w:rPr>
        <w:rStyle w:val="Nmerodepgina"/>
      </w:rPr>
      <w:instrText xml:space="preserve">PAGE  </w:instrText>
    </w:r>
    <w:r w:rsidR="002F2DE5">
      <w:rPr>
        <w:rStyle w:val="Nmerodepgina"/>
      </w:rPr>
      <w:fldChar w:fldCharType="separate"/>
    </w:r>
    <w:r w:rsidR="005102E0">
      <w:rPr>
        <w:rStyle w:val="Nmerodepgina"/>
        <w:noProof/>
      </w:rPr>
      <w:t>2</w:t>
    </w:r>
    <w:r w:rsidR="002F2DE5">
      <w:rPr>
        <w:rStyle w:val="Nmerodepgina"/>
      </w:rPr>
      <w:fldChar w:fldCharType="end"/>
    </w:r>
  </w:p>
  <w:p w14:paraId="7833CCE9" w14:textId="77777777" w:rsidR="00EE34D3" w:rsidRDefault="00EE34D3">
    <w:pPr>
      <w:pStyle w:val="Rodap"/>
      <w:ind w:right="360"/>
    </w:pPr>
  </w:p>
  <w:p w14:paraId="764911EF" w14:textId="77777777" w:rsidR="00EE34D3" w:rsidRDefault="00EE34D3"/>
  <w:p w14:paraId="6C41F170" w14:textId="77777777" w:rsidR="00EE34D3" w:rsidRDefault="00EE34D3" w:rsidP="008876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68DAF" w14:textId="7EC3A32E" w:rsidR="00EE34D3" w:rsidRDefault="004D2047">
    <w:pPr>
      <w:pStyle w:val="Rodap"/>
      <w:framePr w:wrap="around" w:vAnchor="text" w:hAnchor="margin" w:xAlign="right" w:y="1"/>
      <w:rPr>
        <w:rStyle w:val="Nmerodepgina"/>
      </w:rPr>
    </w:pPr>
    <w:r>
      <w:rPr>
        <w:noProof/>
      </w:rPr>
      <mc:AlternateContent>
        <mc:Choice Requires="wps">
          <w:drawing>
            <wp:anchor distT="0" distB="0" distL="0" distR="0" simplePos="0" relativeHeight="251660288" behindDoc="0" locked="0" layoutInCell="1" allowOverlap="1" wp14:anchorId="3258110D" wp14:editId="27A960E8">
              <wp:simplePos x="6417310" y="9742170"/>
              <wp:positionH relativeFrom="page">
                <wp:align>left</wp:align>
              </wp:positionH>
              <wp:positionV relativeFrom="page">
                <wp:align>bottom</wp:align>
              </wp:positionV>
              <wp:extent cx="443865" cy="443865"/>
              <wp:effectExtent l="0" t="0" r="7620" b="0"/>
              <wp:wrapNone/>
              <wp:docPr id="4" name="Caixa de Texto 4" descr="Classificaçã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57FF32" w14:textId="1FE5FDB4" w:rsidR="004D2047" w:rsidRPr="004D2047" w:rsidRDefault="004D2047" w:rsidP="004D2047">
                          <w:pPr>
                            <w:rPr>
                              <w:rFonts w:ascii="Calibri" w:eastAsia="Calibri" w:hAnsi="Calibri" w:cs="Calibri"/>
                              <w:noProof/>
                              <w:color w:val="000000"/>
                            </w:rPr>
                          </w:pPr>
                          <w:r w:rsidRPr="004D2047">
                            <w:rPr>
                              <w:rFonts w:ascii="Calibri" w:eastAsia="Calibri" w:hAnsi="Calibri" w:cs="Calibri"/>
                              <w:noProof/>
                              <w:color w:val="000000"/>
                            </w:rPr>
                            <w:t>Classificação: 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58110D" id="_x0000_t202" coordsize="21600,21600" o:spt="202" path="m,l,21600r21600,l21600,xe">
              <v:stroke joinstyle="miter"/>
              <v:path gradientshapeok="t" o:connecttype="rect"/>
            </v:shapetype>
            <v:shape id="Caixa de Texto 4" o:spid="_x0000_s1027" type="#_x0000_t202" alt="Classificação: Públic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957FF32" w14:textId="1FE5FDB4" w:rsidR="004D2047" w:rsidRPr="004D2047" w:rsidRDefault="004D2047" w:rsidP="004D2047">
                    <w:pPr>
                      <w:rPr>
                        <w:rFonts w:ascii="Calibri" w:eastAsia="Calibri" w:hAnsi="Calibri" w:cs="Calibri"/>
                        <w:noProof/>
                        <w:color w:val="000000"/>
                      </w:rPr>
                    </w:pPr>
                    <w:r w:rsidRPr="004D2047">
                      <w:rPr>
                        <w:rFonts w:ascii="Calibri" w:eastAsia="Calibri" w:hAnsi="Calibri" w:cs="Calibri"/>
                        <w:noProof/>
                        <w:color w:val="000000"/>
                      </w:rPr>
                      <w:t>Classificação: Público</w:t>
                    </w:r>
                  </w:p>
                </w:txbxContent>
              </v:textbox>
              <w10:wrap anchorx="page" anchory="page"/>
            </v:shape>
          </w:pict>
        </mc:Fallback>
      </mc:AlternateContent>
    </w:r>
    <w:r w:rsidR="002F2DE5">
      <w:rPr>
        <w:rStyle w:val="Nmerodepgina"/>
      </w:rPr>
      <w:fldChar w:fldCharType="begin"/>
    </w:r>
    <w:r w:rsidR="002F2DE5">
      <w:rPr>
        <w:rStyle w:val="Nmerodepgina"/>
      </w:rPr>
      <w:instrText xml:space="preserve">PAGE  </w:instrText>
    </w:r>
    <w:r w:rsidR="002F2DE5">
      <w:rPr>
        <w:rStyle w:val="Nmerodepgina"/>
      </w:rPr>
      <w:fldChar w:fldCharType="separate"/>
    </w:r>
    <w:r w:rsidR="002F2DE5">
      <w:rPr>
        <w:rStyle w:val="Nmerodepgina"/>
      </w:rPr>
      <w:t>11</w:t>
    </w:r>
    <w:r w:rsidR="002F2DE5">
      <w:rPr>
        <w:rStyle w:val="Nmerodepgina"/>
      </w:rPr>
      <w:fldChar w:fldCharType="end"/>
    </w:r>
  </w:p>
  <w:p w14:paraId="003EDA50" w14:textId="3FA4EB48" w:rsidR="00153E38" w:rsidRDefault="00153E38" w:rsidP="00153E38">
    <w:pPr>
      <w:ind w:hanging="284"/>
      <w:jc w:val="both"/>
      <w:rPr>
        <w:rFonts w:ascii="Trebuchet MS" w:hAnsi="Trebuchet MS"/>
        <w:sz w:val="14"/>
        <w:szCs w:val="14"/>
      </w:rPr>
    </w:pPr>
    <w:r>
      <w:rPr>
        <w:rFonts w:ascii="Trebuchet MS" w:hAnsi="Trebuchet MS"/>
        <w:b/>
        <w:bCs/>
        <w:sz w:val="14"/>
        <w:szCs w:val="14"/>
      </w:rPr>
      <w:t>DOCUMENTO P/ USO INTERNO</w:t>
    </w:r>
    <w:r>
      <w:rPr>
        <w:rFonts w:ascii="Trebuchet MS" w:hAnsi="Trebuchet MS"/>
        <w:b/>
        <w:bCs/>
        <w:color w:val="FF0000"/>
        <w:sz w:val="14"/>
        <w:szCs w:val="14"/>
      </w:rPr>
      <w:t xml:space="preserve"> </w:t>
    </w:r>
    <w:r>
      <w:rPr>
        <w:rFonts w:ascii="Trebuchet MS" w:hAnsi="Trebuchet MS"/>
        <w:b/>
        <w:bCs/>
        <w:sz w:val="14"/>
        <w:szCs w:val="14"/>
      </w:rPr>
      <w:t>–</w:t>
    </w:r>
    <w:r>
      <w:rPr>
        <w:rFonts w:ascii="Trebuchet MS" w:hAnsi="Trebuchet MS"/>
        <w:sz w:val="14"/>
        <w:szCs w:val="14"/>
      </w:rPr>
      <w:t xml:space="preserve"> </w:t>
    </w:r>
    <w:r>
      <w:rPr>
        <w:rFonts w:ascii="Trebuchet MS" w:hAnsi="Trebuchet MS"/>
        <w:b/>
        <w:bCs/>
        <w:sz w:val="14"/>
        <w:szCs w:val="14"/>
      </w:rPr>
      <w:t>POLÍTICA DE S</w:t>
    </w:r>
    <w:r w:rsidR="007B5A96">
      <w:rPr>
        <w:rFonts w:ascii="Trebuchet MS" w:hAnsi="Trebuchet MS"/>
        <w:b/>
        <w:bCs/>
        <w:sz w:val="14"/>
        <w:szCs w:val="14"/>
      </w:rPr>
      <w:t>UPRIMENTOS</w:t>
    </w:r>
    <w:r>
      <w:rPr>
        <w:rFonts w:ascii="Trebuchet MS" w:hAnsi="Trebuchet MS"/>
        <w:sz w:val="14"/>
        <w:szCs w:val="14"/>
      </w:rPr>
      <w:t xml:space="preserve"> </w:t>
    </w:r>
  </w:p>
  <w:p w14:paraId="0649D907" w14:textId="77777777" w:rsidR="00153E38" w:rsidRDefault="00153E38" w:rsidP="00153E38">
    <w:pPr>
      <w:ind w:left="-284"/>
      <w:jc w:val="both"/>
      <w:rPr>
        <w:rFonts w:ascii="Trebuchet MS" w:hAnsi="Trebuchet MS"/>
        <w:color w:val="FF0000"/>
        <w:sz w:val="14"/>
        <w:szCs w:val="14"/>
      </w:rPr>
    </w:pPr>
    <w:r>
      <w:rPr>
        <w:rFonts w:ascii="Trebuchet MS" w:hAnsi="Trebuchet MS"/>
        <w:sz w:val="14"/>
        <w:szCs w:val="14"/>
      </w:rPr>
      <w:t>O conteúdo deste documento é de propriedade do GEQ, sendo vedada sua reprodução por qualquer meio e/ou para qualquer utilização sem autorização prévia. </w:t>
    </w:r>
  </w:p>
  <w:p w14:paraId="79E6516E" w14:textId="77777777" w:rsidR="00EE34D3" w:rsidRDefault="00EE34D3"/>
  <w:p w14:paraId="13CEE785" w14:textId="77777777" w:rsidR="00EE34D3" w:rsidRDefault="00EE34D3" w:rsidP="0088760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52B8" w14:textId="50DAB634" w:rsidR="002F2DE5" w:rsidRDefault="004D2047">
    <w:pPr>
      <w:pStyle w:val="Rodap"/>
    </w:pPr>
    <w:r>
      <w:rPr>
        <w:noProof/>
      </w:rPr>
      <mc:AlternateContent>
        <mc:Choice Requires="wps">
          <w:drawing>
            <wp:anchor distT="0" distB="0" distL="0" distR="0" simplePos="0" relativeHeight="251658240" behindDoc="0" locked="0" layoutInCell="1" allowOverlap="1" wp14:anchorId="718CD875" wp14:editId="5FBF13ED">
              <wp:simplePos x="1079500" y="10198100"/>
              <wp:positionH relativeFrom="page">
                <wp:align>left</wp:align>
              </wp:positionH>
              <wp:positionV relativeFrom="page">
                <wp:align>bottom</wp:align>
              </wp:positionV>
              <wp:extent cx="443865" cy="443865"/>
              <wp:effectExtent l="0" t="0" r="7620" b="0"/>
              <wp:wrapNone/>
              <wp:docPr id="2" name="Caixa de Texto 2" descr="Classificaçã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6674FE" w14:textId="06A2FC0F" w:rsidR="004D2047" w:rsidRPr="004D2047" w:rsidRDefault="004D2047" w:rsidP="004D2047">
                          <w:pPr>
                            <w:rPr>
                              <w:rFonts w:ascii="Calibri" w:eastAsia="Calibri" w:hAnsi="Calibri" w:cs="Calibri"/>
                              <w:noProof/>
                              <w:color w:val="000000"/>
                            </w:rPr>
                          </w:pPr>
                          <w:r w:rsidRPr="004D2047">
                            <w:rPr>
                              <w:rFonts w:ascii="Calibri" w:eastAsia="Calibri" w:hAnsi="Calibri" w:cs="Calibri"/>
                              <w:noProof/>
                              <w:color w:val="000000"/>
                            </w:rPr>
                            <w:t>Classificação: 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8CD875" id="_x0000_t202" coordsize="21600,21600" o:spt="202" path="m,l,21600r21600,l21600,xe">
              <v:stroke joinstyle="miter"/>
              <v:path gradientshapeok="t" o:connecttype="rect"/>
            </v:shapetype>
            <v:shape id="Caixa de Texto 2" o:spid="_x0000_s1028" type="#_x0000_t202" alt="Classificação: Públic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456674FE" w14:textId="06A2FC0F" w:rsidR="004D2047" w:rsidRPr="004D2047" w:rsidRDefault="004D2047" w:rsidP="004D2047">
                    <w:pPr>
                      <w:rPr>
                        <w:rFonts w:ascii="Calibri" w:eastAsia="Calibri" w:hAnsi="Calibri" w:cs="Calibri"/>
                        <w:noProof/>
                        <w:color w:val="000000"/>
                      </w:rPr>
                    </w:pPr>
                    <w:r w:rsidRPr="004D2047">
                      <w:rPr>
                        <w:rFonts w:ascii="Calibri" w:eastAsia="Calibri" w:hAnsi="Calibri" w:cs="Calibri"/>
                        <w:noProof/>
                        <w:color w:val="000000"/>
                      </w:rPr>
                      <w:t>Classificação: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43E8" w14:textId="77777777" w:rsidR="002E6F87" w:rsidRDefault="002E6F87" w:rsidP="005422D9">
      <w:r>
        <w:separator/>
      </w:r>
    </w:p>
    <w:p w14:paraId="08261CD6" w14:textId="77777777" w:rsidR="002E6F87" w:rsidRDefault="002E6F87"/>
    <w:p w14:paraId="392CF364" w14:textId="77777777" w:rsidR="002E6F87" w:rsidRDefault="002E6F87" w:rsidP="0088760B"/>
  </w:footnote>
  <w:footnote w:type="continuationSeparator" w:id="0">
    <w:p w14:paraId="76F648AB" w14:textId="77777777" w:rsidR="002E6F87" w:rsidRDefault="002E6F87" w:rsidP="005422D9">
      <w:r>
        <w:continuationSeparator/>
      </w:r>
    </w:p>
    <w:p w14:paraId="614EC793" w14:textId="77777777" w:rsidR="002E6F87" w:rsidRDefault="002E6F87"/>
    <w:p w14:paraId="264B2B32" w14:textId="77777777" w:rsidR="002E6F87" w:rsidRDefault="002E6F87" w:rsidP="00887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8E002" w14:textId="77777777" w:rsidR="001079A4" w:rsidRDefault="001079A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5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8"/>
      <w:gridCol w:w="2565"/>
      <w:gridCol w:w="2552"/>
      <w:gridCol w:w="2853"/>
    </w:tblGrid>
    <w:tr w:rsidR="00487B22" w14:paraId="5BEBBCA6" w14:textId="77777777" w:rsidTr="004E42E5">
      <w:trPr>
        <w:cantSplit/>
        <w:trHeight w:val="726"/>
      </w:trPr>
      <w:tc>
        <w:tcPr>
          <w:tcW w:w="1688" w:type="dxa"/>
          <w:vMerge w:val="restart"/>
          <w:vAlign w:val="center"/>
        </w:tcPr>
        <w:p w14:paraId="07300A0B" w14:textId="0C3A9158" w:rsidR="00EE34D3" w:rsidRPr="00BB7E7C" w:rsidRDefault="00467220" w:rsidP="003345BA">
          <w:pPr>
            <w:pStyle w:val="Cabealho"/>
            <w:rPr>
              <w:rFonts w:ascii="Verdana" w:hAnsi="Verdana"/>
            </w:rPr>
          </w:pPr>
          <w:r>
            <w:rPr>
              <w:noProof/>
            </w:rPr>
            <w:drawing>
              <wp:inline distT="0" distB="0" distL="0" distR="0" wp14:anchorId="3DE690E5" wp14:editId="5151764F">
                <wp:extent cx="982980" cy="692785"/>
                <wp:effectExtent l="0" t="0" r="762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1"/>
                        <a:stretch>
                          <a:fillRect/>
                        </a:stretch>
                      </pic:blipFill>
                      <pic:spPr>
                        <a:xfrm>
                          <a:off x="0" y="0"/>
                          <a:ext cx="982980" cy="692785"/>
                        </a:xfrm>
                        <a:prstGeom prst="rect">
                          <a:avLst/>
                        </a:prstGeom>
                      </pic:spPr>
                    </pic:pic>
                  </a:graphicData>
                </a:graphic>
              </wp:inline>
            </w:drawing>
          </w:r>
        </w:p>
      </w:tc>
      <w:tc>
        <w:tcPr>
          <w:tcW w:w="5117" w:type="dxa"/>
          <w:gridSpan w:val="2"/>
          <w:vAlign w:val="center"/>
        </w:tcPr>
        <w:p w14:paraId="58FDED3C" w14:textId="6CB0C8FD" w:rsidR="00EE34D3" w:rsidRPr="00942320" w:rsidRDefault="0023176C" w:rsidP="004E42E5">
          <w:pPr>
            <w:pStyle w:val="Ttulo3"/>
            <w:numPr>
              <w:ilvl w:val="0"/>
              <w:numId w:val="0"/>
            </w:numPr>
            <w:ind w:left="720"/>
            <w:jc w:val="center"/>
            <w:rPr>
              <w:b/>
              <w:highlight w:val="yellow"/>
            </w:rPr>
          </w:pPr>
          <w:r>
            <w:rPr>
              <w:b/>
              <w:sz w:val="24"/>
            </w:rPr>
            <w:fldChar w:fldCharType="begin"/>
          </w:r>
          <w:r>
            <w:rPr>
              <w:b/>
              <w:sz w:val="24"/>
            </w:rPr>
            <w:instrText xml:space="preserve"> DOCVARIABLE  TITLE  \* MERGEFORMAT </w:instrText>
          </w:r>
          <w:r>
            <w:rPr>
              <w:b/>
              <w:sz w:val="24"/>
            </w:rPr>
            <w:fldChar w:fldCharType="separate"/>
          </w:r>
          <w:r w:rsidR="001079A4">
            <w:rPr>
              <w:b/>
              <w:sz w:val="24"/>
            </w:rPr>
            <w:t>Política de Suprimentos</w:t>
          </w:r>
          <w:r>
            <w:rPr>
              <w:b/>
              <w:sz w:val="24"/>
            </w:rPr>
            <w:fldChar w:fldCharType="end"/>
          </w:r>
        </w:p>
      </w:tc>
      <w:tc>
        <w:tcPr>
          <w:tcW w:w="2853" w:type="dxa"/>
          <w:vAlign w:val="center"/>
        </w:tcPr>
        <w:p w14:paraId="2082FB34" w14:textId="6DC917B3" w:rsidR="00EE34D3" w:rsidRPr="00BB7E7C" w:rsidRDefault="0023176C" w:rsidP="00AD71E1">
          <w:pPr>
            <w:pStyle w:val="Cabealho"/>
            <w:jc w:val="center"/>
            <w:rPr>
              <w:rFonts w:ascii="Verdana" w:hAnsi="Verdana"/>
            </w:rPr>
          </w:pPr>
          <w:r>
            <w:rPr>
              <w:rFonts w:ascii="Verdana" w:hAnsi="Verdana"/>
              <w:b/>
            </w:rPr>
            <w:fldChar w:fldCharType="begin"/>
          </w:r>
          <w:r>
            <w:rPr>
              <w:rFonts w:ascii="Verdana" w:hAnsi="Verdana"/>
              <w:b/>
            </w:rPr>
            <w:instrText xml:space="preserve"> DOCVARIABLE  DOC  \* MERGEFORMAT </w:instrText>
          </w:r>
          <w:r>
            <w:rPr>
              <w:rFonts w:ascii="Verdana" w:hAnsi="Verdana"/>
              <w:b/>
            </w:rPr>
            <w:fldChar w:fldCharType="separate"/>
          </w:r>
          <w:r w:rsidR="001079A4">
            <w:rPr>
              <w:rFonts w:ascii="Verdana" w:hAnsi="Verdana"/>
              <w:b/>
            </w:rPr>
            <w:t>POL-GEQ-SUP-001</w:t>
          </w:r>
          <w:r>
            <w:rPr>
              <w:rFonts w:ascii="Verdana" w:hAnsi="Verdana"/>
              <w:b/>
            </w:rPr>
            <w:fldChar w:fldCharType="end"/>
          </w:r>
        </w:p>
      </w:tc>
    </w:tr>
    <w:tr w:rsidR="00487B22" w14:paraId="5D8437D5" w14:textId="77777777" w:rsidTr="003734A5">
      <w:trPr>
        <w:cantSplit/>
        <w:trHeight w:val="580"/>
      </w:trPr>
      <w:tc>
        <w:tcPr>
          <w:tcW w:w="1688" w:type="dxa"/>
          <w:vMerge/>
        </w:tcPr>
        <w:p w14:paraId="7DB1266F" w14:textId="77777777" w:rsidR="00EE34D3" w:rsidRPr="00BB7E7C" w:rsidRDefault="00EE34D3" w:rsidP="003345BA">
          <w:pPr>
            <w:pStyle w:val="Cabealho"/>
            <w:rPr>
              <w:rFonts w:ascii="Verdana" w:hAnsi="Verdana"/>
            </w:rPr>
          </w:pPr>
        </w:p>
      </w:tc>
      <w:tc>
        <w:tcPr>
          <w:tcW w:w="2565" w:type="dxa"/>
          <w:vAlign w:val="center"/>
        </w:tcPr>
        <w:p w14:paraId="101C7361" w14:textId="58DCBCC0" w:rsidR="00EE34D3" w:rsidRPr="008806A7" w:rsidRDefault="002F2DE5" w:rsidP="003345BA">
          <w:pPr>
            <w:pStyle w:val="Cabealho"/>
            <w:jc w:val="center"/>
            <w:rPr>
              <w:rFonts w:ascii="Verdana" w:hAnsi="Verdana"/>
              <w:b/>
              <w:sz w:val="16"/>
            </w:rPr>
          </w:pPr>
          <w:r w:rsidRPr="008806A7">
            <w:rPr>
              <w:rFonts w:ascii="Verdana" w:hAnsi="Verdana"/>
              <w:b/>
              <w:sz w:val="16"/>
            </w:rPr>
            <w:t>Versão:</w:t>
          </w:r>
          <w:r w:rsidRPr="008806A7">
            <w:rPr>
              <w:rFonts w:ascii="Verdana" w:hAnsi="Verdana"/>
              <w:b/>
              <w:sz w:val="16"/>
            </w:rPr>
            <w:br/>
          </w:r>
          <w:r w:rsidR="0023656A">
            <w:rPr>
              <w:rFonts w:ascii="Verdana" w:hAnsi="Verdana"/>
              <w:color w:val="000000"/>
              <w:sz w:val="16"/>
            </w:rPr>
            <w:fldChar w:fldCharType="begin"/>
          </w:r>
          <w:r w:rsidR="0023656A">
            <w:rPr>
              <w:rFonts w:ascii="Verdana" w:hAnsi="Verdana"/>
              <w:color w:val="000000"/>
              <w:sz w:val="16"/>
            </w:rPr>
            <w:instrText xml:space="preserve"> DOCVARIABLE  REV  \* MERGEFORMAT </w:instrText>
          </w:r>
          <w:r w:rsidR="0023656A">
            <w:rPr>
              <w:rFonts w:ascii="Verdana" w:hAnsi="Verdana"/>
              <w:color w:val="000000"/>
              <w:sz w:val="16"/>
            </w:rPr>
            <w:fldChar w:fldCharType="separate"/>
          </w:r>
          <w:r w:rsidR="001079A4">
            <w:rPr>
              <w:rFonts w:ascii="Verdana" w:hAnsi="Verdana"/>
              <w:color w:val="000000"/>
              <w:sz w:val="16"/>
            </w:rPr>
            <w:t>3</w:t>
          </w:r>
          <w:r w:rsidR="0023656A">
            <w:rPr>
              <w:rFonts w:ascii="Verdana" w:hAnsi="Verdana"/>
              <w:color w:val="000000"/>
              <w:sz w:val="16"/>
            </w:rPr>
            <w:fldChar w:fldCharType="end"/>
          </w:r>
        </w:p>
      </w:tc>
      <w:tc>
        <w:tcPr>
          <w:tcW w:w="2552" w:type="dxa"/>
          <w:vAlign w:val="center"/>
        </w:tcPr>
        <w:p w14:paraId="2E82F7E0" w14:textId="677A2D3A" w:rsidR="00EE34D3" w:rsidRPr="008806A7" w:rsidRDefault="002F2DE5" w:rsidP="00BA4038">
          <w:pPr>
            <w:pStyle w:val="Cabealho"/>
            <w:jc w:val="center"/>
            <w:rPr>
              <w:rFonts w:ascii="Verdana" w:hAnsi="Verdana"/>
              <w:b/>
              <w:sz w:val="16"/>
            </w:rPr>
          </w:pPr>
          <w:r w:rsidRPr="008806A7">
            <w:rPr>
              <w:rFonts w:ascii="Verdana" w:hAnsi="Verdana"/>
              <w:b/>
              <w:sz w:val="16"/>
            </w:rPr>
            <w:t>Data publicação:</w:t>
          </w:r>
          <w:r w:rsidRPr="008806A7">
            <w:rPr>
              <w:rFonts w:ascii="Verdana" w:hAnsi="Verdana"/>
              <w:b/>
              <w:sz w:val="16"/>
            </w:rPr>
            <w:br/>
          </w:r>
          <w:r w:rsidR="0023176C">
            <w:rPr>
              <w:rFonts w:ascii="Verdana" w:hAnsi="Verdana"/>
              <w:sz w:val="16"/>
            </w:rPr>
            <w:fldChar w:fldCharType="begin"/>
          </w:r>
          <w:r w:rsidR="0023176C">
            <w:rPr>
              <w:rFonts w:ascii="Verdana" w:hAnsi="Verdana"/>
              <w:sz w:val="16"/>
            </w:rPr>
            <w:instrText xml:space="preserve"> DOCVARIABLE  DOCDTCAD  \* MERGEFORMAT </w:instrText>
          </w:r>
          <w:r w:rsidR="0023176C">
            <w:rPr>
              <w:rFonts w:ascii="Verdana" w:hAnsi="Verdana"/>
              <w:sz w:val="16"/>
            </w:rPr>
            <w:fldChar w:fldCharType="separate"/>
          </w:r>
          <w:r w:rsidR="001079A4">
            <w:rPr>
              <w:rFonts w:ascii="Verdana" w:hAnsi="Verdana"/>
              <w:sz w:val="16"/>
            </w:rPr>
            <w:t>03/11/2014</w:t>
          </w:r>
          <w:r w:rsidR="0023176C">
            <w:rPr>
              <w:rFonts w:ascii="Verdana" w:hAnsi="Verdana"/>
              <w:sz w:val="16"/>
            </w:rPr>
            <w:fldChar w:fldCharType="end"/>
          </w:r>
        </w:p>
      </w:tc>
      <w:tc>
        <w:tcPr>
          <w:tcW w:w="2853" w:type="dxa"/>
          <w:vAlign w:val="center"/>
        </w:tcPr>
        <w:p w14:paraId="716C2995" w14:textId="015C6119" w:rsidR="00EE34D3" w:rsidRPr="008806A7" w:rsidRDefault="002F2DE5" w:rsidP="003345BA">
          <w:pPr>
            <w:pStyle w:val="Cabealho"/>
            <w:jc w:val="center"/>
            <w:rPr>
              <w:rFonts w:ascii="Verdana" w:hAnsi="Verdana"/>
              <w:b/>
              <w:sz w:val="16"/>
            </w:rPr>
          </w:pPr>
          <w:r w:rsidRPr="008806A7">
            <w:rPr>
              <w:rFonts w:ascii="Verdana" w:hAnsi="Verdana"/>
              <w:b/>
              <w:sz w:val="16"/>
            </w:rPr>
            <w:t>Data da última revisão:</w:t>
          </w:r>
          <w:r w:rsidRPr="008806A7">
            <w:rPr>
              <w:rFonts w:ascii="Verdana" w:hAnsi="Verdana"/>
              <w:b/>
              <w:sz w:val="16"/>
            </w:rPr>
            <w:br/>
          </w:r>
          <w:r w:rsidR="0023656A">
            <w:rPr>
              <w:rFonts w:ascii="Verdana" w:hAnsi="Verdana"/>
              <w:b/>
              <w:sz w:val="16"/>
            </w:rPr>
            <w:fldChar w:fldCharType="begin"/>
          </w:r>
          <w:r w:rsidR="0023656A">
            <w:rPr>
              <w:rFonts w:ascii="Verdana" w:hAnsi="Verdana"/>
              <w:b/>
              <w:sz w:val="16"/>
            </w:rPr>
            <w:instrText xml:space="preserve"> DOCVARIABLE  DATEREV  \* MERGEFORMAT </w:instrText>
          </w:r>
          <w:r w:rsidR="0023656A">
            <w:rPr>
              <w:rFonts w:ascii="Verdana" w:hAnsi="Verdana"/>
              <w:b/>
              <w:sz w:val="16"/>
            </w:rPr>
            <w:fldChar w:fldCharType="separate"/>
          </w:r>
          <w:r w:rsidR="001079A4">
            <w:rPr>
              <w:rFonts w:ascii="Verdana" w:hAnsi="Verdana"/>
              <w:b/>
              <w:sz w:val="16"/>
            </w:rPr>
            <w:t>28/05/2024</w:t>
          </w:r>
          <w:r w:rsidR="0023656A">
            <w:rPr>
              <w:rFonts w:ascii="Verdana" w:hAnsi="Verdana"/>
              <w:b/>
              <w:sz w:val="16"/>
            </w:rPr>
            <w:fldChar w:fldCharType="end"/>
          </w:r>
        </w:p>
      </w:tc>
    </w:tr>
  </w:tbl>
  <w:p w14:paraId="345EC637" w14:textId="32A9FA0D" w:rsidR="00EE34D3" w:rsidRPr="00153E38" w:rsidRDefault="002F2DE5" w:rsidP="00463997">
    <w:pPr>
      <w:rPr>
        <w:rFonts w:ascii="Bookman Old Style" w:hAnsi="Bookman Old Style"/>
        <w:b/>
        <w:sz w:val="14"/>
        <w:szCs w:val="14"/>
      </w:rPr>
    </w:pPr>
    <w:r w:rsidRPr="00153E38">
      <w:rPr>
        <w:rFonts w:ascii="Bookman Old Style" w:hAnsi="Bookman Old Style"/>
        <w:b/>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F5E4" w14:textId="77777777" w:rsidR="001079A4" w:rsidRDefault="001079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4A"/>
    <w:multiLevelType w:val="hybridMultilevel"/>
    <w:tmpl w:val="2F3C8A7E"/>
    <w:lvl w:ilvl="0" w:tplc="57EC4CD8">
      <w:start w:val="1"/>
      <w:numFmt w:val="decimal"/>
      <w:lvlText w:val="4.3.%1."/>
      <w:lvlJc w:val="left"/>
      <w:pPr>
        <w:ind w:left="720" w:hanging="360"/>
      </w:pPr>
      <w:rPr>
        <w:rFonts w:hint="default"/>
        <w:b w:val="0"/>
        <w:i w:val="0"/>
        <w:strike w:val="0"/>
        <w:dstrike w:val="0"/>
        <w:color w:val="000000"/>
        <w:sz w:val="20"/>
        <w:szCs w:val="20"/>
        <w:u w:val="none" w:color="000000"/>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EC7070"/>
    <w:multiLevelType w:val="multilevel"/>
    <w:tmpl w:val="EB62CC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lowerRoman"/>
      <w:lvlText w:val="%3."/>
      <w:lvlJc w:val="left"/>
      <w:pPr>
        <w:ind w:left="2520" w:hanging="720"/>
      </w:pPr>
      <w:rPr>
        <w:rFonts w:hint="default"/>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A2B50"/>
    <w:multiLevelType w:val="hybridMultilevel"/>
    <w:tmpl w:val="612A15C4"/>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0BB142EB"/>
    <w:multiLevelType w:val="multilevel"/>
    <w:tmpl w:val="F88CC5CC"/>
    <w:lvl w:ilvl="0">
      <w:start w:val="7"/>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7B5E52"/>
    <w:multiLevelType w:val="multilevel"/>
    <w:tmpl w:val="C10090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Verdan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C6475"/>
    <w:multiLevelType w:val="multilevel"/>
    <w:tmpl w:val="46C0C0A4"/>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C15220"/>
    <w:multiLevelType w:val="hybridMultilevel"/>
    <w:tmpl w:val="CF60420C"/>
    <w:lvl w:ilvl="0" w:tplc="24A67B02">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AC16BF"/>
    <w:multiLevelType w:val="multilevel"/>
    <w:tmpl w:val="BAEC9294"/>
    <w:lvl w:ilvl="0">
      <w:start w:val="7"/>
      <w:numFmt w:val="decimal"/>
      <w:lvlText w:val="%1."/>
      <w:lvlJc w:val="left"/>
      <w:pPr>
        <w:ind w:left="585" w:hanging="585"/>
      </w:pPr>
      <w:rPr>
        <w:rFonts w:cs="Verdana" w:hint="default"/>
      </w:rPr>
    </w:lvl>
    <w:lvl w:ilvl="1">
      <w:start w:val="4"/>
      <w:numFmt w:val="decimal"/>
      <w:lvlText w:val="%1.%2."/>
      <w:lvlJc w:val="left"/>
      <w:pPr>
        <w:ind w:left="1145" w:hanging="720"/>
      </w:pPr>
      <w:rPr>
        <w:rFonts w:cs="Verdana" w:hint="default"/>
      </w:rPr>
    </w:lvl>
    <w:lvl w:ilvl="2">
      <w:start w:val="1"/>
      <w:numFmt w:val="decimal"/>
      <w:lvlText w:val="%1.%2.%3."/>
      <w:lvlJc w:val="left"/>
      <w:pPr>
        <w:ind w:left="1570" w:hanging="720"/>
      </w:pPr>
      <w:rPr>
        <w:rFonts w:cs="Verdana" w:hint="default"/>
      </w:rPr>
    </w:lvl>
    <w:lvl w:ilvl="3">
      <w:start w:val="1"/>
      <w:numFmt w:val="decimal"/>
      <w:lvlText w:val="%1.%2.%3.%4."/>
      <w:lvlJc w:val="left"/>
      <w:pPr>
        <w:ind w:left="2355" w:hanging="1080"/>
      </w:pPr>
      <w:rPr>
        <w:rFonts w:cs="Verdana" w:hint="default"/>
      </w:rPr>
    </w:lvl>
    <w:lvl w:ilvl="4">
      <w:start w:val="1"/>
      <w:numFmt w:val="decimal"/>
      <w:lvlText w:val="%1.%2.%3.%4.%5."/>
      <w:lvlJc w:val="left"/>
      <w:pPr>
        <w:ind w:left="3140" w:hanging="1440"/>
      </w:pPr>
      <w:rPr>
        <w:rFonts w:cs="Verdana" w:hint="default"/>
      </w:rPr>
    </w:lvl>
    <w:lvl w:ilvl="5">
      <w:start w:val="1"/>
      <w:numFmt w:val="decimal"/>
      <w:lvlText w:val="%1.%2.%3.%4.%5.%6."/>
      <w:lvlJc w:val="left"/>
      <w:pPr>
        <w:ind w:left="3565" w:hanging="1440"/>
      </w:pPr>
      <w:rPr>
        <w:rFonts w:cs="Verdana" w:hint="default"/>
      </w:rPr>
    </w:lvl>
    <w:lvl w:ilvl="6">
      <w:start w:val="1"/>
      <w:numFmt w:val="decimal"/>
      <w:lvlText w:val="%1.%2.%3.%4.%5.%6.%7."/>
      <w:lvlJc w:val="left"/>
      <w:pPr>
        <w:ind w:left="4350" w:hanging="1800"/>
      </w:pPr>
      <w:rPr>
        <w:rFonts w:cs="Verdana" w:hint="default"/>
      </w:rPr>
    </w:lvl>
    <w:lvl w:ilvl="7">
      <w:start w:val="1"/>
      <w:numFmt w:val="decimal"/>
      <w:lvlText w:val="%1.%2.%3.%4.%5.%6.%7.%8."/>
      <w:lvlJc w:val="left"/>
      <w:pPr>
        <w:ind w:left="5135" w:hanging="2160"/>
      </w:pPr>
      <w:rPr>
        <w:rFonts w:cs="Verdana" w:hint="default"/>
      </w:rPr>
    </w:lvl>
    <w:lvl w:ilvl="8">
      <w:start w:val="1"/>
      <w:numFmt w:val="decimal"/>
      <w:lvlText w:val="%1.%2.%3.%4.%5.%6.%7.%8.%9."/>
      <w:lvlJc w:val="left"/>
      <w:pPr>
        <w:ind w:left="5560" w:hanging="2160"/>
      </w:pPr>
      <w:rPr>
        <w:rFonts w:cs="Verdana" w:hint="default"/>
      </w:rPr>
    </w:lvl>
  </w:abstractNum>
  <w:abstractNum w:abstractNumId="8" w15:restartNumberingAfterBreak="0">
    <w:nsid w:val="21016999"/>
    <w:multiLevelType w:val="multilevel"/>
    <w:tmpl w:val="E2FA2704"/>
    <w:lvl w:ilvl="0">
      <w:start w:val="1"/>
      <w:numFmt w:val="decimal"/>
      <w:pStyle w:val="Estilo1"/>
      <w:lvlText w:val="%1."/>
      <w:lvlJc w:val="left"/>
      <w:pPr>
        <w:tabs>
          <w:tab w:val="num" w:pos="562"/>
        </w:tabs>
        <w:ind w:left="562" w:hanging="420"/>
      </w:pPr>
      <w:rPr>
        <w:rFonts w:ascii="Verdana" w:eastAsia="Times New Roman" w:hAnsi="Verdana" w:cs="Times New Roman"/>
      </w:rPr>
    </w:lvl>
    <w:lvl w:ilvl="1">
      <w:start w:val="1"/>
      <w:numFmt w:val="decimal"/>
      <w:lvlText w:val="%1.%2."/>
      <w:lvlJc w:val="left"/>
      <w:pPr>
        <w:tabs>
          <w:tab w:val="num" w:pos="420"/>
        </w:tabs>
        <w:ind w:left="420" w:hanging="420"/>
      </w:pPr>
      <w:rPr>
        <w:rFonts w:hint="default"/>
        <w:b/>
      </w:rPr>
    </w:lvl>
    <w:lvl w:ilvl="2">
      <w:start w:val="1"/>
      <w:numFmt w:val="bullet"/>
      <w:pStyle w:val="Ttulo3"/>
      <w:lvlText w:val=""/>
      <w:lvlJc w:val="left"/>
      <w:pPr>
        <w:tabs>
          <w:tab w:val="num" w:pos="720"/>
        </w:tabs>
        <w:ind w:left="720" w:hanging="720"/>
      </w:pPr>
      <w:rPr>
        <w:rFonts w:ascii="Symbol" w:hAnsi="Symbol" w:hint="default"/>
        <w:b w:val="0"/>
      </w:rPr>
    </w:lvl>
    <w:lvl w:ilvl="3">
      <w:start w:val="1"/>
      <w:numFmt w:val="bullet"/>
      <w:lvlText w:val=""/>
      <w:lvlJc w:val="left"/>
      <w:pPr>
        <w:tabs>
          <w:tab w:val="num" w:pos="720"/>
        </w:tabs>
        <w:ind w:left="720" w:hanging="720"/>
      </w:pPr>
      <w:rPr>
        <w:rFonts w:ascii="Symbol" w:hAnsi="Symbol" w:hint="default"/>
      </w:rPr>
    </w:lvl>
    <w:lvl w:ilvl="4">
      <w:start w:val="1"/>
      <w:numFmt w:val="decimal"/>
      <w:lvlRestart w:val="3"/>
      <w:lvlText w:val="%1.%2.%3%4%5."/>
      <w:lvlJc w:val="left"/>
      <w:pPr>
        <w:tabs>
          <w:tab w:val="num" w:pos="1080"/>
        </w:tabs>
        <w:ind w:left="1080" w:hanging="1080"/>
      </w:pPr>
      <w:rPr>
        <w:rFonts w:ascii="Verdana" w:hAnsi="Verdana" w:hint="default"/>
        <w:strike w:val="0"/>
        <w:color w:val="auto"/>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30D639E"/>
    <w:multiLevelType w:val="hybridMultilevel"/>
    <w:tmpl w:val="25E4122C"/>
    <w:lvl w:ilvl="0" w:tplc="04160017">
      <w:start w:val="1"/>
      <w:numFmt w:val="lowerLetter"/>
      <w:lvlText w:val="%1)"/>
      <w:lvlJc w:val="left"/>
      <w:pPr>
        <w:ind w:left="2421" w:hanging="360"/>
      </w:pPr>
      <w:rPr>
        <w:b w:val="0"/>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0" w15:restartNumberingAfterBreak="0">
    <w:nsid w:val="26F07317"/>
    <w:multiLevelType w:val="multilevel"/>
    <w:tmpl w:val="091CF3B4"/>
    <w:lvl w:ilvl="0">
      <w:start w:val="7"/>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0A3FB4"/>
    <w:multiLevelType w:val="multilevel"/>
    <w:tmpl w:val="4462F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762DD9"/>
    <w:multiLevelType w:val="multilevel"/>
    <w:tmpl w:val="38626F48"/>
    <w:lvl w:ilvl="0">
      <w:start w:val="7"/>
      <w:numFmt w:val="decimal"/>
      <w:lvlText w:val="%1."/>
      <w:lvlJc w:val="left"/>
      <w:pPr>
        <w:ind w:left="585" w:hanging="585"/>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307668FD"/>
    <w:multiLevelType w:val="multilevel"/>
    <w:tmpl w:val="E544FB7A"/>
    <w:lvl w:ilvl="0">
      <w:start w:val="7"/>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F2042D"/>
    <w:multiLevelType w:val="multilevel"/>
    <w:tmpl w:val="DD407EAE"/>
    <w:lvl w:ilvl="0">
      <w:start w:val="4"/>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70267B"/>
    <w:multiLevelType w:val="multilevel"/>
    <w:tmpl w:val="CCC2E09E"/>
    <w:lvl w:ilvl="0">
      <w:start w:val="7"/>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BD6D71"/>
    <w:multiLevelType w:val="multilevel"/>
    <w:tmpl w:val="16BC859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211" w:hanging="360"/>
      </w:pPr>
    </w:lvl>
    <w:lvl w:ilvl="2">
      <w:start w:val="1"/>
      <w:numFmt w:val="lowerRoman"/>
      <w:lvlText w:val="%3."/>
      <w:lvlJc w:val="left"/>
      <w:pPr>
        <w:ind w:left="2520" w:hanging="720"/>
      </w:pPr>
      <w:rPr>
        <w:rFonts w:hint="default"/>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7186F"/>
    <w:multiLevelType w:val="multilevel"/>
    <w:tmpl w:val="0BA2BB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imes New Roman" w:hint="default"/>
      </w:rPr>
    </w:lvl>
    <w:lvl w:ilvl="2">
      <w:start w:val="1"/>
      <w:numFmt w:val="lowerRoman"/>
      <w:lvlText w:val="%3."/>
      <w:lvlJc w:val="left"/>
      <w:pPr>
        <w:ind w:left="2520" w:hanging="720"/>
      </w:pPr>
      <w:rPr>
        <w:rFonts w:hint="default"/>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1F1A36"/>
    <w:multiLevelType w:val="hybridMultilevel"/>
    <w:tmpl w:val="8BB62ED4"/>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15:restartNumberingAfterBreak="0">
    <w:nsid w:val="4AD74BE6"/>
    <w:multiLevelType w:val="multilevel"/>
    <w:tmpl w:val="08620E50"/>
    <w:lvl w:ilvl="0">
      <w:start w:val="7"/>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E07219"/>
    <w:multiLevelType w:val="multilevel"/>
    <w:tmpl w:val="1310CB02"/>
    <w:lvl w:ilvl="0">
      <w:start w:val="7"/>
      <w:numFmt w:val="decimal"/>
      <w:lvlText w:val="%1."/>
      <w:lvlJc w:val="left"/>
      <w:pPr>
        <w:ind w:left="585" w:hanging="585"/>
      </w:pPr>
      <w:rPr>
        <w:rFonts w:cs="Verdana" w:hint="default"/>
      </w:rPr>
    </w:lvl>
    <w:lvl w:ilvl="1">
      <w:start w:val="7"/>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21" w15:restartNumberingAfterBreak="0">
    <w:nsid w:val="53BF7D33"/>
    <w:multiLevelType w:val="multilevel"/>
    <w:tmpl w:val="EC007C34"/>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236BF6"/>
    <w:multiLevelType w:val="hybridMultilevel"/>
    <w:tmpl w:val="D45C7570"/>
    <w:lvl w:ilvl="0" w:tplc="C0CE1324">
      <w:start w:val="1"/>
      <w:numFmt w:val="bullet"/>
      <w:lvlText w:val=""/>
      <w:lvlJc w:val="left"/>
      <w:pPr>
        <w:ind w:left="780" w:hanging="360"/>
      </w:pPr>
      <w:rPr>
        <w:rFonts w:ascii="Symbol" w:hAnsi="Symbol" w:hint="default"/>
      </w:rPr>
    </w:lvl>
    <w:lvl w:ilvl="1" w:tplc="C9D2302A" w:tentative="1">
      <w:start w:val="1"/>
      <w:numFmt w:val="bullet"/>
      <w:lvlText w:val="o"/>
      <w:lvlJc w:val="left"/>
      <w:pPr>
        <w:ind w:left="1500" w:hanging="360"/>
      </w:pPr>
      <w:rPr>
        <w:rFonts w:ascii="Courier New" w:hAnsi="Courier New" w:cs="Courier New" w:hint="default"/>
      </w:rPr>
    </w:lvl>
    <w:lvl w:ilvl="2" w:tplc="42367B56">
      <w:start w:val="1"/>
      <w:numFmt w:val="bullet"/>
      <w:lvlText w:val=""/>
      <w:lvlJc w:val="left"/>
      <w:pPr>
        <w:ind w:left="2220" w:hanging="360"/>
      </w:pPr>
      <w:rPr>
        <w:rFonts w:ascii="Wingdings" w:hAnsi="Wingdings" w:hint="default"/>
      </w:rPr>
    </w:lvl>
    <w:lvl w:ilvl="3" w:tplc="EEC81F46" w:tentative="1">
      <w:start w:val="1"/>
      <w:numFmt w:val="bullet"/>
      <w:lvlText w:val=""/>
      <w:lvlJc w:val="left"/>
      <w:pPr>
        <w:ind w:left="2940" w:hanging="360"/>
      </w:pPr>
      <w:rPr>
        <w:rFonts w:ascii="Symbol" w:hAnsi="Symbol" w:hint="default"/>
      </w:rPr>
    </w:lvl>
    <w:lvl w:ilvl="4" w:tplc="49C0C862" w:tentative="1">
      <w:start w:val="1"/>
      <w:numFmt w:val="bullet"/>
      <w:lvlText w:val="o"/>
      <w:lvlJc w:val="left"/>
      <w:pPr>
        <w:ind w:left="3660" w:hanging="360"/>
      </w:pPr>
      <w:rPr>
        <w:rFonts w:ascii="Courier New" w:hAnsi="Courier New" w:cs="Courier New" w:hint="default"/>
      </w:rPr>
    </w:lvl>
    <w:lvl w:ilvl="5" w:tplc="FD0E9998" w:tentative="1">
      <w:start w:val="1"/>
      <w:numFmt w:val="bullet"/>
      <w:lvlText w:val=""/>
      <w:lvlJc w:val="left"/>
      <w:pPr>
        <w:ind w:left="4380" w:hanging="360"/>
      </w:pPr>
      <w:rPr>
        <w:rFonts w:ascii="Wingdings" w:hAnsi="Wingdings" w:hint="default"/>
      </w:rPr>
    </w:lvl>
    <w:lvl w:ilvl="6" w:tplc="F6D62D72" w:tentative="1">
      <w:start w:val="1"/>
      <w:numFmt w:val="bullet"/>
      <w:lvlText w:val=""/>
      <w:lvlJc w:val="left"/>
      <w:pPr>
        <w:ind w:left="5100" w:hanging="360"/>
      </w:pPr>
      <w:rPr>
        <w:rFonts w:ascii="Symbol" w:hAnsi="Symbol" w:hint="default"/>
      </w:rPr>
    </w:lvl>
    <w:lvl w:ilvl="7" w:tplc="EA10169A" w:tentative="1">
      <w:start w:val="1"/>
      <w:numFmt w:val="bullet"/>
      <w:lvlText w:val="o"/>
      <w:lvlJc w:val="left"/>
      <w:pPr>
        <w:ind w:left="5820" w:hanging="360"/>
      </w:pPr>
      <w:rPr>
        <w:rFonts w:ascii="Courier New" w:hAnsi="Courier New" w:cs="Courier New" w:hint="default"/>
      </w:rPr>
    </w:lvl>
    <w:lvl w:ilvl="8" w:tplc="7520ACD0" w:tentative="1">
      <w:start w:val="1"/>
      <w:numFmt w:val="bullet"/>
      <w:lvlText w:val=""/>
      <w:lvlJc w:val="left"/>
      <w:pPr>
        <w:ind w:left="6540" w:hanging="360"/>
      </w:pPr>
      <w:rPr>
        <w:rFonts w:ascii="Wingdings" w:hAnsi="Wingdings" w:hint="default"/>
      </w:rPr>
    </w:lvl>
  </w:abstractNum>
  <w:abstractNum w:abstractNumId="23" w15:restartNumberingAfterBreak="0">
    <w:nsid w:val="59F901AF"/>
    <w:multiLevelType w:val="multilevel"/>
    <w:tmpl w:val="653E5500"/>
    <w:lvl w:ilvl="0">
      <w:start w:val="7"/>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A23270C"/>
    <w:multiLevelType w:val="multilevel"/>
    <w:tmpl w:val="988808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eastAsia="Times New Roman" w:cs="Verdana"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E41F82"/>
    <w:multiLevelType w:val="multilevel"/>
    <w:tmpl w:val="F16E89EE"/>
    <w:lvl w:ilvl="0">
      <w:start w:val="7"/>
      <w:numFmt w:val="decimal"/>
      <w:lvlText w:val="%1."/>
      <w:lvlJc w:val="left"/>
      <w:pPr>
        <w:ind w:left="585" w:hanging="585"/>
      </w:pPr>
      <w:rPr>
        <w:rFonts w:cs="Verdana" w:hint="default"/>
      </w:rPr>
    </w:lvl>
    <w:lvl w:ilvl="1">
      <w:start w:val="3"/>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26" w15:restartNumberingAfterBreak="0">
    <w:nsid w:val="5FEE7AA6"/>
    <w:multiLevelType w:val="hybridMultilevel"/>
    <w:tmpl w:val="48B0E06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2064713"/>
    <w:multiLevelType w:val="multilevel"/>
    <w:tmpl w:val="D5420730"/>
    <w:lvl w:ilvl="0">
      <w:start w:val="4"/>
      <w:numFmt w:val="decimal"/>
      <w:lvlText w:val="%1."/>
      <w:lvlJc w:val="left"/>
      <w:pPr>
        <w:ind w:left="705" w:hanging="705"/>
      </w:pPr>
      <w:rPr>
        <w:rFonts w:hint="default"/>
      </w:rPr>
    </w:lvl>
    <w:lvl w:ilvl="1">
      <w:start w:val="1"/>
      <w:numFmt w:val="decimal"/>
      <w:lvlText w:val="%1.%2."/>
      <w:lvlJc w:val="left"/>
      <w:pPr>
        <w:ind w:left="791" w:hanging="720"/>
      </w:pPr>
      <w:rPr>
        <w:rFonts w:hint="default"/>
      </w:rPr>
    </w:lvl>
    <w:lvl w:ilvl="2">
      <w:start w:val="18"/>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657" w:hanging="2160"/>
      </w:pPr>
      <w:rPr>
        <w:rFonts w:hint="default"/>
      </w:rPr>
    </w:lvl>
    <w:lvl w:ilvl="8">
      <w:start w:val="1"/>
      <w:numFmt w:val="decimal"/>
      <w:lvlText w:val="%1.%2.%3.%4.%5.%6.%7.%8.%9."/>
      <w:lvlJc w:val="left"/>
      <w:pPr>
        <w:ind w:left="2728" w:hanging="2160"/>
      </w:pPr>
      <w:rPr>
        <w:rFonts w:hint="default"/>
      </w:rPr>
    </w:lvl>
  </w:abstractNum>
  <w:abstractNum w:abstractNumId="28" w15:restartNumberingAfterBreak="0">
    <w:nsid w:val="6D4075B4"/>
    <w:multiLevelType w:val="hybridMultilevel"/>
    <w:tmpl w:val="7ADEFD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DB32B5F"/>
    <w:multiLevelType w:val="multilevel"/>
    <w:tmpl w:val="3626A288"/>
    <w:lvl w:ilvl="0">
      <w:start w:val="7"/>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1146771"/>
    <w:multiLevelType w:val="multilevel"/>
    <w:tmpl w:val="5A16701E"/>
    <w:lvl w:ilvl="0">
      <w:start w:val="4"/>
      <w:numFmt w:val="decimal"/>
      <w:lvlText w:val="%1"/>
      <w:lvlJc w:val="left"/>
      <w:pPr>
        <w:ind w:left="510" w:hanging="510"/>
      </w:pPr>
      <w:rPr>
        <w:rFonts w:hint="default"/>
      </w:rPr>
    </w:lvl>
    <w:lvl w:ilvl="1">
      <w:start w:val="3"/>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31" w15:restartNumberingAfterBreak="0">
    <w:nsid w:val="728B1E26"/>
    <w:multiLevelType w:val="multilevel"/>
    <w:tmpl w:val="7D964EA2"/>
    <w:lvl w:ilvl="0">
      <w:start w:val="7"/>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2DF23B9"/>
    <w:multiLevelType w:val="multilevel"/>
    <w:tmpl w:val="469E6DC0"/>
    <w:lvl w:ilvl="0">
      <w:start w:val="7"/>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6F147AC"/>
    <w:multiLevelType w:val="hybridMultilevel"/>
    <w:tmpl w:val="3A985722"/>
    <w:lvl w:ilvl="0" w:tplc="04160017">
      <w:start w:val="1"/>
      <w:numFmt w:val="lowerLetter"/>
      <w:lvlText w:val="%1)"/>
      <w:lvlJc w:val="left"/>
      <w:pPr>
        <w:ind w:left="1211" w:hanging="360"/>
      </w:pPr>
      <w:rPr>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4" w15:restartNumberingAfterBreak="0">
    <w:nsid w:val="794239AB"/>
    <w:multiLevelType w:val="multilevel"/>
    <w:tmpl w:val="3674704C"/>
    <w:lvl w:ilvl="0">
      <w:start w:val="7"/>
      <w:numFmt w:val="decimal"/>
      <w:lvlText w:val="%1."/>
      <w:lvlJc w:val="left"/>
      <w:pPr>
        <w:ind w:left="585" w:hanging="585"/>
      </w:pPr>
      <w:rPr>
        <w:rFonts w:hint="default"/>
      </w:rPr>
    </w:lvl>
    <w:lvl w:ilvl="1">
      <w:start w:val="5"/>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num w:numId="1" w16cid:durableId="628240457">
    <w:abstractNumId w:val="8"/>
  </w:num>
  <w:num w:numId="2" w16cid:durableId="105120596">
    <w:abstractNumId w:val="22"/>
  </w:num>
  <w:num w:numId="3" w16cid:durableId="1867135810">
    <w:abstractNumId w:val="11"/>
  </w:num>
  <w:num w:numId="4" w16cid:durableId="86081361">
    <w:abstractNumId w:val="24"/>
  </w:num>
  <w:num w:numId="5" w16cid:durableId="550652760">
    <w:abstractNumId w:val="17"/>
  </w:num>
  <w:num w:numId="6" w16cid:durableId="918098550">
    <w:abstractNumId w:val="4"/>
  </w:num>
  <w:num w:numId="7" w16cid:durableId="1284195309">
    <w:abstractNumId w:val="33"/>
  </w:num>
  <w:num w:numId="8" w16cid:durableId="1204709859">
    <w:abstractNumId w:val="1"/>
  </w:num>
  <w:num w:numId="9" w16cid:durableId="1653677104">
    <w:abstractNumId w:val="16"/>
  </w:num>
  <w:num w:numId="10" w16cid:durableId="1770812267">
    <w:abstractNumId w:val="9"/>
  </w:num>
  <w:num w:numId="11" w16cid:durableId="1438795592">
    <w:abstractNumId w:val="18"/>
  </w:num>
  <w:num w:numId="12" w16cid:durableId="2131436245">
    <w:abstractNumId w:val="2"/>
  </w:num>
  <w:num w:numId="13" w16cid:durableId="1384791777">
    <w:abstractNumId w:val="0"/>
  </w:num>
  <w:num w:numId="14" w16cid:durableId="1466240126">
    <w:abstractNumId w:val="26"/>
  </w:num>
  <w:num w:numId="15" w16cid:durableId="1045570275">
    <w:abstractNumId w:val="6"/>
  </w:num>
  <w:num w:numId="16" w16cid:durableId="1682588650">
    <w:abstractNumId w:val="5"/>
  </w:num>
  <w:num w:numId="17" w16cid:durableId="1705211732">
    <w:abstractNumId w:val="3"/>
  </w:num>
  <w:num w:numId="18" w16cid:durableId="867988167">
    <w:abstractNumId w:val="19"/>
  </w:num>
  <w:num w:numId="19" w16cid:durableId="1651638606">
    <w:abstractNumId w:val="20"/>
  </w:num>
  <w:num w:numId="20" w16cid:durableId="2062515494">
    <w:abstractNumId w:val="10"/>
  </w:num>
  <w:num w:numId="21" w16cid:durableId="1867140239">
    <w:abstractNumId w:val="25"/>
  </w:num>
  <w:num w:numId="22" w16cid:durableId="350960258">
    <w:abstractNumId w:val="13"/>
  </w:num>
  <w:num w:numId="23" w16cid:durableId="1574005752">
    <w:abstractNumId w:val="15"/>
  </w:num>
  <w:num w:numId="24" w16cid:durableId="1907718290">
    <w:abstractNumId w:val="32"/>
  </w:num>
  <w:num w:numId="25" w16cid:durableId="1975787402">
    <w:abstractNumId w:val="29"/>
  </w:num>
  <w:num w:numId="26" w16cid:durableId="797603118">
    <w:abstractNumId w:val="23"/>
  </w:num>
  <w:num w:numId="27" w16cid:durableId="1487280135">
    <w:abstractNumId w:val="12"/>
  </w:num>
  <w:num w:numId="28" w16cid:durableId="1510558638">
    <w:abstractNumId w:val="34"/>
  </w:num>
  <w:num w:numId="29" w16cid:durableId="1522012109">
    <w:abstractNumId w:val="7"/>
  </w:num>
  <w:num w:numId="30" w16cid:durableId="2109347143">
    <w:abstractNumId w:val="31"/>
  </w:num>
  <w:num w:numId="31" w16cid:durableId="1351495324">
    <w:abstractNumId w:val="30"/>
  </w:num>
  <w:num w:numId="32" w16cid:durableId="900553511">
    <w:abstractNumId w:val="14"/>
  </w:num>
  <w:num w:numId="33" w16cid:durableId="706682988">
    <w:abstractNumId w:val="21"/>
  </w:num>
  <w:num w:numId="34" w16cid:durableId="1696154570">
    <w:abstractNumId w:val="28"/>
  </w:num>
  <w:num w:numId="35" w16cid:durableId="197546171">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OVER" w:val="-"/>
    <w:docVar w:name="CONSENT" w:val="-"/>
    <w:docVar w:name="DATEREV" w:val="28/05/2024"/>
    <w:docVar w:name="DOC" w:val="POL-GEQ-SUP-001"/>
    <w:docVar w:name="DOCDTCAD" w:val="03/11/2014"/>
    <w:docVar w:name="ELABORATOR" w:val="-"/>
    <w:docVar w:name="REV" w:val="3"/>
    <w:docVar w:name="TITLE" w:val="Política de Suprimentos"/>
  </w:docVars>
  <w:rsids>
    <w:rsidRoot w:val="002C2F3B"/>
    <w:rsid w:val="00000DE2"/>
    <w:rsid w:val="000014D5"/>
    <w:rsid w:val="00003A2A"/>
    <w:rsid w:val="00003C2F"/>
    <w:rsid w:val="00004017"/>
    <w:rsid w:val="00006305"/>
    <w:rsid w:val="00007423"/>
    <w:rsid w:val="00010519"/>
    <w:rsid w:val="00011066"/>
    <w:rsid w:val="00011B3D"/>
    <w:rsid w:val="0001518D"/>
    <w:rsid w:val="000154EE"/>
    <w:rsid w:val="00015C4B"/>
    <w:rsid w:val="000162D2"/>
    <w:rsid w:val="0001790E"/>
    <w:rsid w:val="00021E92"/>
    <w:rsid w:val="0002485A"/>
    <w:rsid w:val="00024E62"/>
    <w:rsid w:val="000251FD"/>
    <w:rsid w:val="00025601"/>
    <w:rsid w:val="00025A27"/>
    <w:rsid w:val="000261D7"/>
    <w:rsid w:val="00027988"/>
    <w:rsid w:val="000318BE"/>
    <w:rsid w:val="0003193C"/>
    <w:rsid w:val="00032E9A"/>
    <w:rsid w:val="00034A8A"/>
    <w:rsid w:val="00035B4A"/>
    <w:rsid w:val="00036DD6"/>
    <w:rsid w:val="00036ED9"/>
    <w:rsid w:val="00037B1A"/>
    <w:rsid w:val="00037E30"/>
    <w:rsid w:val="00042531"/>
    <w:rsid w:val="0004390F"/>
    <w:rsid w:val="00043E3E"/>
    <w:rsid w:val="00045CD4"/>
    <w:rsid w:val="00046BA5"/>
    <w:rsid w:val="00047005"/>
    <w:rsid w:val="000476B3"/>
    <w:rsid w:val="000507F3"/>
    <w:rsid w:val="000516ED"/>
    <w:rsid w:val="00052F05"/>
    <w:rsid w:val="00054EE7"/>
    <w:rsid w:val="00056518"/>
    <w:rsid w:val="00056FA8"/>
    <w:rsid w:val="0005766D"/>
    <w:rsid w:val="00060777"/>
    <w:rsid w:val="000610D7"/>
    <w:rsid w:val="00061261"/>
    <w:rsid w:val="00061BA8"/>
    <w:rsid w:val="00062C2D"/>
    <w:rsid w:val="00065B32"/>
    <w:rsid w:val="000661EF"/>
    <w:rsid w:val="00066C7B"/>
    <w:rsid w:val="00067252"/>
    <w:rsid w:val="000675CB"/>
    <w:rsid w:val="000719BD"/>
    <w:rsid w:val="00071CD1"/>
    <w:rsid w:val="000726B1"/>
    <w:rsid w:val="00072E10"/>
    <w:rsid w:val="00074BDC"/>
    <w:rsid w:val="00076E32"/>
    <w:rsid w:val="000801CA"/>
    <w:rsid w:val="00080B6C"/>
    <w:rsid w:val="0008105D"/>
    <w:rsid w:val="00082B00"/>
    <w:rsid w:val="00082C94"/>
    <w:rsid w:val="00083241"/>
    <w:rsid w:val="00083A7E"/>
    <w:rsid w:val="00084E98"/>
    <w:rsid w:val="00085314"/>
    <w:rsid w:val="000870F4"/>
    <w:rsid w:val="00087760"/>
    <w:rsid w:val="00087C33"/>
    <w:rsid w:val="00090D55"/>
    <w:rsid w:val="00091317"/>
    <w:rsid w:val="000915E7"/>
    <w:rsid w:val="00094CB8"/>
    <w:rsid w:val="000977D6"/>
    <w:rsid w:val="000A12F0"/>
    <w:rsid w:val="000A24BF"/>
    <w:rsid w:val="000A3A9B"/>
    <w:rsid w:val="000A3DA9"/>
    <w:rsid w:val="000A4FA2"/>
    <w:rsid w:val="000A5F50"/>
    <w:rsid w:val="000A6F2D"/>
    <w:rsid w:val="000B00C9"/>
    <w:rsid w:val="000B027D"/>
    <w:rsid w:val="000B098A"/>
    <w:rsid w:val="000B0A47"/>
    <w:rsid w:val="000B10C7"/>
    <w:rsid w:val="000B183F"/>
    <w:rsid w:val="000B1B70"/>
    <w:rsid w:val="000B32EB"/>
    <w:rsid w:val="000B5AA9"/>
    <w:rsid w:val="000B68A2"/>
    <w:rsid w:val="000B6942"/>
    <w:rsid w:val="000B6DDB"/>
    <w:rsid w:val="000B71CD"/>
    <w:rsid w:val="000B798A"/>
    <w:rsid w:val="000C1944"/>
    <w:rsid w:val="000C4A92"/>
    <w:rsid w:val="000C5410"/>
    <w:rsid w:val="000C586A"/>
    <w:rsid w:val="000C6BE3"/>
    <w:rsid w:val="000C6F54"/>
    <w:rsid w:val="000C72D5"/>
    <w:rsid w:val="000D0439"/>
    <w:rsid w:val="000D1F19"/>
    <w:rsid w:val="000D1F99"/>
    <w:rsid w:val="000D2755"/>
    <w:rsid w:val="000D390D"/>
    <w:rsid w:val="000D4924"/>
    <w:rsid w:val="000D5502"/>
    <w:rsid w:val="000D57BB"/>
    <w:rsid w:val="000D591E"/>
    <w:rsid w:val="000D62E8"/>
    <w:rsid w:val="000D70D9"/>
    <w:rsid w:val="000E11E4"/>
    <w:rsid w:val="000E231D"/>
    <w:rsid w:val="000E2B24"/>
    <w:rsid w:val="000E3FFB"/>
    <w:rsid w:val="000E512E"/>
    <w:rsid w:val="000E5162"/>
    <w:rsid w:val="000E56E6"/>
    <w:rsid w:val="000E7F4A"/>
    <w:rsid w:val="000F02A4"/>
    <w:rsid w:val="000F1F8C"/>
    <w:rsid w:val="000F2B0E"/>
    <w:rsid w:val="000F524C"/>
    <w:rsid w:val="000F59C8"/>
    <w:rsid w:val="000F64BA"/>
    <w:rsid w:val="000F6A02"/>
    <w:rsid w:val="000F6AA7"/>
    <w:rsid w:val="000F6E74"/>
    <w:rsid w:val="000F702A"/>
    <w:rsid w:val="00104DBB"/>
    <w:rsid w:val="00105557"/>
    <w:rsid w:val="00106A36"/>
    <w:rsid w:val="001079A4"/>
    <w:rsid w:val="00107B57"/>
    <w:rsid w:val="0011016D"/>
    <w:rsid w:val="0011192D"/>
    <w:rsid w:val="00112F3D"/>
    <w:rsid w:val="00113503"/>
    <w:rsid w:val="00113A5E"/>
    <w:rsid w:val="00114D36"/>
    <w:rsid w:val="0011562A"/>
    <w:rsid w:val="00116768"/>
    <w:rsid w:val="001174F5"/>
    <w:rsid w:val="00117915"/>
    <w:rsid w:val="00121BF2"/>
    <w:rsid w:val="00121D79"/>
    <w:rsid w:val="001229A7"/>
    <w:rsid w:val="00123454"/>
    <w:rsid w:val="001236AD"/>
    <w:rsid w:val="0012423E"/>
    <w:rsid w:val="001248BE"/>
    <w:rsid w:val="001258A4"/>
    <w:rsid w:val="0013629D"/>
    <w:rsid w:val="0013709B"/>
    <w:rsid w:val="00141135"/>
    <w:rsid w:val="00141D54"/>
    <w:rsid w:val="001428B5"/>
    <w:rsid w:val="00145187"/>
    <w:rsid w:val="00150C20"/>
    <w:rsid w:val="00151F2E"/>
    <w:rsid w:val="00152F33"/>
    <w:rsid w:val="00153E38"/>
    <w:rsid w:val="001568BC"/>
    <w:rsid w:val="00156936"/>
    <w:rsid w:val="00156E53"/>
    <w:rsid w:val="00156F1C"/>
    <w:rsid w:val="00157093"/>
    <w:rsid w:val="00157427"/>
    <w:rsid w:val="00157A84"/>
    <w:rsid w:val="001602F3"/>
    <w:rsid w:val="00160B65"/>
    <w:rsid w:val="00161EB8"/>
    <w:rsid w:val="00163D45"/>
    <w:rsid w:val="00163E5A"/>
    <w:rsid w:val="00164069"/>
    <w:rsid w:val="00164B73"/>
    <w:rsid w:val="00165FC4"/>
    <w:rsid w:val="0016608D"/>
    <w:rsid w:val="00166525"/>
    <w:rsid w:val="00166667"/>
    <w:rsid w:val="0017106E"/>
    <w:rsid w:val="00172668"/>
    <w:rsid w:val="00173DD3"/>
    <w:rsid w:val="001749AF"/>
    <w:rsid w:val="001769C7"/>
    <w:rsid w:val="0018074B"/>
    <w:rsid w:val="00182C4B"/>
    <w:rsid w:val="0018347E"/>
    <w:rsid w:val="001837D7"/>
    <w:rsid w:val="00183D34"/>
    <w:rsid w:val="001842FD"/>
    <w:rsid w:val="0018688E"/>
    <w:rsid w:val="00187584"/>
    <w:rsid w:val="001900C2"/>
    <w:rsid w:val="00191342"/>
    <w:rsid w:val="00191830"/>
    <w:rsid w:val="00192432"/>
    <w:rsid w:val="00193221"/>
    <w:rsid w:val="001932B6"/>
    <w:rsid w:val="00194298"/>
    <w:rsid w:val="0019547F"/>
    <w:rsid w:val="001956A7"/>
    <w:rsid w:val="00195BC1"/>
    <w:rsid w:val="00196745"/>
    <w:rsid w:val="001969C9"/>
    <w:rsid w:val="00196AD4"/>
    <w:rsid w:val="00196FFA"/>
    <w:rsid w:val="00197237"/>
    <w:rsid w:val="001A171A"/>
    <w:rsid w:val="001A20FE"/>
    <w:rsid w:val="001A28A7"/>
    <w:rsid w:val="001A2A65"/>
    <w:rsid w:val="001A2C11"/>
    <w:rsid w:val="001A2CC7"/>
    <w:rsid w:val="001A4832"/>
    <w:rsid w:val="001A5DC4"/>
    <w:rsid w:val="001A7685"/>
    <w:rsid w:val="001A7D55"/>
    <w:rsid w:val="001B2A54"/>
    <w:rsid w:val="001B311F"/>
    <w:rsid w:val="001B4597"/>
    <w:rsid w:val="001B5BB5"/>
    <w:rsid w:val="001B64E8"/>
    <w:rsid w:val="001B76A2"/>
    <w:rsid w:val="001C01C9"/>
    <w:rsid w:val="001C02E8"/>
    <w:rsid w:val="001C03E9"/>
    <w:rsid w:val="001C0790"/>
    <w:rsid w:val="001C2152"/>
    <w:rsid w:val="001C3CD3"/>
    <w:rsid w:val="001C4188"/>
    <w:rsid w:val="001C6071"/>
    <w:rsid w:val="001C6C65"/>
    <w:rsid w:val="001C70A7"/>
    <w:rsid w:val="001D1747"/>
    <w:rsid w:val="001D4265"/>
    <w:rsid w:val="001D47D5"/>
    <w:rsid w:val="001D5AE3"/>
    <w:rsid w:val="001D6486"/>
    <w:rsid w:val="001D6B4D"/>
    <w:rsid w:val="001D6DA5"/>
    <w:rsid w:val="001D7316"/>
    <w:rsid w:val="001D7B13"/>
    <w:rsid w:val="001E1816"/>
    <w:rsid w:val="001E18DB"/>
    <w:rsid w:val="001E1B11"/>
    <w:rsid w:val="001E2899"/>
    <w:rsid w:val="001E6900"/>
    <w:rsid w:val="001E6EFF"/>
    <w:rsid w:val="001E7C16"/>
    <w:rsid w:val="001E7EC9"/>
    <w:rsid w:val="001F1FFA"/>
    <w:rsid w:val="001F2449"/>
    <w:rsid w:val="001F24CE"/>
    <w:rsid w:val="001F42A3"/>
    <w:rsid w:val="001F5AD6"/>
    <w:rsid w:val="00200621"/>
    <w:rsid w:val="00200E06"/>
    <w:rsid w:val="00200E5E"/>
    <w:rsid w:val="00200FC1"/>
    <w:rsid w:val="00201415"/>
    <w:rsid w:val="00202A4F"/>
    <w:rsid w:val="00202C8C"/>
    <w:rsid w:val="00204F53"/>
    <w:rsid w:val="002057F8"/>
    <w:rsid w:val="00205D7F"/>
    <w:rsid w:val="002077C9"/>
    <w:rsid w:val="002100D7"/>
    <w:rsid w:val="0021038C"/>
    <w:rsid w:val="00210770"/>
    <w:rsid w:val="002110CD"/>
    <w:rsid w:val="00212E8C"/>
    <w:rsid w:val="00212EEF"/>
    <w:rsid w:val="00212FED"/>
    <w:rsid w:val="00213A33"/>
    <w:rsid w:val="00216CB9"/>
    <w:rsid w:val="0022285E"/>
    <w:rsid w:val="00226814"/>
    <w:rsid w:val="00226E79"/>
    <w:rsid w:val="00227431"/>
    <w:rsid w:val="00230CBC"/>
    <w:rsid w:val="0023176C"/>
    <w:rsid w:val="00231BCB"/>
    <w:rsid w:val="0023244B"/>
    <w:rsid w:val="002330F6"/>
    <w:rsid w:val="0023354C"/>
    <w:rsid w:val="00233E6E"/>
    <w:rsid w:val="0023656A"/>
    <w:rsid w:val="00237B5E"/>
    <w:rsid w:val="002413F9"/>
    <w:rsid w:val="00243F0F"/>
    <w:rsid w:val="00245838"/>
    <w:rsid w:val="00246B52"/>
    <w:rsid w:val="002470DE"/>
    <w:rsid w:val="00250C74"/>
    <w:rsid w:val="00251698"/>
    <w:rsid w:val="00251B44"/>
    <w:rsid w:val="00252501"/>
    <w:rsid w:val="00252996"/>
    <w:rsid w:val="00254A1A"/>
    <w:rsid w:val="00256A10"/>
    <w:rsid w:val="00256F8B"/>
    <w:rsid w:val="00257ABE"/>
    <w:rsid w:val="002612B8"/>
    <w:rsid w:val="002619D3"/>
    <w:rsid w:val="00263A49"/>
    <w:rsid w:val="002642D4"/>
    <w:rsid w:val="00267494"/>
    <w:rsid w:val="00270C53"/>
    <w:rsid w:val="00270FD4"/>
    <w:rsid w:val="00271C27"/>
    <w:rsid w:val="00272D01"/>
    <w:rsid w:val="00273A9A"/>
    <w:rsid w:val="00273BA7"/>
    <w:rsid w:val="00274C7C"/>
    <w:rsid w:val="00274E1D"/>
    <w:rsid w:val="00275896"/>
    <w:rsid w:val="0027620A"/>
    <w:rsid w:val="002762DA"/>
    <w:rsid w:val="00276753"/>
    <w:rsid w:val="0027776E"/>
    <w:rsid w:val="0028028B"/>
    <w:rsid w:val="002808D0"/>
    <w:rsid w:val="00281F0C"/>
    <w:rsid w:val="002826C3"/>
    <w:rsid w:val="002832EF"/>
    <w:rsid w:val="00284728"/>
    <w:rsid w:val="00286144"/>
    <w:rsid w:val="002861F1"/>
    <w:rsid w:val="00286BB6"/>
    <w:rsid w:val="00286C47"/>
    <w:rsid w:val="00286DF9"/>
    <w:rsid w:val="00290492"/>
    <w:rsid w:val="00292AB5"/>
    <w:rsid w:val="002931A3"/>
    <w:rsid w:val="002949C2"/>
    <w:rsid w:val="0029536D"/>
    <w:rsid w:val="002962ED"/>
    <w:rsid w:val="0029654B"/>
    <w:rsid w:val="00296C91"/>
    <w:rsid w:val="002970FD"/>
    <w:rsid w:val="002A0AB4"/>
    <w:rsid w:val="002A0FED"/>
    <w:rsid w:val="002A1DE5"/>
    <w:rsid w:val="002A45DC"/>
    <w:rsid w:val="002A4AC2"/>
    <w:rsid w:val="002A529B"/>
    <w:rsid w:val="002A6E54"/>
    <w:rsid w:val="002A7C61"/>
    <w:rsid w:val="002B0385"/>
    <w:rsid w:val="002B07DA"/>
    <w:rsid w:val="002B1291"/>
    <w:rsid w:val="002B18BD"/>
    <w:rsid w:val="002B1E86"/>
    <w:rsid w:val="002B302C"/>
    <w:rsid w:val="002B3518"/>
    <w:rsid w:val="002B41B7"/>
    <w:rsid w:val="002B4A20"/>
    <w:rsid w:val="002B5FF0"/>
    <w:rsid w:val="002B7873"/>
    <w:rsid w:val="002C0487"/>
    <w:rsid w:val="002C0507"/>
    <w:rsid w:val="002C1355"/>
    <w:rsid w:val="002C2F3B"/>
    <w:rsid w:val="002C39D0"/>
    <w:rsid w:val="002C53A9"/>
    <w:rsid w:val="002C6F2A"/>
    <w:rsid w:val="002D0060"/>
    <w:rsid w:val="002D02EB"/>
    <w:rsid w:val="002D141B"/>
    <w:rsid w:val="002D4483"/>
    <w:rsid w:val="002D5ACC"/>
    <w:rsid w:val="002E5A3A"/>
    <w:rsid w:val="002E6F87"/>
    <w:rsid w:val="002F2DE5"/>
    <w:rsid w:val="002F35D5"/>
    <w:rsid w:val="002F3BD9"/>
    <w:rsid w:val="002F4417"/>
    <w:rsid w:val="002F56B6"/>
    <w:rsid w:val="002F70FE"/>
    <w:rsid w:val="002F7C29"/>
    <w:rsid w:val="002F7F1E"/>
    <w:rsid w:val="00300722"/>
    <w:rsid w:val="00300789"/>
    <w:rsid w:val="0030090F"/>
    <w:rsid w:val="00300CC4"/>
    <w:rsid w:val="00301183"/>
    <w:rsid w:val="003054CE"/>
    <w:rsid w:val="00306246"/>
    <w:rsid w:val="00307597"/>
    <w:rsid w:val="003076BF"/>
    <w:rsid w:val="00311436"/>
    <w:rsid w:val="0031275D"/>
    <w:rsid w:val="003138FD"/>
    <w:rsid w:val="00315188"/>
    <w:rsid w:val="00315325"/>
    <w:rsid w:val="00315FAF"/>
    <w:rsid w:val="00316471"/>
    <w:rsid w:val="0031731C"/>
    <w:rsid w:val="00317A21"/>
    <w:rsid w:val="003206A7"/>
    <w:rsid w:val="0032309F"/>
    <w:rsid w:val="003235E7"/>
    <w:rsid w:val="00324370"/>
    <w:rsid w:val="003247D6"/>
    <w:rsid w:val="00325274"/>
    <w:rsid w:val="00325C43"/>
    <w:rsid w:val="00325E51"/>
    <w:rsid w:val="00326A12"/>
    <w:rsid w:val="003273E1"/>
    <w:rsid w:val="0033011C"/>
    <w:rsid w:val="00330A50"/>
    <w:rsid w:val="0033101B"/>
    <w:rsid w:val="003313AF"/>
    <w:rsid w:val="00331EA3"/>
    <w:rsid w:val="00332E18"/>
    <w:rsid w:val="003331F6"/>
    <w:rsid w:val="00334180"/>
    <w:rsid w:val="003345BA"/>
    <w:rsid w:val="00334B75"/>
    <w:rsid w:val="00341652"/>
    <w:rsid w:val="0034234B"/>
    <w:rsid w:val="00342A99"/>
    <w:rsid w:val="00343575"/>
    <w:rsid w:val="00344C20"/>
    <w:rsid w:val="00344C67"/>
    <w:rsid w:val="003450FB"/>
    <w:rsid w:val="00345AED"/>
    <w:rsid w:val="0034653B"/>
    <w:rsid w:val="00347645"/>
    <w:rsid w:val="00355899"/>
    <w:rsid w:val="00362277"/>
    <w:rsid w:val="003625FF"/>
    <w:rsid w:val="00362B6C"/>
    <w:rsid w:val="00362FCD"/>
    <w:rsid w:val="00365CA9"/>
    <w:rsid w:val="00367B4F"/>
    <w:rsid w:val="00372FC4"/>
    <w:rsid w:val="003734A5"/>
    <w:rsid w:val="003765FD"/>
    <w:rsid w:val="00376AE5"/>
    <w:rsid w:val="00377F89"/>
    <w:rsid w:val="00382188"/>
    <w:rsid w:val="00382ABF"/>
    <w:rsid w:val="003849A8"/>
    <w:rsid w:val="00384C9E"/>
    <w:rsid w:val="003855FA"/>
    <w:rsid w:val="00385AEB"/>
    <w:rsid w:val="00385C0F"/>
    <w:rsid w:val="00390096"/>
    <w:rsid w:val="00390216"/>
    <w:rsid w:val="00390BA2"/>
    <w:rsid w:val="00391AEE"/>
    <w:rsid w:val="00391F29"/>
    <w:rsid w:val="00392262"/>
    <w:rsid w:val="00393F4B"/>
    <w:rsid w:val="00395196"/>
    <w:rsid w:val="003959F3"/>
    <w:rsid w:val="00396459"/>
    <w:rsid w:val="003967A1"/>
    <w:rsid w:val="0039701A"/>
    <w:rsid w:val="003974B5"/>
    <w:rsid w:val="003A02CB"/>
    <w:rsid w:val="003A1B2C"/>
    <w:rsid w:val="003A1E0F"/>
    <w:rsid w:val="003A20F1"/>
    <w:rsid w:val="003A2185"/>
    <w:rsid w:val="003A2518"/>
    <w:rsid w:val="003A322A"/>
    <w:rsid w:val="003A3560"/>
    <w:rsid w:val="003A35F8"/>
    <w:rsid w:val="003A4A93"/>
    <w:rsid w:val="003A4CD7"/>
    <w:rsid w:val="003A6D40"/>
    <w:rsid w:val="003A6D45"/>
    <w:rsid w:val="003A765D"/>
    <w:rsid w:val="003A79C1"/>
    <w:rsid w:val="003B1EA4"/>
    <w:rsid w:val="003B1FDF"/>
    <w:rsid w:val="003B28E2"/>
    <w:rsid w:val="003B3B6C"/>
    <w:rsid w:val="003B3E67"/>
    <w:rsid w:val="003B46CA"/>
    <w:rsid w:val="003B716C"/>
    <w:rsid w:val="003B751E"/>
    <w:rsid w:val="003B7719"/>
    <w:rsid w:val="003C0C07"/>
    <w:rsid w:val="003C20FA"/>
    <w:rsid w:val="003C2217"/>
    <w:rsid w:val="003C4673"/>
    <w:rsid w:val="003C492A"/>
    <w:rsid w:val="003C4A6C"/>
    <w:rsid w:val="003C667B"/>
    <w:rsid w:val="003C7103"/>
    <w:rsid w:val="003C747E"/>
    <w:rsid w:val="003C75C8"/>
    <w:rsid w:val="003D3015"/>
    <w:rsid w:val="003D48D2"/>
    <w:rsid w:val="003D4F10"/>
    <w:rsid w:val="003D5204"/>
    <w:rsid w:val="003D5FA4"/>
    <w:rsid w:val="003D6B51"/>
    <w:rsid w:val="003E0A31"/>
    <w:rsid w:val="003E12BF"/>
    <w:rsid w:val="003E376B"/>
    <w:rsid w:val="003E6D45"/>
    <w:rsid w:val="003E709C"/>
    <w:rsid w:val="003F009E"/>
    <w:rsid w:val="003F1889"/>
    <w:rsid w:val="003F201D"/>
    <w:rsid w:val="003F21E9"/>
    <w:rsid w:val="003F2C57"/>
    <w:rsid w:val="003F338E"/>
    <w:rsid w:val="003F3E8A"/>
    <w:rsid w:val="003F5DD9"/>
    <w:rsid w:val="003F6685"/>
    <w:rsid w:val="003F782E"/>
    <w:rsid w:val="004001CA"/>
    <w:rsid w:val="00400905"/>
    <w:rsid w:val="00401578"/>
    <w:rsid w:val="00401F12"/>
    <w:rsid w:val="00402628"/>
    <w:rsid w:val="004054A6"/>
    <w:rsid w:val="00406E66"/>
    <w:rsid w:val="004106B6"/>
    <w:rsid w:val="0041504D"/>
    <w:rsid w:val="004151B2"/>
    <w:rsid w:val="0042399C"/>
    <w:rsid w:val="00423CD6"/>
    <w:rsid w:val="00423DA1"/>
    <w:rsid w:val="00423FC7"/>
    <w:rsid w:val="00425467"/>
    <w:rsid w:val="00425735"/>
    <w:rsid w:val="00426A25"/>
    <w:rsid w:val="00426F89"/>
    <w:rsid w:val="00427182"/>
    <w:rsid w:val="00427531"/>
    <w:rsid w:val="00427D68"/>
    <w:rsid w:val="00430D49"/>
    <w:rsid w:val="00430E88"/>
    <w:rsid w:val="00430FD9"/>
    <w:rsid w:val="00433427"/>
    <w:rsid w:val="0043418E"/>
    <w:rsid w:val="004352A7"/>
    <w:rsid w:val="0043565C"/>
    <w:rsid w:val="00436BCF"/>
    <w:rsid w:val="00441668"/>
    <w:rsid w:val="00441D6C"/>
    <w:rsid w:val="0044385F"/>
    <w:rsid w:val="004442E0"/>
    <w:rsid w:val="00445F64"/>
    <w:rsid w:val="00446701"/>
    <w:rsid w:val="00447F28"/>
    <w:rsid w:val="0045000F"/>
    <w:rsid w:val="00452979"/>
    <w:rsid w:val="00452F7F"/>
    <w:rsid w:val="00452FEF"/>
    <w:rsid w:val="00453140"/>
    <w:rsid w:val="004556EB"/>
    <w:rsid w:val="0045577B"/>
    <w:rsid w:val="00455EB5"/>
    <w:rsid w:val="004579FD"/>
    <w:rsid w:val="0046033D"/>
    <w:rsid w:val="00461A9F"/>
    <w:rsid w:val="00462DC1"/>
    <w:rsid w:val="00463997"/>
    <w:rsid w:val="00463F26"/>
    <w:rsid w:val="004653B1"/>
    <w:rsid w:val="00467220"/>
    <w:rsid w:val="00471A28"/>
    <w:rsid w:val="00472126"/>
    <w:rsid w:val="0047263F"/>
    <w:rsid w:val="00472C35"/>
    <w:rsid w:val="004736E4"/>
    <w:rsid w:val="00476033"/>
    <w:rsid w:val="00476474"/>
    <w:rsid w:val="0047692C"/>
    <w:rsid w:val="00476ED6"/>
    <w:rsid w:val="0048080A"/>
    <w:rsid w:val="00480D6C"/>
    <w:rsid w:val="00481AF0"/>
    <w:rsid w:val="00483287"/>
    <w:rsid w:val="0048384A"/>
    <w:rsid w:val="004845BE"/>
    <w:rsid w:val="004847C9"/>
    <w:rsid w:val="00484C08"/>
    <w:rsid w:val="00487B22"/>
    <w:rsid w:val="00491381"/>
    <w:rsid w:val="0049265D"/>
    <w:rsid w:val="004929BD"/>
    <w:rsid w:val="00492CAD"/>
    <w:rsid w:val="00492E00"/>
    <w:rsid w:val="00494077"/>
    <w:rsid w:val="0049464F"/>
    <w:rsid w:val="00494AB9"/>
    <w:rsid w:val="00494E9B"/>
    <w:rsid w:val="00495073"/>
    <w:rsid w:val="0049541C"/>
    <w:rsid w:val="00495ACD"/>
    <w:rsid w:val="00496890"/>
    <w:rsid w:val="004973BD"/>
    <w:rsid w:val="00497E15"/>
    <w:rsid w:val="004A133A"/>
    <w:rsid w:val="004A16E4"/>
    <w:rsid w:val="004A3525"/>
    <w:rsid w:val="004A4406"/>
    <w:rsid w:val="004A4CA9"/>
    <w:rsid w:val="004A62A4"/>
    <w:rsid w:val="004A6742"/>
    <w:rsid w:val="004A77C1"/>
    <w:rsid w:val="004A787A"/>
    <w:rsid w:val="004B0872"/>
    <w:rsid w:val="004B1F8B"/>
    <w:rsid w:val="004B28F5"/>
    <w:rsid w:val="004B2CA3"/>
    <w:rsid w:val="004B38A9"/>
    <w:rsid w:val="004B3A83"/>
    <w:rsid w:val="004B4368"/>
    <w:rsid w:val="004B671A"/>
    <w:rsid w:val="004B70CB"/>
    <w:rsid w:val="004C11F1"/>
    <w:rsid w:val="004C24E9"/>
    <w:rsid w:val="004C2CDB"/>
    <w:rsid w:val="004C3BD3"/>
    <w:rsid w:val="004C5022"/>
    <w:rsid w:val="004C5099"/>
    <w:rsid w:val="004C53A4"/>
    <w:rsid w:val="004D058F"/>
    <w:rsid w:val="004D1090"/>
    <w:rsid w:val="004D2047"/>
    <w:rsid w:val="004D255B"/>
    <w:rsid w:val="004D3AC3"/>
    <w:rsid w:val="004D3C45"/>
    <w:rsid w:val="004D405A"/>
    <w:rsid w:val="004D58C3"/>
    <w:rsid w:val="004D5A33"/>
    <w:rsid w:val="004D6F02"/>
    <w:rsid w:val="004E1034"/>
    <w:rsid w:val="004E2FCE"/>
    <w:rsid w:val="004E354E"/>
    <w:rsid w:val="004E4206"/>
    <w:rsid w:val="004E42E5"/>
    <w:rsid w:val="004E6263"/>
    <w:rsid w:val="004E7ABC"/>
    <w:rsid w:val="004F0A4E"/>
    <w:rsid w:val="004F0B7D"/>
    <w:rsid w:val="004F3CFB"/>
    <w:rsid w:val="004F4336"/>
    <w:rsid w:val="004F4715"/>
    <w:rsid w:val="004F56BF"/>
    <w:rsid w:val="004F641A"/>
    <w:rsid w:val="004F6F0C"/>
    <w:rsid w:val="005003A2"/>
    <w:rsid w:val="00500CC7"/>
    <w:rsid w:val="0050139E"/>
    <w:rsid w:val="00502760"/>
    <w:rsid w:val="0050389C"/>
    <w:rsid w:val="005055C5"/>
    <w:rsid w:val="00506D6F"/>
    <w:rsid w:val="005102E0"/>
    <w:rsid w:val="00512A5F"/>
    <w:rsid w:val="00516340"/>
    <w:rsid w:val="00517179"/>
    <w:rsid w:val="00517C0E"/>
    <w:rsid w:val="00520E82"/>
    <w:rsid w:val="00520EA8"/>
    <w:rsid w:val="00520F49"/>
    <w:rsid w:val="00521B20"/>
    <w:rsid w:val="00523D5F"/>
    <w:rsid w:val="0052470D"/>
    <w:rsid w:val="005255CE"/>
    <w:rsid w:val="005263A0"/>
    <w:rsid w:val="005275BE"/>
    <w:rsid w:val="005303B9"/>
    <w:rsid w:val="00530473"/>
    <w:rsid w:val="00531266"/>
    <w:rsid w:val="00531E24"/>
    <w:rsid w:val="005331C3"/>
    <w:rsid w:val="00533351"/>
    <w:rsid w:val="00534757"/>
    <w:rsid w:val="00536566"/>
    <w:rsid w:val="00540F80"/>
    <w:rsid w:val="005421BF"/>
    <w:rsid w:val="005422D9"/>
    <w:rsid w:val="00542676"/>
    <w:rsid w:val="00544377"/>
    <w:rsid w:val="00545183"/>
    <w:rsid w:val="005465AB"/>
    <w:rsid w:val="00552403"/>
    <w:rsid w:val="00552B6A"/>
    <w:rsid w:val="00553589"/>
    <w:rsid w:val="005546A9"/>
    <w:rsid w:val="00556345"/>
    <w:rsid w:val="005568BF"/>
    <w:rsid w:val="00557956"/>
    <w:rsid w:val="0056134B"/>
    <w:rsid w:val="0056557D"/>
    <w:rsid w:val="00566518"/>
    <w:rsid w:val="005665D8"/>
    <w:rsid w:val="005675D4"/>
    <w:rsid w:val="0056773B"/>
    <w:rsid w:val="00567949"/>
    <w:rsid w:val="00570ED2"/>
    <w:rsid w:val="00571929"/>
    <w:rsid w:val="00571EA7"/>
    <w:rsid w:val="00572237"/>
    <w:rsid w:val="0057336E"/>
    <w:rsid w:val="00574B30"/>
    <w:rsid w:val="0057708E"/>
    <w:rsid w:val="00577C43"/>
    <w:rsid w:val="00583204"/>
    <w:rsid w:val="005836FD"/>
    <w:rsid w:val="00583D13"/>
    <w:rsid w:val="005844C0"/>
    <w:rsid w:val="00584B13"/>
    <w:rsid w:val="005856DC"/>
    <w:rsid w:val="00586899"/>
    <w:rsid w:val="00586F1D"/>
    <w:rsid w:val="00587BD6"/>
    <w:rsid w:val="00587C85"/>
    <w:rsid w:val="005915E9"/>
    <w:rsid w:val="00592511"/>
    <w:rsid w:val="00593882"/>
    <w:rsid w:val="00593963"/>
    <w:rsid w:val="00593EC7"/>
    <w:rsid w:val="00594049"/>
    <w:rsid w:val="00595D7E"/>
    <w:rsid w:val="0059726A"/>
    <w:rsid w:val="005A1AD8"/>
    <w:rsid w:val="005A26B9"/>
    <w:rsid w:val="005A28B9"/>
    <w:rsid w:val="005A4122"/>
    <w:rsid w:val="005A4EB2"/>
    <w:rsid w:val="005A5329"/>
    <w:rsid w:val="005A6AE0"/>
    <w:rsid w:val="005A7017"/>
    <w:rsid w:val="005B055A"/>
    <w:rsid w:val="005B0A29"/>
    <w:rsid w:val="005B0AE6"/>
    <w:rsid w:val="005B0BCE"/>
    <w:rsid w:val="005B100C"/>
    <w:rsid w:val="005B23ED"/>
    <w:rsid w:val="005B27CE"/>
    <w:rsid w:val="005B2B93"/>
    <w:rsid w:val="005B312C"/>
    <w:rsid w:val="005B4238"/>
    <w:rsid w:val="005B4C65"/>
    <w:rsid w:val="005B5177"/>
    <w:rsid w:val="005B5A4E"/>
    <w:rsid w:val="005B6D27"/>
    <w:rsid w:val="005B6FDC"/>
    <w:rsid w:val="005B7C78"/>
    <w:rsid w:val="005C392D"/>
    <w:rsid w:val="005C44B2"/>
    <w:rsid w:val="005C5D46"/>
    <w:rsid w:val="005C6213"/>
    <w:rsid w:val="005C7BC6"/>
    <w:rsid w:val="005D014C"/>
    <w:rsid w:val="005D04F8"/>
    <w:rsid w:val="005D1EDC"/>
    <w:rsid w:val="005D26CE"/>
    <w:rsid w:val="005D2CC4"/>
    <w:rsid w:val="005D35BF"/>
    <w:rsid w:val="005D3902"/>
    <w:rsid w:val="005D3E77"/>
    <w:rsid w:val="005D595A"/>
    <w:rsid w:val="005D5974"/>
    <w:rsid w:val="005D5FFB"/>
    <w:rsid w:val="005D6025"/>
    <w:rsid w:val="005E101A"/>
    <w:rsid w:val="005E1473"/>
    <w:rsid w:val="005E265A"/>
    <w:rsid w:val="005E77EB"/>
    <w:rsid w:val="005E7F83"/>
    <w:rsid w:val="005F0D25"/>
    <w:rsid w:val="005F1071"/>
    <w:rsid w:val="005F29F2"/>
    <w:rsid w:val="005F2F19"/>
    <w:rsid w:val="005F33E5"/>
    <w:rsid w:val="005F35E3"/>
    <w:rsid w:val="005F5806"/>
    <w:rsid w:val="005F6D4B"/>
    <w:rsid w:val="005F7210"/>
    <w:rsid w:val="005F7A12"/>
    <w:rsid w:val="00601425"/>
    <w:rsid w:val="00601473"/>
    <w:rsid w:val="00601C32"/>
    <w:rsid w:val="006037E7"/>
    <w:rsid w:val="00606B1B"/>
    <w:rsid w:val="006072C9"/>
    <w:rsid w:val="00610199"/>
    <w:rsid w:val="006103C2"/>
    <w:rsid w:val="00610CAD"/>
    <w:rsid w:val="006110F1"/>
    <w:rsid w:val="00612EC3"/>
    <w:rsid w:val="00613669"/>
    <w:rsid w:val="00613E7B"/>
    <w:rsid w:val="006144DA"/>
    <w:rsid w:val="00616BCB"/>
    <w:rsid w:val="00617895"/>
    <w:rsid w:val="006202D7"/>
    <w:rsid w:val="00622583"/>
    <w:rsid w:val="006226BE"/>
    <w:rsid w:val="0062361B"/>
    <w:rsid w:val="00624AD2"/>
    <w:rsid w:val="00624B9C"/>
    <w:rsid w:val="00627F38"/>
    <w:rsid w:val="00630766"/>
    <w:rsid w:val="00632900"/>
    <w:rsid w:val="0063445C"/>
    <w:rsid w:val="006349FB"/>
    <w:rsid w:val="006352EF"/>
    <w:rsid w:val="0063645C"/>
    <w:rsid w:val="006373D2"/>
    <w:rsid w:val="00637591"/>
    <w:rsid w:val="0063787D"/>
    <w:rsid w:val="00640165"/>
    <w:rsid w:val="006409A9"/>
    <w:rsid w:val="00640B9C"/>
    <w:rsid w:val="0064210E"/>
    <w:rsid w:val="006424AC"/>
    <w:rsid w:val="00644F4E"/>
    <w:rsid w:val="00645D2D"/>
    <w:rsid w:val="0064635F"/>
    <w:rsid w:val="00647C26"/>
    <w:rsid w:val="0065085A"/>
    <w:rsid w:val="00653174"/>
    <w:rsid w:val="00654677"/>
    <w:rsid w:val="00654DD6"/>
    <w:rsid w:val="00657057"/>
    <w:rsid w:val="0066137C"/>
    <w:rsid w:val="00662B5B"/>
    <w:rsid w:val="00662E69"/>
    <w:rsid w:val="00663AEE"/>
    <w:rsid w:val="006655F3"/>
    <w:rsid w:val="00665A08"/>
    <w:rsid w:val="00665A1C"/>
    <w:rsid w:val="0066651D"/>
    <w:rsid w:val="00667C7F"/>
    <w:rsid w:val="00671572"/>
    <w:rsid w:val="006733CF"/>
    <w:rsid w:val="00673A96"/>
    <w:rsid w:val="00676706"/>
    <w:rsid w:val="006779BF"/>
    <w:rsid w:val="00677DA3"/>
    <w:rsid w:val="00682919"/>
    <w:rsid w:val="0068296F"/>
    <w:rsid w:val="00683985"/>
    <w:rsid w:val="00683B23"/>
    <w:rsid w:val="00684B11"/>
    <w:rsid w:val="00685546"/>
    <w:rsid w:val="0068569D"/>
    <w:rsid w:val="00685ACC"/>
    <w:rsid w:val="00685D4A"/>
    <w:rsid w:val="00692095"/>
    <w:rsid w:val="00693678"/>
    <w:rsid w:val="0069432D"/>
    <w:rsid w:val="00695DFE"/>
    <w:rsid w:val="006964ED"/>
    <w:rsid w:val="00696E39"/>
    <w:rsid w:val="006A316B"/>
    <w:rsid w:val="006A49CB"/>
    <w:rsid w:val="006A709D"/>
    <w:rsid w:val="006A7294"/>
    <w:rsid w:val="006B00C4"/>
    <w:rsid w:val="006B0811"/>
    <w:rsid w:val="006B199C"/>
    <w:rsid w:val="006B2244"/>
    <w:rsid w:val="006B299C"/>
    <w:rsid w:val="006B3051"/>
    <w:rsid w:val="006B4B2C"/>
    <w:rsid w:val="006B53F5"/>
    <w:rsid w:val="006C03D8"/>
    <w:rsid w:val="006C110F"/>
    <w:rsid w:val="006C128F"/>
    <w:rsid w:val="006C133D"/>
    <w:rsid w:val="006C44BE"/>
    <w:rsid w:val="006C4C3A"/>
    <w:rsid w:val="006C5B7D"/>
    <w:rsid w:val="006C5D97"/>
    <w:rsid w:val="006C638E"/>
    <w:rsid w:val="006C7863"/>
    <w:rsid w:val="006D000E"/>
    <w:rsid w:val="006D0640"/>
    <w:rsid w:val="006D196D"/>
    <w:rsid w:val="006D1E4F"/>
    <w:rsid w:val="006D2B4B"/>
    <w:rsid w:val="006D35F9"/>
    <w:rsid w:val="006D3810"/>
    <w:rsid w:val="006D5E7B"/>
    <w:rsid w:val="006D7185"/>
    <w:rsid w:val="006E0C07"/>
    <w:rsid w:val="006E10FA"/>
    <w:rsid w:val="006E2403"/>
    <w:rsid w:val="006E2BD2"/>
    <w:rsid w:val="006E2EAA"/>
    <w:rsid w:val="006E2FDA"/>
    <w:rsid w:val="006E31AA"/>
    <w:rsid w:val="006E5745"/>
    <w:rsid w:val="006E662A"/>
    <w:rsid w:val="006E7B0D"/>
    <w:rsid w:val="006F0985"/>
    <w:rsid w:val="006F0B02"/>
    <w:rsid w:val="006F2AC5"/>
    <w:rsid w:val="006F2E89"/>
    <w:rsid w:val="006F437C"/>
    <w:rsid w:val="006F5D5A"/>
    <w:rsid w:val="006F603A"/>
    <w:rsid w:val="006F62A1"/>
    <w:rsid w:val="006F6C27"/>
    <w:rsid w:val="006F7EBD"/>
    <w:rsid w:val="00702696"/>
    <w:rsid w:val="00702CD9"/>
    <w:rsid w:val="00704665"/>
    <w:rsid w:val="00704BC4"/>
    <w:rsid w:val="00704DDB"/>
    <w:rsid w:val="00704FC4"/>
    <w:rsid w:val="00705B99"/>
    <w:rsid w:val="007104E2"/>
    <w:rsid w:val="00710757"/>
    <w:rsid w:val="007112FD"/>
    <w:rsid w:val="00711465"/>
    <w:rsid w:val="00712A31"/>
    <w:rsid w:val="0071309E"/>
    <w:rsid w:val="00713A31"/>
    <w:rsid w:val="007150DB"/>
    <w:rsid w:val="00715678"/>
    <w:rsid w:val="0072016E"/>
    <w:rsid w:val="007205DB"/>
    <w:rsid w:val="007217DD"/>
    <w:rsid w:val="00724E93"/>
    <w:rsid w:val="00727D9E"/>
    <w:rsid w:val="007300BC"/>
    <w:rsid w:val="007311E6"/>
    <w:rsid w:val="00731285"/>
    <w:rsid w:val="00732580"/>
    <w:rsid w:val="00732922"/>
    <w:rsid w:val="00733393"/>
    <w:rsid w:val="007335D5"/>
    <w:rsid w:val="00736162"/>
    <w:rsid w:val="0073629B"/>
    <w:rsid w:val="00736439"/>
    <w:rsid w:val="00736664"/>
    <w:rsid w:val="00736D33"/>
    <w:rsid w:val="0073763F"/>
    <w:rsid w:val="00740822"/>
    <w:rsid w:val="00740FA6"/>
    <w:rsid w:val="007426D1"/>
    <w:rsid w:val="007430F2"/>
    <w:rsid w:val="007436B9"/>
    <w:rsid w:val="00744500"/>
    <w:rsid w:val="00751417"/>
    <w:rsid w:val="00751A2B"/>
    <w:rsid w:val="00753E33"/>
    <w:rsid w:val="0075432D"/>
    <w:rsid w:val="00754956"/>
    <w:rsid w:val="007566C5"/>
    <w:rsid w:val="00756F32"/>
    <w:rsid w:val="007572C5"/>
    <w:rsid w:val="00757614"/>
    <w:rsid w:val="00757B72"/>
    <w:rsid w:val="00757C8F"/>
    <w:rsid w:val="007602F0"/>
    <w:rsid w:val="00760623"/>
    <w:rsid w:val="007613C6"/>
    <w:rsid w:val="00761A2F"/>
    <w:rsid w:val="00763092"/>
    <w:rsid w:val="007653D8"/>
    <w:rsid w:val="007664AF"/>
    <w:rsid w:val="00766E98"/>
    <w:rsid w:val="00771AC3"/>
    <w:rsid w:val="007727BC"/>
    <w:rsid w:val="00773C74"/>
    <w:rsid w:val="00773CCB"/>
    <w:rsid w:val="007756BD"/>
    <w:rsid w:val="00780D06"/>
    <w:rsid w:val="00785893"/>
    <w:rsid w:val="007862C4"/>
    <w:rsid w:val="0078757D"/>
    <w:rsid w:val="0078775D"/>
    <w:rsid w:val="00787C36"/>
    <w:rsid w:val="007904F5"/>
    <w:rsid w:val="00794912"/>
    <w:rsid w:val="007959DC"/>
    <w:rsid w:val="007A010F"/>
    <w:rsid w:val="007A04F6"/>
    <w:rsid w:val="007A1841"/>
    <w:rsid w:val="007A18CA"/>
    <w:rsid w:val="007A19B2"/>
    <w:rsid w:val="007A35D9"/>
    <w:rsid w:val="007A3608"/>
    <w:rsid w:val="007A4E45"/>
    <w:rsid w:val="007A51F1"/>
    <w:rsid w:val="007A6536"/>
    <w:rsid w:val="007A66C1"/>
    <w:rsid w:val="007B1761"/>
    <w:rsid w:val="007B3D2B"/>
    <w:rsid w:val="007B49E5"/>
    <w:rsid w:val="007B4C8B"/>
    <w:rsid w:val="007B55F5"/>
    <w:rsid w:val="007B5A96"/>
    <w:rsid w:val="007B5CB4"/>
    <w:rsid w:val="007B5F10"/>
    <w:rsid w:val="007B61EF"/>
    <w:rsid w:val="007B644B"/>
    <w:rsid w:val="007B6918"/>
    <w:rsid w:val="007B795A"/>
    <w:rsid w:val="007C02DF"/>
    <w:rsid w:val="007C0B7B"/>
    <w:rsid w:val="007C220E"/>
    <w:rsid w:val="007C26CB"/>
    <w:rsid w:val="007C2FA7"/>
    <w:rsid w:val="007C3741"/>
    <w:rsid w:val="007C394D"/>
    <w:rsid w:val="007C3C50"/>
    <w:rsid w:val="007C3C54"/>
    <w:rsid w:val="007C500D"/>
    <w:rsid w:val="007C5390"/>
    <w:rsid w:val="007C6D6D"/>
    <w:rsid w:val="007C7247"/>
    <w:rsid w:val="007C75AB"/>
    <w:rsid w:val="007C78D7"/>
    <w:rsid w:val="007D0212"/>
    <w:rsid w:val="007D0280"/>
    <w:rsid w:val="007D15B1"/>
    <w:rsid w:val="007D4C45"/>
    <w:rsid w:val="007D636B"/>
    <w:rsid w:val="007D6627"/>
    <w:rsid w:val="007D71B4"/>
    <w:rsid w:val="007E02A3"/>
    <w:rsid w:val="007E36A9"/>
    <w:rsid w:val="007E42F1"/>
    <w:rsid w:val="007E4F6F"/>
    <w:rsid w:val="007E5E9B"/>
    <w:rsid w:val="007E733A"/>
    <w:rsid w:val="007E7C48"/>
    <w:rsid w:val="007E7FF9"/>
    <w:rsid w:val="007F01B8"/>
    <w:rsid w:val="007F045F"/>
    <w:rsid w:val="007F1DE1"/>
    <w:rsid w:val="007F1ED4"/>
    <w:rsid w:val="007F304C"/>
    <w:rsid w:val="007F3EBD"/>
    <w:rsid w:val="007F44AA"/>
    <w:rsid w:val="007F4AD5"/>
    <w:rsid w:val="007F4BBC"/>
    <w:rsid w:val="007F5932"/>
    <w:rsid w:val="007F72B9"/>
    <w:rsid w:val="007F752B"/>
    <w:rsid w:val="00804091"/>
    <w:rsid w:val="0080597C"/>
    <w:rsid w:val="0081045D"/>
    <w:rsid w:val="00812418"/>
    <w:rsid w:val="0081270F"/>
    <w:rsid w:val="00813CC2"/>
    <w:rsid w:val="0081585C"/>
    <w:rsid w:val="00816E19"/>
    <w:rsid w:val="00817F64"/>
    <w:rsid w:val="008208C6"/>
    <w:rsid w:val="008210D4"/>
    <w:rsid w:val="00821709"/>
    <w:rsid w:val="00821A59"/>
    <w:rsid w:val="00823F2B"/>
    <w:rsid w:val="008244CE"/>
    <w:rsid w:val="00824DCF"/>
    <w:rsid w:val="008252C0"/>
    <w:rsid w:val="00825F6E"/>
    <w:rsid w:val="00826064"/>
    <w:rsid w:val="00826DDD"/>
    <w:rsid w:val="008277B0"/>
    <w:rsid w:val="00830B2E"/>
    <w:rsid w:val="00833F68"/>
    <w:rsid w:val="00837162"/>
    <w:rsid w:val="00837F15"/>
    <w:rsid w:val="008402DB"/>
    <w:rsid w:val="00841566"/>
    <w:rsid w:val="0084165F"/>
    <w:rsid w:val="0084468D"/>
    <w:rsid w:val="00844C2C"/>
    <w:rsid w:val="00846A6B"/>
    <w:rsid w:val="008510ED"/>
    <w:rsid w:val="008522E1"/>
    <w:rsid w:val="00853FC3"/>
    <w:rsid w:val="0086025F"/>
    <w:rsid w:val="00861E8F"/>
    <w:rsid w:val="0086368E"/>
    <w:rsid w:val="00863BDC"/>
    <w:rsid w:val="00865A36"/>
    <w:rsid w:val="008677D0"/>
    <w:rsid w:val="00871280"/>
    <w:rsid w:val="00873F62"/>
    <w:rsid w:val="0087557A"/>
    <w:rsid w:val="00875C21"/>
    <w:rsid w:val="008765D0"/>
    <w:rsid w:val="00876A03"/>
    <w:rsid w:val="00876C28"/>
    <w:rsid w:val="0087785B"/>
    <w:rsid w:val="00877B9C"/>
    <w:rsid w:val="00877E44"/>
    <w:rsid w:val="008806A7"/>
    <w:rsid w:val="008807BF"/>
    <w:rsid w:val="0088151F"/>
    <w:rsid w:val="00881EF0"/>
    <w:rsid w:val="008824E0"/>
    <w:rsid w:val="00883091"/>
    <w:rsid w:val="00884A26"/>
    <w:rsid w:val="00884D9C"/>
    <w:rsid w:val="008852E5"/>
    <w:rsid w:val="0088738F"/>
    <w:rsid w:val="0088760B"/>
    <w:rsid w:val="00887724"/>
    <w:rsid w:val="0089342A"/>
    <w:rsid w:val="0089359C"/>
    <w:rsid w:val="00894A15"/>
    <w:rsid w:val="00897A81"/>
    <w:rsid w:val="008A05F6"/>
    <w:rsid w:val="008A29CA"/>
    <w:rsid w:val="008A4632"/>
    <w:rsid w:val="008A4637"/>
    <w:rsid w:val="008A4D24"/>
    <w:rsid w:val="008A6511"/>
    <w:rsid w:val="008A75EA"/>
    <w:rsid w:val="008A76E8"/>
    <w:rsid w:val="008B09B8"/>
    <w:rsid w:val="008B0F69"/>
    <w:rsid w:val="008B145F"/>
    <w:rsid w:val="008B1734"/>
    <w:rsid w:val="008B29E7"/>
    <w:rsid w:val="008B3348"/>
    <w:rsid w:val="008B4A76"/>
    <w:rsid w:val="008B5E0F"/>
    <w:rsid w:val="008B5E56"/>
    <w:rsid w:val="008B736E"/>
    <w:rsid w:val="008C12F3"/>
    <w:rsid w:val="008C3B17"/>
    <w:rsid w:val="008C5EA2"/>
    <w:rsid w:val="008C7895"/>
    <w:rsid w:val="008D0321"/>
    <w:rsid w:val="008D0A00"/>
    <w:rsid w:val="008D312E"/>
    <w:rsid w:val="008D4F9D"/>
    <w:rsid w:val="008D7611"/>
    <w:rsid w:val="008D7C89"/>
    <w:rsid w:val="008E03E0"/>
    <w:rsid w:val="008E39EF"/>
    <w:rsid w:val="008E3B17"/>
    <w:rsid w:val="008E3E12"/>
    <w:rsid w:val="008E43E6"/>
    <w:rsid w:val="008E5D1B"/>
    <w:rsid w:val="008E7077"/>
    <w:rsid w:val="008E70AB"/>
    <w:rsid w:val="008F0779"/>
    <w:rsid w:val="008F388B"/>
    <w:rsid w:val="008F3F61"/>
    <w:rsid w:val="008F4086"/>
    <w:rsid w:val="008F56DD"/>
    <w:rsid w:val="008F6CCA"/>
    <w:rsid w:val="008F7473"/>
    <w:rsid w:val="009002C4"/>
    <w:rsid w:val="00902F3B"/>
    <w:rsid w:val="00903A66"/>
    <w:rsid w:val="009043D9"/>
    <w:rsid w:val="00904735"/>
    <w:rsid w:val="0090480D"/>
    <w:rsid w:val="009056CB"/>
    <w:rsid w:val="00907AFE"/>
    <w:rsid w:val="00910F21"/>
    <w:rsid w:val="00911592"/>
    <w:rsid w:val="009126EF"/>
    <w:rsid w:val="00912CAF"/>
    <w:rsid w:val="00913012"/>
    <w:rsid w:val="00913047"/>
    <w:rsid w:val="009137E7"/>
    <w:rsid w:val="0091391C"/>
    <w:rsid w:val="00915448"/>
    <w:rsid w:val="009156A0"/>
    <w:rsid w:val="0091587B"/>
    <w:rsid w:val="00921819"/>
    <w:rsid w:val="00921C9B"/>
    <w:rsid w:val="00924DD2"/>
    <w:rsid w:val="009258F9"/>
    <w:rsid w:val="00925C85"/>
    <w:rsid w:val="00926AA3"/>
    <w:rsid w:val="00926ECB"/>
    <w:rsid w:val="00926EFB"/>
    <w:rsid w:val="009308C2"/>
    <w:rsid w:val="0093102D"/>
    <w:rsid w:val="0093301A"/>
    <w:rsid w:val="0093393D"/>
    <w:rsid w:val="00934370"/>
    <w:rsid w:val="00934426"/>
    <w:rsid w:val="00934A31"/>
    <w:rsid w:val="00934E3B"/>
    <w:rsid w:val="0093535D"/>
    <w:rsid w:val="0093586E"/>
    <w:rsid w:val="009364B9"/>
    <w:rsid w:val="009372F3"/>
    <w:rsid w:val="00940201"/>
    <w:rsid w:val="00941662"/>
    <w:rsid w:val="00941C80"/>
    <w:rsid w:val="00942320"/>
    <w:rsid w:val="009425C2"/>
    <w:rsid w:val="009426E4"/>
    <w:rsid w:val="00943BDE"/>
    <w:rsid w:val="0094470B"/>
    <w:rsid w:val="00944B71"/>
    <w:rsid w:val="00946A13"/>
    <w:rsid w:val="009505F5"/>
    <w:rsid w:val="0095211D"/>
    <w:rsid w:val="00952902"/>
    <w:rsid w:val="00954064"/>
    <w:rsid w:val="0095440D"/>
    <w:rsid w:val="00954D11"/>
    <w:rsid w:val="00957C67"/>
    <w:rsid w:val="00960AB0"/>
    <w:rsid w:val="00960E7A"/>
    <w:rsid w:val="00961AF3"/>
    <w:rsid w:val="009626AE"/>
    <w:rsid w:val="00962DDA"/>
    <w:rsid w:val="009631CD"/>
    <w:rsid w:val="009634BB"/>
    <w:rsid w:val="00963797"/>
    <w:rsid w:val="009645B7"/>
    <w:rsid w:val="0096543D"/>
    <w:rsid w:val="009667C2"/>
    <w:rsid w:val="00966C42"/>
    <w:rsid w:val="009714C4"/>
    <w:rsid w:val="00973563"/>
    <w:rsid w:val="0098000D"/>
    <w:rsid w:val="00980085"/>
    <w:rsid w:val="009801DF"/>
    <w:rsid w:val="0098043F"/>
    <w:rsid w:val="00981AF2"/>
    <w:rsid w:val="00981C01"/>
    <w:rsid w:val="00982BDA"/>
    <w:rsid w:val="0098310F"/>
    <w:rsid w:val="00983648"/>
    <w:rsid w:val="0098370F"/>
    <w:rsid w:val="0098377F"/>
    <w:rsid w:val="00985E45"/>
    <w:rsid w:val="00987E86"/>
    <w:rsid w:val="00990361"/>
    <w:rsid w:val="00991EDC"/>
    <w:rsid w:val="00992143"/>
    <w:rsid w:val="009922B3"/>
    <w:rsid w:val="0099262A"/>
    <w:rsid w:val="00992808"/>
    <w:rsid w:val="00993097"/>
    <w:rsid w:val="00994BEF"/>
    <w:rsid w:val="00997B2A"/>
    <w:rsid w:val="009A005B"/>
    <w:rsid w:val="009A0446"/>
    <w:rsid w:val="009A057F"/>
    <w:rsid w:val="009A1534"/>
    <w:rsid w:val="009A1E04"/>
    <w:rsid w:val="009A254A"/>
    <w:rsid w:val="009A291C"/>
    <w:rsid w:val="009A3823"/>
    <w:rsid w:val="009A38A6"/>
    <w:rsid w:val="009A3E0B"/>
    <w:rsid w:val="009A467A"/>
    <w:rsid w:val="009A4A1F"/>
    <w:rsid w:val="009A4A4C"/>
    <w:rsid w:val="009A4EE1"/>
    <w:rsid w:val="009A5440"/>
    <w:rsid w:val="009A6095"/>
    <w:rsid w:val="009A67F7"/>
    <w:rsid w:val="009B47D2"/>
    <w:rsid w:val="009B4800"/>
    <w:rsid w:val="009B5DCB"/>
    <w:rsid w:val="009B7655"/>
    <w:rsid w:val="009B7BA7"/>
    <w:rsid w:val="009C02AC"/>
    <w:rsid w:val="009C2B2C"/>
    <w:rsid w:val="009C3BF7"/>
    <w:rsid w:val="009C466E"/>
    <w:rsid w:val="009C4CC9"/>
    <w:rsid w:val="009C537A"/>
    <w:rsid w:val="009C5C31"/>
    <w:rsid w:val="009C5DEC"/>
    <w:rsid w:val="009D1227"/>
    <w:rsid w:val="009D1595"/>
    <w:rsid w:val="009D1A56"/>
    <w:rsid w:val="009D2790"/>
    <w:rsid w:val="009D2A0A"/>
    <w:rsid w:val="009D321B"/>
    <w:rsid w:val="009D3878"/>
    <w:rsid w:val="009D387B"/>
    <w:rsid w:val="009D3C52"/>
    <w:rsid w:val="009D4877"/>
    <w:rsid w:val="009D4DD4"/>
    <w:rsid w:val="009D7A0F"/>
    <w:rsid w:val="009D7A5F"/>
    <w:rsid w:val="009E0289"/>
    <w:rsid w:val="009E08E6"/>
    <w:rsid w:val="009E12D0"/>
    <w:rsid w:val="009E2A7C"/>
    <w:rsid w:val="009E2BD9"/>
    <w:rsid w:val="009E4D30"/>
    <w:rsid w:val="009E54BD"/>
    <w:rsid w:val="009E54E8"/>
    <w:rsid w:val="009E60E4"/>
    <w:rsid w:val="009E6B89"/>
    <w:rsid w:val="009E71D0"/>
    <w:rsid w:val="009E79F8"/>
    <w:rsid w:val="009F0179"/>
    <w:rsid w:val="009F0EC5"/>
    <w:rsid w:val="009F1516"/>
    <w:rsid w:val="009F163D"/>
    <w:rsid w:val="009F31D0"/>
    <w:rsid w:val="009F4EB9"/>
    <w:rsid w:val="009F6C0A"/>
    <w:rsid w:val="009F73B1"/>
    <w:rsid w:val="009F7409"/>
    <w:rsid w:val="009F753D"/>
    <w:rsid w:val="00A026C2"/>
    <w:rsid w:val="00A03874"/>
    <w:rsid w:val="00A05CF3"/>
    <w:rsid w:val="00A11973"/>
    <w:rsid w:val="00A11EED"/>
    <w:rsid w:val="00A11F0F"/>
    <w:rsid w:val="00A1286B"/>
    <w:rsid w:val="00A14382"/>
    <w:rsid w:val="00A14770"/>
    <w:rsid w:val="00A150D7"/>
    <w:rsid w:val="00A16964"/>
    <w:rsid w:val="00A1794B"/>
    <w:rsid w:val="00A17AC5"/>
    <w:rsid w:val="00A17F1B"/>
    <w:rsid w:val="00A20031"/>
    <w:rsid w:val="00A20216"/>
    <w:rsid w:val="00A20A03"/>
    <w:rsid w:val="00A216C7"/>
    <w:rsid w:val="00A21C23"/>
    <w:rsid w:val="00A220ED"/>
    <w:rsid w:val="00A22920"/>
    <w:rsid w:val="00A22ABB"/>
    <w:rsid w:val="00A25853"/>
    <w:rsid w:val="00A25AF4"/>
    <w:rsid w:val="00A262F2"/>
    <w:rsid w:val="00A27233"/>
    <w:rsid w:val="00A273DA"/>
    <w:rsid w:val="00A3043A"/>
    <w:rsid w:val="00A304D5"/>
    <w:rsid w:val="00A30A35"/>
    <w:rsid w:val="00A30FFD"/>
    <w:rsid w:val="00A31297"/>
    <w:rsid w:val="00A32F45"/>
    <w:rsid w:val="00A35430"/>
    <w:rsid w:val="00A35AE2"/>
    <w:rsid w:val="00A36D5F"/>
    <w:rsid w:val="00A37693"/>
    <w:rsid w:val="00A4046C"/>
    <w:rsid w:val="00A4144D"/>
    <w:rsid w:val="00A4234C"/>
    <w:rsid w:val="00A42821"/>
    <w:rsid w:val="00A432ED"/>
    <w:rsid w:val="00A50A9F"/>
    <w:rsid w:val="00A51973"/>
    <w:rsid w:val="00A519C1"/>
    <w:rsid w:val="00A51C30"/>
    <w:rsid w:val="00A52F17"/>
    <w:rsid w:val="00A530EC"/>
    <w:rsid w:val="00A53955"/>
    <w:rsid w:val="00A5483B"/>
    <w:rsid w:val="00A54B8D"/>
    <w:rsid w:val="00A54F2D"/>
    <w:rsid w:val="00A55D5C"/>
    <w:rsid w:val="00A57B07"/>
    <w:rsid w:val="00A57D47"/>
    <w:rsid w:val="00A605A1"/>
    <w:rsid w:val="00A6144D"/>
    <w:rsid w:val="00A632C8"/>
    <w:rsid w:val="00A64D8A"/>
    <w:rsid w:val="00A651BB"/>
    <w:rsid w:val="00A6592D"/>
    <w:rsid w:val="00A66330"/>
    <w:rsid w:val="00A678A4"/>
    <w:rsid w:val="00A7176B"/>
    <w:rsid w:val="00A721A1"/>
    <w:rsid w:val="00A72D7D"/>
    <w:rsid w:val="00A72F21"/>
    <w:rsid w:val="00A7314A"/>
    <w:rsid w:val="00A733FE"/>
    <w:rsid w:val="00A7470C"/>
    <w:rsid w:val="00A74E95"/>
    <w:rsid w:val="00A75C77"/>
    <w:rsid w:val="00A7610D"/>
    <w:rsid w:val="00A765FB"/>
    <w:rsid w:val="00A77570"/>
    <w:rsid w:val="00A806CE"/>
    <w:rsid w:val="00A82661"/>
    <w:rsid w:val="00A84191"/>
    <w:rsid w:val="00A84CC4"/>
    <w:rsid w:val="00A85ED2"/>
    <w:rsid w:val="00A87C1E"/>
    <w:rsid w:val="00A90CA1"/>
    <w:rsid w:val="00A9196F"/>
    <w:rsid w:val="00A9250D"/>
    <w:rsid w:val="00A93C9A"/>
    <w:rsid w:val="00A94A00"/>
    <w:rsid w:val="00A9542A"/>
    <w:rsid w:val="00A95BC1"/>
    <w:rsid w:val="00A96F4A"/>
    <w:rsid w:val="00A97670"/>
    <w:rsid w:val="00AA04EA"/>
    <w:rsid w:val="00AA0C4D"/>
    <w:rsid w:val="00AA0FFB"/>
    <w:rsid w:val="00AA1299"/>
    <w:rsid w:val="00AA2E2C"/>
    <w:rsid w:val="00AA4C78"/>
    <w:rsid w:val="00AA5A15"/>
    <w:rsid w:val="00AA7E9D"/>
    <w:rsid w:val="00AA7F40"/>
    <w:rsid w:val="00AB044E"/>
    <w:rsid w:val="00AB1295"/>
    <w:rsid w:val="00AB1425"/>
    <w:rsid w:val="00AB16EE"/>
    <w:rsid w:val="00AB2128"/>
    <w:rsid w:val="00AB2650"/>
    <w:rsid w:val="00AB42C8"/>
    <w:rsid w:val="00AB4C34"/>
    <w:rsid w:val="00AB4D78"/>
    <w:rsid w:val="00AB5518"/>
    <w:rsid w:val="00AB5D1B"/>
    <w:rsid w:val="00AB5DDA"/>
    <w:rsid w:val="00AB60D1"/>
    <w:rsid w:val="00AB76FE"/>
    <w:rsid w:val="00AC0E56"/>
    <w:rsid w:val="00AC33A2"/>
    <w:rsid w:val="00AC3C04"/>
    <w:rsid w:val="00AC6309"/>
    <w:rsid w:val="00AC6E55"/>
    <w:rsid w:val="00AC6EB6"/>
    <w:rsid w:val="00AC6FCE"/>
    <w:rsid w:val="00AC7145"/>
    <w:rsid w:val="00AC7853"/>
    <w:rsid w:val="00AC7F45"/>
    <w:rsid w:val="00AD23A1"/>
    <w:rsid w:val="00AD3DC1"/>
    <w:rsid w:val="00AD3EFB"/>
    <w:rsid w:val="00AD4098"/>
    <w:rsid w:val="00AD4161"/>
    <w:rsid w:val="00AD4513"/>
    <w:rsid w:val="00AD628E"/>
    <w:rsid w:val="00AD631F"/>
    <w:rsid w:val="00AD71E1"/>
    <w:rsid w:val="00AD7949"/>
    <w:rsid w:val="00AE08D9"/>
    <w:rsid w:val="00AE169D"/>
    <w:rsid w:val="00AE1C69"/>
    <w:rsid w:val="00AE224B"/>
    <w:rsid w:val="00AE3ADF"/>
    <w:rsid w:val="00AE4231"/>
    <w:rsid w:val="00AE431A"/>
    <w:rsid w:val="00AE4B01"/>
    <w:rsid w:val="00AE5153"/>
    <w:rsid w:val="00AE77B6"/>
    <w:rsid w:val="00AE7BAC"/>
    <w:rsid w:val="00AF04A4"/>
    <w:rsid w:val="00AF04C8"/>
    <w:rsid w:val="00AF0B72"/>
    <w:rsid w:val="00AF1A90"/>
    <w:rsid w:val="00AF1B9E"/>
    <w:rsid w:val="00AF26D2"/>
    <w:rsid w:val="00AF2979"/>
    <w:rsid w:val="00AF3279"/>
    <w:rsid w:val="00AF45F7"/>
    <w:rsid w:val="00AF5B2D"/>
    <w:rsid w:val="00AF6492"/>
    <w:rsid w:val="00AF7818"/>
    <w:rsid w:val="00B025EB"/>
    <w:rsid w:val="00B02B01"/>
    <w:rsid w:val="00B0417F"/>
    <w:rsid w:val="00B046E9"/>
    <w:rsid w:val="00B0486E"/>
    <w:rsid w:val="00B0556B"/>
    <w:rsid w:val="00B061D7"/>
    <w:rsid w:val="00B07FC9"/>
    <w:rsid w:val="00B10A09"/>
    <w:rsid w:val="00B12BCF"/>
    <w:rsid w:val="00B151FE"/>
    <w:rsid w:val="00B15F97"/>
    <w:rsid w:val="00B177F5"/>
    <w:rsid w:val="00B214CC"/>
    <w:rsid w:val="00B21EDE"/>
    <w:rsid w:val="00B25F60"/>
    <w:rsid w:val="00B262F0"/>
    <w:rsid w:val="00B305B0"/>
    <w:rsid w:val="00B329ED"/>
    <w:rsid w:val="00B3315B"/>
    <w:rsid w:val="00B333B7"/>
    <w:rsid w:val="00B34726"/>
    <w:rsid w:val="00B356FB"/>
    <w:rsid w:val="00B36531"/>
    <w:rsid w:val="00B40072"/>
    <w:rsid w:val="00B40C93"/>
    <w:rsid w:val="00B418BC"/>
    <w:rsid w:val="00B4190C"/>
    <w:rsid w:val="00B42629"/>
    <w:rsid w:val="00B42EA3"/>
    <w:rsid w:val="00B42EB8"/>
    <w:rsid w:val="00B43AB0"/>
    <w:rsid w:val="00B449D6"/>
    <w:rsid w:val="00B46538"/>
    <w:rsid w:val="00B4726F"/>
    <w:rsid w:val="00B4749E"/>
    <w:rsid w:val="00B47708"/>
    <w:rsid w:val="00B478AE"/>
    <w:rsid w:val="00B50F07"/>
    <w:rsid w:val="00B51BA9"/>
    <w:rsid w:val="00B52BE2"/>
    <w:rsid w:val="00B538EA"/>
    <w:rsid w:val="00B55E03"/>
    <w:rsid w:val="00B5665E"/>
    <w:rsid w:val="00B57C27"/>
    <w:rsid w:val="00B57F3C"/>
    <w:rsid w:val="00B6253F"/>
    <w:rsid w:val="00B62A6A"/>
    <w:rsid w:val="00B63144"/>
    <w:rsid w:val="00B64A2A"/>
    <w:rsid w:val="00B64ECE"/>
    <w:rsid w:val="00B65097"/>
    <w:rsid w:val="00B6537C"/>
    <w:rsid w:val="00B66291"/>
    <w:rsid w:val="00B6794B"/>
    <w:rsid w:val="00B70EE7"/>
    <w:rsid w:val="00B71474"/>
    <w:rsid w:val="00B71B2D"/>
    <w:rsid w:val="00B7207F"/>
    <w:rsid w:val="00B72B95"/>
    <w:rsid w:val="00B738A3"/>
    <w:rsid w:val="00B750DE"/>
    <w:rsid w:val="00B7514C"/>
    <w:rsid w:val="00B76BEB"/>
    <w:rsid w:val="00B80939"/>
    <w:rsid w:val="00B81317"/>
    <w:rsid w:val="00B83940"/>
    <w:rsid w:val="00B871E2"/>
    <w:rsid w:val="00B9064A"/>
    <w:rsid w:val="00B91D9B"/>
    <w:rsid w:val="00B93355"/>
    <w:rsid w:val="00B93756"/>
    <w:rsid w:val="00B93890"/>
    <w:rsid w:val="00B94F36"/>
    <w:rsid w:val="00B957EB"/>
    <w:rsid w:val="00B96337"/>
    <w:rsid w:val="00BA075D"/>
    <w:rsid w:val="00BA13AC"/>
    <w:rsid w:val="00BA1434"/>
    <w:rsid w:val="00BA151D"/>
    <w:rsid w:val="00BA350D"/>
    <w:rsid w:val="00BA3AAC"/>
    <w:rsid w:val="00BA4038"/>
    <w:rsid w:val="00BA4EAE"/>
    <w:rsid w:val="00BB0A45"/>
    <w:rsid w:val="00BB4A45"/>
    <w:rsid w:val="00BB6331"/>
    <w:rsid w:val="00BB6415"/>
    <w:rsid w:val="00BB7E7C"/>
    <w:rsid w:val="00BC0EC5"/>
    <w:rsid w:val="00BC122A"/>
    <w:rsid w:val="00BC3199"/>
    <w:rsid w:val="00BC4482"/>
    <w:rsid w:val="00BC4CAE"/>
    <w:rsid w:val="00BC4ECC"/>
    <w:rsid w:val="00BC51FA"/>
    <w:rsid w:val="00BC5E37"/>
    <w:rsid w:val="00BC63B3"/>
    <w:rsid w:val="00BC6908"/>
    <w:rsid w:val="00BC6E2A"/>
    <w:rsid w:val="00BC7448"/>
    <w:rsid w:val="00BD0A07"/>
    <w:rsid w:val="00BD0ED0"/>
    <w:rsid w:val="00BD36C1"/>
    <w:rsid w:val="00BD36C9"/>
    <w:rsid w:val="00BD3A50"/>
    <w:rsid w:val="00BD40AF"/>
    <w:rsid w:val="00BD5420"/>
    <w:rsid w:val="00BD670E"/>
    <w:rsid w:val="00BD6F0D"/>
    <w:rsid w:val="00BD78E1"/>
    <w:rsid w:val="00BE158C"/>
    <w:rsid w:val="00BE1B4A"/>
    <w:rsid w:val="00BE2827"/>
    <w:rsid w:val="00BE2F8D"/>
    <w:rsid w:val="00BE5AF7"/>
    <w:rsid w:val="00BE5F44"/>
    <w:rsid w:val="00BE6114"/>
    <w:rsid w:val="00BF1916"/>
    <w:rsid w:val="00BF2B3C"/>
    <w:rsid w:val="00BF44AB"/>
    <w:rsid w:val="00BF5523"/>
    <w:rsid w:val="00C00CCB"/>
    <w:rsid w:val="00C011DB"/>
    <w:rsid w:val="00C033D4"/>
    <w:rsid w:val="00C039B9"/>
    <w:rsid w:val="00C0412F"/>
    <w:rsid w:val="00C0748F"/>
    <w:rsid w:val="00C07676"/>
    <w:rsid w:val="00C11391"/>
    <w:rsid w:val="00C136C6"/>
    <w:rsid w:val="00C16456"/>
    <w:rsid w:val="00C17615"/>
    <w:rsid w:val="00C17828"/>
    <w:rsid w:val="00C17ACD"/>
    <w:rsid w:val="00C20686"/>
    <w:rsid w:val="00C20DD5"/>
    <w:rsid w:val="00C210D8"/>
    <w:rsid w:val="00C211C1"/>
    <w:rsid w:val="00C21FB2"/>
    <w:rsid w:val="00C23ECE"/>
    <w:rsid w:val="00C25E83"/>
    <w:rsid w:val="00C27B8C"/>
    <w:rsid w:val="00C27D37"/>
    <w:rsid w:val="00C27F4D"/>
    <w:rsid w:val="00C30803"/>
    <w:rsid w:val="00C31079"/>
    <w:rsid w:val="00C316F8"/>
    <w:rsid w:val="00C32F35"/>
    <w:rsid w:val="00C358FA"/>
    <w:rsid w:val="00C36B82"/>
    <w:rsid w:val="00C376BB"/>
    <w:rsid w:val="00C377B9"/>
    <w:rsid w:val="00C37898"/>
    <w:rsid w:val="00C37ED0"/>
    <w:rsid w:val="00C41E68"/>
    <w:rsid w:val="00C429E9"/>
    <w:rsid w:val="00C43EA6"/>
    <w:rsid w:val="00C45986"/>
    <w:rsid w:val="00C45A96"/>
    <w:rsid w:val="00C47A23"/>
    <w:rsid w:val="00C50248"/>
    <w:rsid w:val="00C50A6A"/>
    <w:rsid w:val="00C50F24"/>
    <w:rsid w:val="00C5452F"/>
    <w:rsid w:val="00C5592D"/>
    <w:rsid w:val="00C57D6A"/>
    <w:rsid w:val="00C62224"/>
    <w:rsid w:val="00C6322B"/>
    <w:rsid w:val="00C653EE"/>
    <w:rsid w:val="00C668D7"/>
    <w:rsid w:val="00C67765"/>
    <w:rsid w:val="00C7058C"/>
    <w:rsid w:val="00C71400"/>
    <w:rsid w:val="00C71F5A"/>
    <w:rsid w:val="00C72874"/>
    <w:rsid w:val="00C738EB"/>
    <w:rsid w:val="00C73E2C"/>
    <w:rsid w:val="00C74F85"/>
    <w:rsid w:val="00C75753"/>
    <w:rsid w:val="00C7609B"/>
    <w:rsid w:val="00C7720C"/>
    <w:rsid w:val="00C7791F"/>
    <w:rsid w:val="00C81140"/>
    <w:rsid w:val="00C819B8"/>
    <w:rsid w:val="00C8453C"/>
    <w:rsid w:val="00C84BE0"/>
    <w:rsid w:val="00C84E6B"/>
    <w:rsid w:val="00C86F33"/>
    <w:rsid w:val="00C90604"/>
    <w:rsid w:val="00C90AE7"/>
    <w:rsid w:val="00C919AA"/>
    <w:rsid w:val="00C935BA"/>
    <w:rsid w:val="00C94F38"/>
    <w:rsid w:val="00C95030"/>
    <w:rsid w:val="00C963F9"/>
    <w:rsid w:val="00C97D85"/>
    <w:rsid w:val="00CA0796"/>
    <w:rsid w:val="00CA1819"/>
    <w:rsid w:val="00CA2098"/>
    <w:rsid w:val="00CA26FE"/>
    <w:rsid w:val="00CA320C"/>
    <w:rsid w:val="00CA4D5C"/>
    <w:rsid w:val="00CA765D"/>
    <w:rsid w:val="00CB045D"/>
    <w:rsid w:val="00CB0713"/>
    <w:rsid w:val="00CB0F52"/>
    <w:rsid w:val="00CB1735"/>
    <w:rsid w:val="00CB1ED1"/>
    <w:rsid w:val="00CB3D5D"/>
    <w:rsid w:val="00CB50F7"/>
    <w:rsid w:val="00CB5779"/>
    <w:rsid w:val="00CB72D6"/>
    <w:rsid w:val="00CB7D5D"/>
    <w:rsid w:val="00CC10DD"/>
    <w:rsid w:val="00CC20C4"/>
    <w:rsid w:val="00CC23F9"/>
    <w:rsid w:val="00CC243C"/>
    <w:rsid w:val="00CC5EB4"/>
    <w:rsid w:val="00CC63A3"/>
    <w:rsid w:val="00CC6581"/>
    <w:rsid w:val="00CC6C4A"/>
    <w:rsid w:val="00CD12D8"/>
    <w:rsid w:val="00CD5538"/>
    <w:rsid w:val="00CE094E"/>
    <w:rsid w:val="00CE0ADA"/>
    <w:rsid w:val="00CE1C39"/>
    <w:rsid w:val="00CE2725"/>
    <w:rsid w:val="00CE2C38"/>
    <w:rsid w:val="00CE4A17"/>
    <w:rsid w:val="00CE6FAF"/>
    <w:rsid w:val="00CE7238"/>
    <w:rsid w:val="00CE76C1"/>
    <w:rsid w:val="00CE770D"/>
    <w:rsid w:val="00CF27B4"/>
    <w:rsid w:val="00CF45DF"/>
    <w:rsid w:val="00CF586C"/>
    <w:rsid w:val="00CF5997"/>
    <w:rsid w:val="00D0287B"/>
    <w:rsid w:val="00D03067"/>
    <w:rsid w:val="00D03288"/>
    <w:rsid w:val="00D0346F"/>
    <w:rsid w:val="00D03858"/>
    <w:rsid w:val="00D051F8"/>
    <w:rsid w:val="00D06844"/>
    <w:rsid w:val="00D070B1"/>
    <w:rsid w:val="00D1168F"/>
    <w:rsid w:val="00D12FCC"/>
    <w:rsid w:val="00D130B7"/>
    <w:rsid w:val="00D13E45"/>
    <w:rsid w:val="00D14305"/>
    <w:rsid w:val="00D16611"/>
    <w:rsid w:val="00D16AD9"/>
    <w:rsid w:val="00D171A7"/>
    <w:rsid w:val="00D17518"/>
    <w:rsid w:val="00D175AA"/>
    <w:rsid w:val="00D17C60"/>
    <w:rsid w:val="00D17CE3"/>
    <w:rsid w:val="00D20AA4"/>
    <w:rsid w:val="00D20FC8"/>
    <w:rsid w:val="00D24899"/>
    <w:rsid w:val="00D256FC"/>
    <w:rsid w:val="00D2571E"/>
    <w:rsid w:val="00D275C6"/>
    <w:rsid w:val="00D277FC"/>
    <w:rsid w:val="00D27C9B"/>
    <w:rsid w:val="00D27CBA"/>
    <w:rsid w:val="00D30614"/>
    <w:rsid w:val="00D328E8"/>
    <w:rsid w:val="00D33E8D"/>
    <w:rsid w:val="00D358B5"/>
    <w:rsid w:val="00D35F82"/>
    <w:rsid w:val="00D36C94"/>
    <w:rsid w:val="00D3703F"/>
    <w:rsid w:val="00D37120"/>
    <w:rsid w:val="00D4012E"/>
    <w:rsid w:val="00D41816"/>
    <w:rsid w:val="00D41B7F"/>
    <w:rsid w:val="00D43D2C"/>
    <w:rsid w:val="00D44B66"/>
    <w:rsid w:val="00D46C2F"/>
    <w:rsid w:val="00D47789"/>
    <w:rsid w:val="00D47A75"/>
    <w:rsid w:val="00D50F4A"/>
    <w:rsid w:val="00D516B1"/>
    <w:rsid w:val="00D538A4"/>
    <w:rsid w:val="00D5467D"/>
    <w:rsid w:val="00D54BAD"/>
    <w:rsid w:val="00D55191"/>
    <w:rsid w:val="00D5595E"/>
    <w:rsid w:val="00D55E96"/>
    <w:rsid w:val="00D6137D"/>
    <w:rsid w:val="00D62D03"/>
    <w:rsid w:val="00D639A2"/>
    <w:rsid w:val="00D643B0"/>
    <w:rsid w:val="00D656A3"/>
    <w:rsid w:val="00D658F8"/>
    <w:rsid w:val="00D67B68"/>
    <w:rsid w:val="00D70E10"/>
    <w:rsid w:val="00D7256F"/>
    <w:rsid w:val="00D74431"/>
    <w:rsid w:val="00D747A2"/>
    <w:rsid w:val="00D7595B"/>
    <w:rsid w:val="00D7630F"/>
    <w:rsid w:val="00D769C2"/>
    <w:rsid w:val="00D76D9E"/>
    <w:rsid w:val="00D77403"/>
    <w:rsid w:val="00D77B18"/>
    <w:rsid w:val="00D8235F"/>
    <w:rsid w:val="00D83AFF"/>
    <w:rsid w:val="00D845E7"/>
    <w:rsid w:val="00D87383"/>
    <w:rsid w:val="00D90D3E"/>
    <w:rsid w:val="00D90D7B"/>
    <w:rsid w:val="00D91984"/>
    <w:rsid w:val="00D934D2"/>
    <w:rsid w:val="00D935CB"/>
    <w:rsid w:val="00D95358"/>
    <w:rsid w:val="00D959BD"/>
    <w:rsid w:val="00DA16B1"/>
    <w:rsid w:val="00DA1EE6"/>
    <w:rsid w:val="00DA1F5C"/>
    <w:rsid w:val="00DA37B2"/>
    <w:rsid w:val="00DA6045"/>
    <w:rsid w:val="00DA651E"/>
    <w:rsid w:val="00DA7165"/>
    <w:rsid w:val="00DA7689"/>
    <w:rsid w:val="00DB1692"/>
    <w:rsid w:val="00DB367F"/>
    <w:rsid w:val="00DB5B3B"/>
    <w:rsid w:val="00DB7BCD"/>
    <w:rsid w:val="00DC0CFE"/>
    <w:rsid w:val="00DC1627"/>
    <w:rsid w:val="00DC36ED"/>
    <w:rsid w:val="00DC450E"/>
    <w:rsid w:val="00DC5C5D"/>
    <w:rsid w:val="00DC5D61"/>
    <w:rsid w:val="00DC5FEE"/>
    <w:rsid w:val="00DC61BD"/>
    <w:rsid w:val="00DC6B68"/>
    <w:rsid w:val="00DD2349"/>
    <w:rsid w:val="00DD2BF8"/>
    <w:rsid w:val="00DD318C"/>
    <w:rsid w:val="00DD3C0A"/>
    <w:rsid w:val="00DE14CA"/>
    <w:rsid w:val="00DE2164"/>
    <w:rsid w:val="00DE327C"/>
    <w:rsid w:val="00DE4822"/>
    <w:rsid w:val="00DE4BF3"/>
    <w:rsid w:val="00DE4EFA"/>
    <w:rsid w:val="00DE5891"/>
    <w:rsid w:val="00DE6181"/>
    <w:rsid w:val="00DF073E"/>
    <w:rsid w:val="00DF2EA8"/>
    <w:rsid w:val="00DF351C"/>
    <w:rsid w:val="00DF35A3"/>
    <w:rsid w:val="00DF45C9"/>
    <w:rsid w:val="00DF4CCC"/>
    <w:rsid w:val="00DF608E"/>
    <w:rsid w:val="00E00054"/>
    <w:rsid w:val="00E01032"/>
    <w:rsid w:val="00E017DC"/>
    <w:rsid w:val="00E01B87"/>
    <w:rsid w:val="00E02B4A"/>
    <w:rsid w:val="00E02F02"/>
    <w:rsid w:val="00E03386"/>
    <w:rsid w:val="00E05EA2"/>
    <w:rsid w:val="00E070FA"/>
    <w:rsid w:val="00E07385"/>
    <w:rsid w:val="00E15914"/>
    <w:rsid w:val="00E172CA"/>
    <w:rsid w:val="00E206C4"/>
    <w:rsid w:val="00E2099D"/>
    <w:rsid w:val="00E22786"/>
    <w:rsid w:val="00E22AB2"/>
    <w:rsid w:val="00E23045"/>
    <w:rsid w:val="00E2668E"/>
    <w:rsid w:val="00E268A5"/>
    <w:rsid w:val="00E27930"/>
    <w:rsid w:val="00E336E7"/>
    <w:rsid w:val="00E338BA"/>
    <w:rsid w:val="00E379BE"/>
    <w:rsid w:val="00E400C9"/>
    <w:rsid w:val="00E40561"/>
    <w:rsid w:val="00E4098F"/>
    <w:rsid w:val="00E4199E"/>
    <w:rsid w:val="00E4296E"/>
    <w:rsid w:val="00E435BE"/>
    <w:rsid w:val="00E438FB"/>
    <w:rsid w:val="00E43D79"/>
    <w:rsid w:val="00E445E1"/>
    <w:rsid w:val="00E44727"/>
    <w:rsid w:val="00E45A33"/>
    <w:rsid w:val="00E46077"/>
    <w:rsid w:val="00E46887"/>
    <w:rsid w:val="00E47960"/>
    <w:rsid w:val="00E50A3C"/>
    <w:rsid w:val="00E513C0"/>
    <w:rsid w:val="00E5310B"/>
    <w:rsid w:val="00E53B09"/>
    <w:rsid w:val="00E543C1"/>
    <w:rsid w:val="00E570C8"/>
    <w:rsid w:val="00E57A58"/>
    <w:rsid w:val="00E602F2"/>
    <w:rsid w:val="00E62D95"/>
    <w:rsid w:val="00E636EF"/>
    <w:rsid w:val="00E63D18"/>
    <w:rsid w:val="00E6495E"/>
    <w:rsid w:val="00E65ABC"/>
    <w:rsid w:val="00E667AA"/>
    <w:rsid w:val="00E6702D"/>
    <w:rsid w:val="00E70966"/>
    <w:rsid w:val="00E7124A"/>
    <w:rsid w:val="00E71A24"/>
    <w:rsid w:val="00E7208D"/>
    <w:rsid w:val="00E730B4"/>
    <w:rsid w:val="00E73C7B"/>
    <w:rsid w:val="00E76B02"/>
    <w:rsid w:val="00E77289"/>
    <w:rsid w:val="00E77D7A"/>
    <w:rsid w:val="00E80F56"/>
    <w:rsid w:val="00E820B0"/>
    <w:rsid w:val="00E8239A"/>
    <w:rsid w:val="00E8447C"/>
    <w:rsid w:val="00E8749F"/>
    <w:rsid w:val="00E90332"/>
    <w:rsid w:val="00E90C32"/>
    <w:rsid w:val="00E913AF"/>
    <w:rsid w:val="00E918D0"/>
    <w:rsid w:val="00E9242D"/>
    <w:rsid w:val="00E92ED9"/>
    <w:rsid w:val="00E93C0A"/>
    <w:rsid w:val="00E93EE1"/>
    <w:rsid w:val="00E94EE3"/>
    <w:rsid w:val="00E95AAC"/>
    <w:rsid w:val="00E96159"/>
    <w:rsid w:val="00E967F0"/>
    <w:rsid w:val="00E96848"/>
    <w:rsid w:val="00E968DE"/>
    <w:rsid w:val="00E9710F"/>
    <w:rsid w:val="00E97F95"/>
    <w:rsid w:val="00EA066C"/>
    <w:rsid w:val="00EA14F4"/>
    <w:rsid w:val="00EA2497"/>
    <w:rsid w:val="00EA29D6"/>
    <w:rsid w:val="00EA3A25"/>
    <w:rsid w:val="00EA50CF"/>
    <w:rsid w:val="00EA5445"/>
    <w:rsid w:val="00EA7A09"/>
    <w:rsid w:val="00EB08C4"/>
    <w:rsid w:val="00EB0AD1"/>
    <w:rsid w:val="00EB4B88"/>
    <w:rsid w:val="00EB4EF2"/>
    <w:rsid w:val="00EB4FE7"/>
    <w:rsid w:val="00EB5BB2"/>
    <w:rsid w:val="00EB6221"/>
    <w:rsid w:val="00EB68AB"/>
    <w:rsid w:val="00EB73C9"/>
    <w:rsid w:val="00EC0414"/>
    <w:rsid w:val="00EC3E83"/>
    <w:rsid w:val="00EC4A68"/>
    <w:rsid w:val="00EC5625"/>
    <w:rsid w:val="00EC5636"/>
    <w:rsid w:val="00EC632B"/>
    <w:rsid w:val="00EC656C"/>
    <w:rsid w:val="00EC737C"/>
    <w:rsid w:val="00EC78E4"/>
    <w:rsid w:val="00EC7B5E"/>
    <w:rsid w:val="00ED0BE3"/>
    <w:rsid w:val="00ED0CE3"/>
    <w:rsid w:val="00ED2ACD"/>
    <w:rsid w:val="00ED30C0"/>
    <w:rsid w:val="00ED366B"/>
    <w:rsid w:val="00ED3A65"/>
    <w:rsid w:val="00ED3DCE"/>
    <w:rsid w:val="00ED4C05"/>
    <w:rsid w:val="00EE10AF"/>
    <w:rsid w:val="00EE24AA"/>
    <w:rsid w:val="00EE2CE5"/>
    <w:rsid w:val="00EE34D3"/>
    <w:rsid w:val="00EE4604"/>
    <w:rsid w:val="00EE47FA"/>
    <w:rsid w:val="00EF1586"/>
    <w:rsid w:val="00EF15DA"/>
    <w:rsid w:val="00EF1B6C"/>
    <w:rsid w:val="00EF39D9"/>
    <w:rsid w:val="00EF4BF1"/>
    <w:rsid w:val="00EF65A6"/>
    <w:rsid w:val="00EF763A"/>
    <w:rsid w:val="00EF7E6E"/>
    <w:rsid w:val="00F024C7"/>
    <w:rsid w:val="00F0261F"/>
    <w:rsid w:val="00F03223"/>
    <w:rsid w:val="00F04440"/>
    <w:rsid w:val="00F04D75"/>
    <w:rsid w:val="00F0555A"/>
    <w:rsid w:val="00F073B2"/>
    <w:rsid w:val="00F073F5"/>
    <w:rsid w:val="00F076C1"/>
    <w:rsid w:val="00F10B9A"/>
    <w:rsid w:val="00F129F8"/>
    <w:rsid w:val="00F12D15"/>
    <w:rsid w:val="00F153FE"/>
    <w:rsid w:val="00F16268"/>
    <w:rsid w:val="00F175CB"/>
    <w:rsid w:val="00F17FFA"/>
    <w:rsid w:val="00F21162"/>
    <w:rsid w:val="00F23645"/>
    <w:rsid w:val="00F253EF"/>
    <w:rsid w:val="00F30B9B"/>
    <w:rsid w:val="00F326F0"/>
    <w:rsid w:val="00F348F3"/>
    <w:rsid w:val="00F35291"/>
    <w:rsid w:val="00F36A60"/>
    <w:rsid w:val="00F40695"/>
    <w:rsid w:val="00F40DB6"/>
    <w:rsid w:val="00F41B0E"/>
    <w:rsid w:val="00F41D62"/>
    <w:rsid w:val="00F428B5"/>
    <w:rsid w:val="00F44478"/>
    <w:rsid w:val="00F447B3"/>
    <w:rsid w:val="00F45B00"/>
    <w:rsid w:val="00F45C79"/>
    <w:rsid w:val="00F465F6"/>
    <w:rsid w:val="00F469E3"/>
    <w:rsid w:val="00F47390"/>
    <w:rsid w:val="00F5072B"/>
    <w:rsid w:val="00F50CCE"/>
    <w:rsid w:val="00F529CC"/>
    <w:rsid w:val="00F534B1"/>
    <w:rsid w:val="00F546E2"/>
    <w:rsid w:val="00F552C6"/>
    <w:rsid w:val="00F55C70"/>
    <w:rsid w:val="00F56E8F"/>
    <w:rsid w:val="00F57259"/>
    <w:rsid w:val="00F577C5"/>
    <w:rsid w:val="00F6016C"/>
    <w:rsid w:val="00F60F4A"/>
    <w:rsid w:val="00F61352"/>
    <w:rsid w:val="00F61578"/>
    <w:rsid w:val="00F61B67"/>
    <w:rsid w:val="00F61C7C"/>
    <w:rsid w:val="00F62381"/>
    <w:rsid w:val="00F6284D"/>
    <w:rsid w:val="00F6598D"/>
    <w:rsid w:val="00F659AD"/>
    <w:rsid w:val="00F661EA"/>
    <w:rsid w:val="00F6631C"/>
    <w:rsid w:val="00F67C78"/>
    <w:rsid w:val="00F7028F"/>
    <w:rsid w:val="00F715D7"/>
    <w:rsid w:val="00F71810"/>
    <w:rsid w:val="00F72A03"/>
    <w:rsid w:val="00F73E12"/>
    <w:rsid w:val="00F74AEA"/>
    <w:rsid w:val="00F74F89"/>
    <w:rsid w:val="00F75CB5"/>
    <w:rsid w:val="00F76041"/>
    <w:rsid w:val="00F768E9"/>
    <w:rsid w:val="00F7691B"/>
    <w:rsid w:val="00F76A7D"/>
    <w:rsid w:val="00F772F7"/>
    <w:rsid w:val="00F82EBE"/>
    <w:rsid w:val="00F83454"/>
    <w:rsid w:val="00F83518"/>
    <w:rsid w:val="00F848DA"/>
    <w:rsid w:val="00F85FD0"/>
    <w:rsid w:val="00F92639"/>
    <w:rsid w:val="00F92FEC"/>
    <w:rsid w:val="00F93A48"/>
    <w:rsid w:val="00F93B87"/>
    <w:rsid w:val="00F95970"/>
    <w:rsid w:val="00F965C3"/>
    <w:rsid w:val="00F97D95"/>
    <w:rsid w:val="00F97FE5"/>
    <w:rsid w:val="00FA0CB2"/>
    <w:rsid w:val="00FA0FC2"/>
    <w:rsid w:val="00FA2AF4"/>
    <w:rsid w:val="00FA5970"/>
    <w:rsid w:val="00FA7378"/>
    <w:rsid w:val="00FB0EAA"/>
    <w:rsid w:val="00FB2216"/>
    <w:rsid w:val="00FB3507"/>
    <w:rsid w:val="00FB3EBE"/>
    <w:rsid w:val="00FB493B"/>
    <w:rsid w:val="00FB4FF6"/>
    <w:rsid w:val="00FB683B"/>
    <w:rsid w:val="00FB6CC9"/>
    <w:rsid w:val="00FB77FB"/>
    <w:rsid w:val="00FB788B"/>
    <w:rsid w:val="00FC0A58"/>
    <w:rsid w:val="00FC1B04"/>
    <w:rsid w:val="00FC206B"/>
    <w:rsid w:val="00FC2F80"/>
    <w:rsid w:val="00FC4EBA"/>
    <w:rsid w:val="00FC6AC1"/>
    <w:rsid w:val="00FC73C7"/>
    <w:rsid w:val="00FC7B27"/>
    <w:rsid w:val="00FC7BDA"/>
    <w:rsid w:val="00FD1DE9"/>
    <w:rsid w:val="00FD4429"/>
    <w:rsid w:val="00FD6194"/>
    <w:rsid w:val="00FD6FEF"/>
    <w:rsid w:val="00FD705F"/>
    <w:rsid w:val="00FE0118"/>
    <w:rsid w:val="00FE0639"/>
    <w:rsid w:val="00FE1066"/>
    <w:rsid w:val="00FE117C"/>
    <w:rsid w:val="00FE2978"/>
    <w:rsid w:val="00FE474D"/>
    <w:rsid w:val="00FE4F54"/>
    <w:rsid w:val="00FE57A8"/>
    <w:rsid w:val="00FE5EB4"/>
    <w:rsid w:val="00FE7A7D"/>
    <w:rsid w:val="00FF0582"/>
    <w:rsid w:val="00FF0834"/>
    <w:rsid w:val="00FF0AD4"/>
    <w:rsid w:val="00FF0F5E"/>
    <w:rsid w:val="00FF0F9E"/>
    <w:rsid w:val="00FF1F1D"/>
    <w:rsid w:val="00FF32D0"/>
    <w:rsid w:val="00FF4116"/>
    <w:rsid w:val="00FF4ADE"/>
    <w:rsid w:val="00FF5056"/>
    <w:rsid w:val="00FF5639"/>
    <w:rsid w:val="00FF5B92"/>
    <w:rsid w:val="00FF6782"/>
    <w:rsid w:val="00FF6E26"/>
    <w:rsid w:val="02CE1E69"/>
    <w:rsid w:val="03369B29"/>
    <w:rsid w:val="037A6328"/>
    <w:rsid w:val="03953398"/>
    <w:rsid w:val="03A7759C"/>
    <w:rsid w:val="03AB426B"/>
    <w:rsid w:val="04318159"/>
    <w:rsid w:val="04D2E1D7"/>
    <w:rsid w:val="0547FD33"/>
    <w:rsid w:val="05C62E7D"/>
    <w:rsid w:val="065DAB39"/>
    <w:rsid w:val="074ED206"/>
    <w:rsid w:val="0790F790"/>
    <w:rsid w:val="080A0C4C"/>
    <w:rsid w:val="08494BEB"/>
    <w:rsid w:val="0980058E"/>
    <w:rsid w:val="0989C0F1"/>
    <w:rsid w:val="09AC938A"/>
    <w:rsid w:val="09D79F8C"/>
    <w:rsid w:val="0A0983E6"/>
    <w:rsid w:val="0A2E9D8C"/>
    <w:rsid w:val="0AA0C2DD"/>
    <w:rsid w:val="0B66B848"/>
    <w:rsid w:val="0B6C5843"/>
    <w:rsid w:val="0B752636"/>
    <w:rsid w:val="0B86B86E"/>
    <w:rsid w:val="0BA93E6B"/>
    <w:rsid w:val="0BDA1A06"/>
    <w:rsid w:val="0D0828A4"/>
    <w:rsid w:val="0D0F404E"/>
    <w:rsid w:val="0D14D723"/>
    <w:rsid w:val="0DEE49C2"/>
    <w:rsid w:val="0E0068F3"/>
    <w:rsid w:val="0EED77E8"/>
    <w:rsid w:val="103BD166"/>
    <w:rsid w:val="10EF1B3A"/>
    <w:rsid w:val="11C866B2"/>
    <w:rsid w:val="11EA9EF7"/>
    <w:rsid w:val="11FCCC7B"/>
    <w:rsid w:val="1222B032"/>
    <w:rsid w:val="1234907B"/>
    <w:rsid w:val="128B8928"/>
    <w:rsid w:val="12AA72AE"/>
    <w:rsid w:val="12C490BF"/>
    <w:rsid w:val="12D302E6"/>
    <w:rsid w:val="1328EC0C"/>
    <w:rsid w:val="14606120"/>
    <w:rsid w:val="153ED59E"/>
    <w:rsid w:val="15B96222"/>
    <w:rsid w:val="16BE101A"/>
    <w:rsid w:val="16E67C3C"/>
    <w:rsid w:val="17536080"/>
    <w:rsid w:val="1775374D"/>
    <w:rsid w:val="179801E2"/>
    <w:rsid w:val="17CCCB6F"/>
    <w:rsid w:val="185AA96D"/>
    <w:rsid w:val="186F97BF"/>
    <w:rsid w:val="1910CB4A"/>
    <w:rsid w:val="1945B5E8"/>
    <w:rsid w:val="194DA36E"/>
    <w:rsid w:val="1C698E7B"/>
    <w:rsid w:val="1CD64FA7"/>
    <w:rsid w:val="1CF2E13E"/>
    <w:rsid w:val="1D092725"/>
    <w:rsid w:val="1DDB699C"/>
    <w:rsid w:val="1DF9422A"/>
    <w:rsid w:val="1E5BBEAB"/>
    <w:rsid w:val="1EA761F2"/>
    <w:rsid w:val="1EC851F3"/>
    <w:rsid w:val="1FC27F30"/>
    <w:rsid w:val="2072CE3A"/>
    <w:rsid w:val="20AC3A9B"/>
    <w:rsid w:val="21FB3CD2"/>
    <w:rsid w:val="224329FA"/>
    <w:rsid w:val="2383CDA9"/>
    <w:rsid w:val="2398062A"/>
    <w:rsid w:val="23E9BE9D"/>
    <w:rsid w:val="24470908"/>
    <w:rsid w:val="24E57F6C"/>
    <w:rsid w:val="267FB143"/>
    <w:rsid w:val="26F49EEC"/>
    <w:rsid w:val="270F056F"/>
    <w:rsid w:val="27169B1D"/>
    <w:rsid w:val="273AE1CB"/>
    <w:rsid w:val="27512315"/>
    <w:rsid w:val="2759FC6D"/>
    <w:rsid w:val="27694FBE"/>
    <w:rsid w:val="2794FD4F"/>
    <w:rsid w:val="27CE0492"/>
    <w:rsid w:val="27DC3C05"/>
    <w:rsid w:val="2835CC36"/>
    <w:rsid w:val="28446977"/>
    <w:rsid w:val="2857506E"/>
    <w:rsid w:val="28980999"/>
    <w:rsid w:val="28B26B7E"/>
    <w:rsid w:val="295E1012"/>
    <w:rsid w:val="29DB11D6"/>
    <w:rsid w:val="2A035B14"/>
    <w:rsid w:val="2A351382"/>
    <w:rsid w:val="2A72BC23"/>
    <w:rsid w:val="2A77A1F9"/>
    <w:rsid w:val="2A792C63"/>
    <w:rsid w:val="2A9D222F"/>
    <w:rsid w:val="2C507CBE"/>
    <w:rsid w:val="2CDAFDF4"/>
    <w:rsid w:val="2CFF4109"/>
    <w:rsid w:val="2D88B3D3"/>
    <w:rsid w:val="2DB3AF04"/>
    <w:rsid w:val="2DEC4D1F"/>
    <w:rsid w:val="2E4FA0E8"/>
    <w:rsid w:val="2E77AD73"/>
    <w:rsid w:val="2ED45426"/>
    <w:rsid w:val="2F4AD9E5"/>
    <w:rsid w:val="2F4F7F65"/>
    <w:rsid w:val="2F5C6FC1"/>
    <w:rsid w:val="2F881D80"/>
    <w:rsid w:val="3047B2F9"/>
    <w:rsid w:val="305319AD"/>
    <w:rsid w:val="30775EE1"/>
    <w:rsid w:val="3102EE29"/>
    <w:rsid w:val="31FAB1F2"/>
    <w:rsid w:val="3260FDE8"/>
    <w:rsid w:val="32CD99FB"/>
    <w:rsid w:val="32F18121"/>
    <w:rsid w:val="348639D8"/>
    <w:rsid w:val="34A58858"/>
    <w:rsid w:val="34F59D98"/>
    <w:rsid w:val="3517D689"/>
    <w:rsid w:val="352B86EC"/>
    <w:rsid w:val="35BC4B8E"/>
    <w:rsid w:val="35E2BD67"/>
    <w:rsid w:val="35EFEDE7"/>
    <w:rsid w:val="36173E3E"/>
    <w:rsid w:val="3633FCEC"/>
    <w:rsid w:val="36483C39"/>
    <w:rsid w:val="364E9367"/>
    <w:rsid w:val="366B891C"/>
    <w:rsid w:val="36721377"/>
    <w:rsid w:val="368C4E8D"/>
    <w:rsid w:val="368D5E92"/>
    <w:rsid w:val="37ACE43C"/>
    <w:rsid w:val="37F0DBC5"/>
    <w:rsid w:val="37F2AADB"/>
    <w:rsid w:val="394EDF00"/>
    <w:rsid w:val="39931E2E"/>
    <w:rsid w:val="3A185CE7"/>
    <w:rsid w:val="3C51E474"/>
    <w:rsid w:val="3C5EB1D9"/>
    <w:rsid w:val="3C914BBD"/>
    <w:rsid w:val="3CB71F48"/>
    <w:rsid w:val="3D3662EE"/>
    <w:rsid w:val="3E789DD7"/>
    <w:rsid w:val="3E9BFA06"/>
    <w:rsid w:val="3EC061E5"/>
    <w:rsid w:val="3F8DC7CD"/>
    <w:rsid w:val="40B35940"/>
    <w:rsid w:val="41D2FE36"/>
    <w:rsid w:val="4239BBDF"/>
    <w:rsid w:val="424C5ACD"/>
    <w:rsid w:val="455CA21F"/>
    <w:rsid w:val="45D62D2B"/>
    <w:rsid w:val="45DF2587"/>
    <w:rsid w:val="460A8FE3"/>
    <w:rsid w:val="4799DC6C"/>
    <w:rsid w:val="47C9DB37"/>
    <w:rsid w:val="48CF4840"/>
    <w:rsid w:val="4908A463"/>
    <w:rsid w:val="491C047C"/>
    <w:rsid w:val="49794EE7"/>
    <w:rsid w:val="49AC0DF3"/>
    <w:rsid w:val="4A2949DB"/>
    <w:rsid w:val="4AB4ADAF"/>
    <w:rsid w:val="4B349625"/>
    <w:rsid w:val="4B4D604A"/>
    <w:rsid w:val="4B5E441C"/>
    <w:rsid w:val="4B6CF39D"/>
    <w:rsid w:val="4B82F06C"/>
    <w:rsid w:val="4B9D7BED"/>
    <w:rsid w:val="4BCF4895"/>
    <w:rsid w:val="4C5FEE69"/>
    <w:rsid w:val="4C86563B"/>
    <w:rsid w:val="4CAC4FD1"/>
    <w:rsid w:val="4D1F0F65"/>
    <w:rsid w:val="4D9E142A"/>
    <w:rsid w:val="4F1C495C"/>
    <w:rsid w:val="4F2CDFAE"/>
    <w:rsid w:val="4F47D810"/>
    <w:rsid w:val="4FC5E7EC"/>
    <w:rsid w:val="50594EE4"/>
    <w:rsid w:val="50833A5C"/>
    <w:rsid w:val="50DC410D"/>
    <w:rsid w:val="52B9A0D0"/>
    <w:rsid w:val="5369ED79"/>
    <w:rsid w:val="536FBA88"/>
    <w:rsid w:val="5372E1B6"/>
    <w:rsid w:val="53B703C4"/>
    <w:rsid w:val="53E67FA6"/>
    <w:rsid w:val="54207DCA"/>
    <w:rsid w:val="5454C9A6"/>
    <w:rsid w:val="546A2C4B"/>
    <w:rsid w:val="54A85E3F"/>
    <w:rsid w:val="550B8AE9"/>
    <w:rsid w:val="550EB217"/>
    <w:rsid w:val="551E7C0E"/>
    <w:rsid w:val="55A1BB70"/>
    <w:rsid w:val="55D3D620"/>
    <w:rsid w:val="560A7637"/>
    <w:rsid w:val="562CBB6C"/>
    <w:rsid w:val="56A0FFAC"/>
    <w:rsid w:val="56E518D1"/>
    <w:rsid w:val="56EEA486"/>
    <w:rsid w:val="570AFF43"/>
    <w:rsid w:val="578F35A3"/>
    <w:rsid w:val="5880E932"/>
    <w:rsid w:val="5A264548"/>
    <w:rsid w:val="5A456702"/>
    <w:rsid w:val="5B3FA517"/>
    <w:rsid w:val="5B62FFF4"/>
    <w:rsid w:val="5B97DEFB"/>
    <w:rsid w:val="5BE33529"/>
    <w:rsid w:val="5C80B2E2"/>
    <w:rsid w:val="5D66EE91"/>
    <w:rsid w:val="5D7B1354"/>
    <w:rsid w:val="5D8C6ECF"/>
    <w:rsid w:val="5E91A7BE"/>
    <w:rsid w:val="5F29DB1B"/>
    <w:rsid w:val="5F7457E2"/>
    <w:rsid w:val="60163E1E"/>
    <w:rsid w:val="60AD294F"/>
    <w:rsid w:val="610348B2"/>
    <w:rsid w:val="6148B34C"/>
    <w:rsid w:val="61C6E008"/>
    <w:rsid w:val="625276AD"/>
    <w:rsid w:val="62617BDD"/>
    <w:rsid w:val="628F6C82"/>
    <w:rsid w:val="63E7C143"/>
    <w:rsid w:val="658A176F"/>
    <w:rsid w:val="65991C9F"/>
    <w:rsid w:val="66351C93"/>
    <w:rsid w:val="67C1BF01"/>
    <w:rsid w:val="6829CDED"/>
    <w:rsid w:val="698ACFEF"/>
    <w:rsid w:val="69BA904D"/>
    <w:rsid w:val="6A1CE34E"/>
    <w:rsid w:val="6A2AC994"/>
    <w:rsid w:val="6A6C8DC2"/>
    <w:rsid w:val="6A8D09A3"/>
    <w:rsid w:val="6AD59F69"/>
    <w:rsid w:val="6AF68C2C"/>
    <w:rsid w:val="6B0A9DE4"/>
    <w:rsid w:val="6B390359"/>
    <w:rsid w:val="6B4FDCA0"/>
    <w:rsid w:val="6D01BB54"/>
    <w:rsid w:val="6E085429"/>
    <w:rsid w:val="6E41AEF4"/>
    <w:rsid w:val="6EF3D8D9"/>
    <w:rsid w:val="6F340E1C"/>
    <w:rsid w:val="6F38E73B"/>
    <w:rsid w:val="70395C16"/>
    <w:rsid w:val="70532683"/>
    <w:rsid w:val="71F0893E"/>
    <w:rsid w:val="720A1EBC"/>
    <w:rsid w:val="72BA06E0"/>
    <w:rsid w:val="73143977"/>
    <w:rsid w:val="747ACDE7"/>
    <w:rsid w:val="74EE0A9E"/>
    <w:rsid w:val="7502570D"/>
    <w:rsid w:val="75DE4A6E"/>
    <w:rsid w:val="764D592D"/>
    <w:rsid w:val="76581820"/>
    <w:rsid w:val="7773161E"/>
    <w:rsid w:val="78B2CF84"/>
    <w:rsid w:val="78DFC981"/>
    <w:rsid w:val="795B1785"/>
    <w:rsid w:val="79907E70"/>
    <w:rsid w:val="79E68494"/>
    <w:rsid w:val="7A2B6F4F"/>
    <w:rsid w:val="7A780AAC"/>
    <w:rsid w:val="7B19B147"/>
    <w:rsid w:val="7B2B8943"/>
    <w:rsid w:val="7B708ECC"/>
    <w:rsid w:val="7BD3D41A"/>
    <w:rsid w:val="7C176A43"/>
    <w:rsid w:val="7C266F73"/>
    <w:rsid w:val="7C38BC48"/>
    <w:rsid w:val="7CD9F14C"/>
    <w:rsid w:val="7DCFE6E4"/>
    <w:rsid w:val="7E147BF8"/>
    <w:rsid w:val="7E1AC48B"/>
    <w:rsid w:val="7EFBC0FE"/>
    <w:rsid w:val="7F265F41"/>
    <w:rsid w:val="7F5EB4A3"/>
    <w:rsid w:val="7F93A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AA030"/>
  <w15:docId w15:val="{93C4990A-5E57-49E5-9497-F725927F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8F"/>
  </w:style>
  <w:style w:type="paragraph" w:styleId="Ttulo1">
    <w:name w:val="heading 1"/>
    <w:basedOn w:val="Estilo1"/>
    <w:next w:val="Normal"/>
    <w:qFormat/>
    <w:rsid w:val="0088760B"/>
    <w:pPr>
      <w:numPr>
        <w:numId w:val="0"/>
      </w:numPr>
      <w:spacing w:before="144" w:after="144"/>
      <w:outlineLvl w:val="0"/>
    </w:pPr>
  </w:style>
  <w:style w:type="paragraph" w:styleId="Ttulo2">
    <w:name w:val="heading 2"/>
    <w:basedOn w:val="Estilo1"/>
    <w:next w:val="Normal"/>
    <w:link w:val="Ttulo2Char"/>
    <w:qFormat/>
    <w:rsid w:val="0088760B"/>
    <w:pPr>
      <w:numPr>
        <w:numId w:val="0"/>
      </w:numPr>
      <w:spacing w:before="144" w:after="144"/>
      <w:outlineLvl w:val="1"/>
    </w:pPr>
  </w:style>
  <w:style w:type="paragraph" w:styleId="Ttulo3">
    <w:name w:val="heading 3"/>
    <w:basedOn w:val="Estilo1"/>
    <w:next w:val="Normal"/>
    <w:qFormat/>
    <w:rsid w:val="0088760B"/>
    <w:pPr>
      <w:numPr>
        <w:ilvl w:val="2"/>
      </w:numPr>
      <w:spacing w:before="144" w:after="144"/>
      <w:outlineLvl w:val="2"/>
    </w:pPr>
    <w:rPr>
      <w:b w:val="0"/>
    </w:rPr>
  </w:style>
  <w:style w:type="paragraph" w:styleId="Ttulo4">
    <w:name w:val="heading 4"/>
    <w:basedOn w:val="Normal"/>
    <w:next w:val="Normal"/>
    <w:link w:val="Ttulo4Char"/>
    <w:qFormat/>
    <w:rsid w:val="007C394D"/>
    <w:pPr>
      <w:keepNext/>
      <w:jc w:val="center"/>
      <w:outlineLvl w:val="3"/>
    </w:pPr>
    <w:rPr>
      <w:b/>
      <w:i/>
    </w:rPr>
  </w:style>
  <w:style w:type="paragraph" w:styleId="Ttulo5">
    <w:name w:val="heading 5"/>
    <w:basedOn w:val="Normal"/>
    <w:next w:val="Normal"/>
    <w:qFormat/>
    <w:rsid w:val="007C394D"/>
    <w:pPr>
      <w:keepNext/>
      <w:jc w:val="center"/>
      <w:outlineLvl w:val="4"/>
    </w:pPr>
    <w:rPr>
      <w:b/>
      <w:i/>
      <w:sz w:val="96"/>
    </w:rPr>
  </w:style>
  <w:style w:type="paragraph" w:styleId="Ttulo6">
    <w:name w:val="heading 6"/>
    <w:basedOn w:val="Normal"/>
    <w:next w:val="Normal"/>
    <w:qFormat/>
    <w:rsid w:val="007C394D"/>
    <w:pPr>
      <w:keepNext/>
      <w:outlineLvl w:val="5"/>
    </w:pPr>
    <w:rPr>
      <w:rFonts w:ascii="Bookman Old Style" w:hAnsi="Bookman Old Style"/>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7C394D"/>
    <w:pPr>
      <w:ind w:firstLine="709"/>
    </w:pPr>
  </w:style>
  <w:style w:type="paragraph" w:styleId="Cabealho">
    <w:name w:val="header"/>
    <w:basedOn w:val="Normal"/>
    <w:rsid w:val="007C394D"/>
    <w:pPr>
      <w:tabs>
        <w:tab w:val="center" w:pos="4419"/>
        <w:tab w:val="right" w:pos="8838"/>
      </w:tabs>
    </w:pPr>
  </w:style>
  <w:style w:type="paragraph" w:styleId="Rodap">
    <w:name w:val="footer"/>
    <w:basedOn w:val="Normal"/>
    <w:rsid w:val="007C394D"/>
    <w:pPr>
      <w:tabs>
        <w:tab w:val="center" w:pos="4419"/>
        <w:tab w:val="right" w:pos="8838"/>
      </w:tabs>
    </w:pPr>
  </w:style>
  <w:style w:type="paragraph" w:styleId="Corpodetexto">
    <w:name w:val="Body Text"/>
    <w:basedOn w:val="Normal"/>
    <w:rsid w:val="007C394D"/>
    <w:pPr>
      <w:jc w:val="both"/>
    </w:pPr>
    <w:rPr>
      <w:color w:val="000080"/>
      <w:sz w:val="24"/>
    </w:rPr>
  </w:style>
  <w:style w:type="character" w:styleId="Nmerodepgina">
    <w:name w:val="page number"/>
    <w:basedOn w:val="Fontepargpadro"/>
    <w:uiPriority w:val="99"/>
    <w:rsid w:val="007C394D"/>
  </w:style>
  <w:style w:type="paragraph" w:styleId="Corpodetexto2">
    <w:name w:val="Body Text 2"/>
    <w:basedOn w:val="Normal"/>
    <w:rsid w:val="007C394D"/>
    <w:pPr>
      <w:jc w:val="center"/>
    </w:pPr>
    <w:rPr>
      <w:rFonts w:ascii="Arial" w:hAnsi="Arial"/>
      <w:b/>
      <w:i/>
      <w:sz w:val="96"/>
    </w:rPr>
  </w:style>
  <w:style w:type="paragraph" w:styleId="NormalWeb">
    <w:name w:val="Normal (Web)"/>
    <w:basedOn w:val="Normal"/>
    <w:uiPriority w:val="99"/>
    <w:rsid w:val="005C7BC6"/>
    <w:pPr>
      <w:spacing w:before="100" w:beforeAutospacing="1" w:after="100" w:afterAutospacing="1"/>
    </w:pPr>
    <w:rPr>
      <w:sz w:val="24"/>
      <w:szCs w:val="24"/>
    </w:rPr>
  </w:style>
  <w:style w:type="paragraph" w:styleId="Textodebalo">
    <w:name w:val="Balloon Text"/>
    <w:basedOn w:val="Normal"/>
    <w:semiHidden/>
    <w:rsid w:val="00AB2128"/>
    <w:rPr>
      <w:rFonts w:ascii="Tahoma" w:hAnsi="Tahoma" w:cs="Tahoma"/>
      <w:sz w:val="16"/>
      <w:szCs w:val="16"/>
    </w:rPr>
  </w:style>
  <w:style w:type="table" w:styleId="Tabelacomgrade">
    <w:name w:val="Table Grid"/>
    <w:basedOn w:val="Tabelanormal"/>
    <w:uiPriority w:val="59"/>
    <w:rsid w:val="00BB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BB7E7C"/>
    <w:pPr>
      <w:keepLines/>
      <w:spacing w:before="480" w:line="276" w:lineRule="auto"/>
      <w:jc w:val="left"/>
      <w:outlineLvl w:val="9"/>
    </w:pPr>
    <w:rPr>
      <w:rFonts w:ascii="Cambria" w:hAnsi="Cambria"/>
      <w:bCs/>
      <w:color w:val="365F91"/>
      <w:sz w:val="28"/>
      <w:szCs w:val="28"/>
      <w:lang w:eastAsia="en-US"/>
    </w:rPr>
  </w:style>
  <w:style w:type="paragraph" w:styleId="Sumrio2">
    <w:name w:val="toc 2"/>
    <w:basedOn w:val="Normal"/>
    <w:next w:val="Normal"/>
    <w:autoRedefine/>
    <w:uiPriority w:val="39"/>
    <w:unhideWhenUsed/>
    <w:qFormat/>
    <w:rsid w:val="006202D7"/>
    <w:pPr>
      <w:tabs>
        <w:tab w:val="left" w:pos="851"/>
        <w:tab w:val="right" w:leader="dot" w:pos="8495"/>
      </w:tabs>
      <w:spacing w:after="100" w:line="276" w:lineRule="auto"/>
      <w:ind w:firstLine="220"/>
    </w:pPr>
    <w:rPr>
      <w:rFonts w:ascii="Calibri" w:hAnsi="Calibri"/>
      <w:sz w:val="22"/>
      <w:szCs w:val="22"/>
      <w:lang w:eastAsia="en-US"/>
    </w:rPr>
  </w:style>
  <w:style w:type="paragraph" w:styleId="Sumrio1">
    <w:name w:val="toc 1"/>
    <w:basedOn w:val="Normal"/>
    <w:next w:val="Normal"/>
    <w:autoRedefine/>
    <w:uiPriority w:val="39"/>
    <w:unhideWhenUsed/>
    <w:qFormat/>
    <w:rsid w:val="002970FD"/>
    <w:pPr>
      <w:tabs>
        <w:tab w:val="left" w:pos="426"/>
        <w:tab w:val="right" w:leader="dot" w:pos="8495"/>
      </w:tabs>
      <w:spacing w:after="100" w:line="276" w:lineRule="auto"/>
    </w:pPr>
    <w:rPr>
      <w:rFonts w:ascii="Calibri" w:hAnsi="Calibri"/>
      <w:sz w:val="22"/>
      <w:szCs w:val="22"/>
      <w:lang w:eastAsia="en-US"/>
    </w:rPr>
  </w:style>
  <w:style w:type="paragraph" w:styleId="Sumrio3">
    <w:name w:val="toc 3"/>
    <w:basedOn w:val="Normal"/>
    <w:next w:val="Normal"/>
    <w:autoRedefine/>
    <w:uiPriority w:val="39"/>
    <w:unhideWhenUsed/>
    <w:qFormat/>
    <w:rsid w:val="002F3BD9"/>
    <w:pPr>
      <w:tabs>
        <w:tab w:val="left" w:pos="851"/>
        <w:tab w:val="right" w:leader="dot" w:pos="8495"/>
      </w:tabs>
      <w:spacing w:after="100" w:line="276" w:lineRule="auto"/>
      <w:ind w:left="224"/>
    </w:pPr>
    <w:rPr>
      <w:rFonts w:ascii="Calibri" w:hAnsi="Calibri"/>
      <w:sz w:val="22"/>
      <w:szCs w:val="22"/>
      <w:lang w:eastAsia="en-US"/>
    </w:rPr>
  </w:style>
  <w:style w:type="paragraph" w:customStyle="1" w:styleId="Estilo1">
    <w:name w:val="Estilo1"/>
    <w:basedOn w:val="Ttulo4"/>
    <w:link w:val="Estilo1Char"/>
    <w:qFormat/>
    <w:rsid w:val="004D1090"/>
    <w:pPr>
      <w:numPr>
        <w:numId w:val="1"/>
      </w:numPr>
      <w:spacing w:beforeLines="60" w:afterLines="60" w:line="280" w:lineRule="atLeast"/>
      <w:jc w:val="both"/>
    </w:pPr>
    <w:rPr>
      <w:rFonts w:ascii="Verdana" w:hAnsi="Verdana"/>
      <w:i w:val="0"/>
    </w:rPr>
  </w:style>
  <w:style w:type="paragraph" w:customStyle="1" w:styleId="Default">
    <w:name w:val="Default"/>
    <w:rsid w:val="005275BE"/>
    <w:pPr>
      <w:autoSpaceDE w:val="0"/>
      <w:autoSpaceDN w:val="0"/>
      <w:adjustRightInd w:val="0"/>
    </w:pPr>
    <w:rPr>
      <w:rFonts w:ascii="Tahoma" w:hAnsi="Tahoma" w:cs="Tahoma"/>
      <w:color w:val="000000"/>
      <w:sz w:val="24"/>
      <w:szCs w:val="24"/>
    </w:rPr>
  </w:style>
  <w:style w:type="character" w:customStyle="1" w:styleId="Ttulo4Char">
    <w:name w:val="Título 4 Char"/>
    <w:basedOn w:val="Fontepargpadro"/>
    <w:link w:val="Ttulo4"/>
    <w:rsid w:val="004D1090"/>
    <w:rPr>
      <w:b/>
      <w:i/>
    </w:rPr>
  </w:style>
  <w:style w:type="character" w:customStyle="1" w:styleId="Estilo1Char">
    <w:name w:val="Estilo1 Char"/>
    <w:basedOn w:val="Ttulo4Char"/>
    <w:link w:val="Estilo1"/>
    <w:rsid w:val="004D1090"/>
    <w:rPr>
      <w:rFonts w:ascii="Verdana" w:hAnsi="Verdana"/>
      <w:b/>
      <w:i w:val="0"/>
    </w:rPr>
  </w:style>
  <w:style w:type="paragraph" w:styleId="PargrafodaLista">
    <w:name w:val="List Paragraph"/>
    <w:basedOn w:val="Normal"/>
    <w:uiPriority w:val="34"/>
    <w:qFormat/>
    <w:rsid w:val="00D12FCC"/>
    <w:pPr>
      <w:spacing w:after="200" w:line="276" w:lineRule="auto"/>
      <w:ind w:left="720"/>
      <w:contextualSpacing/>
    </w:pPr>
    <w:rPr>
      <w:rFonts w:ascii="Calibri" w:eastAsia="Calibri" w:hAnsi="Calibri"/>
      <w:sz w:val="22"/>
      <w:szCs w:val="22"/>
      <w:lang w:eastAsia="en-US"/>
    </w:rPr>
  </w:style>
  <w:style w:type="character" w:customStyle="1" w:styleId="HighlightedVariable">
    <w:name w:val="Highlighted Variable"/>
    <w:rsid w:val="008510ED"/>
    <w:rPr>
      <w:color w:val="0000FF"/>
    </w:rPr>
  </w:style>
  <w:style w:type="character" w:styleId="Hyperlink">
    <w:name w:val="Hyperlink"/>
    <w:basedOn w:val="Fontepargpadro"/>
    <w:uiPriority w:val="99"/>
    <w:unhideWhenUsed/>
    <w:rsid w:val="00EC656C"/>
    <w:rPr>
      <w:color w:val="0000FF"/>
      <w:u w:val="single"/>
    </w:rPr>
  </w:style>
  <w:style w:type="character" w:styleId="Refdecomentrio">
    <w:name w:val="annotation reference"/>
    <w:basedOn w:val="Fontepargpadro"/>
    <w:uiPriority w:val="99"/>
    <w:semiHidden/>
    <w:unhideWhenUsed/>
    <w:rsid w:val="00391F29"/>
    <w:rPr>
      <w:sz w:val="16"/>
      <w:szCs w:val="16"/>
    </w:rPr>
  </w:style>
  <w:style w:type="paragraph" w:styleId="Textodecomentrio">
    <w:name w:val="annotation text"/>
    <w:basedOn w:val="Normal"/>
    <w:link w:val="TextodecomentrioChar"/>
    <w:uiPriority w:val="99"/>
    <w:unhideWhenUsed/>
    <w:rsid w:val="00391F29"/>
  </w:style>
  <w:style w:type="character" w:customStyle="1" w:styleId="TextodecomentrioChar">
    <w:name w:val="Texto de comentário Char"/>
    <w:basedOn w:val="Fontepargpadro"/>
    <w:link w:val="Textodecomentrio"/>
    <w:uiPriority w:val="99"/>
    <w:rsid w:val="00391F29"/>
  </w:style>
  <w:style w:type="paragraph" w:styleId="Assuntodocomentrio">
    <w:name w:val="annotation subject"/>
    <w:basedOn w:val="Textodecomentrio"/>
    <w:next w:val="Textodecomentrio"/>
    <w:link w:val="AssuntodocomentrioChar"/>
    <w:uiPriority w:val="99"/>
    <w:semiHidden/>
    <w:unhideWhenUsed/>
    <w:rsid w:val="00391F29"/>
    <w:rPr>
      <w:b/>
      <w:bCs/>
    </w:rPr>
  </w:style>
  <w:style w:type="character" w:customStyle="1" w:styleId="AssuntodocomentrioChar">
    <w:name w:val="Assunto do comentário Char"/>
    <w:basedOn w:val="TextodecomentrioChar"/>
    <w:link w:val="Assuntodocomentrio"/>
    <w:uiPriority w:val="99"/>
    <w:semiHidden/>
    <w:rsid w:val="00391F29"/>
    <w:rPr>
      <w:b/>
      <w:bCs/>
    </w:rPr>
  </w:style>
  <w:style w:type="paragraph" w:styleId="Reviso">
    <w:name w:val="Revision"/>
    <w:hidden/>
    <w:uiPriority w:val="99"/>
    <w:semiHidden/>
    <w:rsid w:val="008F0779"/>
  </w:style>
  <w:style w:type="paragraph" w:styleId="Pr-formataoHTML">
    <w:name w:val="HTML Preformatted"/>
    <w:basedOn w:val="Normal"/>
    <w:link w:val="Pr-formataoHTMLChar"/>
    <w:uiPriority w:val="99"/>
    <w:unhideWhenUsed/>
    <w:rsid w:val="008F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rsid w:val="008F0779"/>
    <w:rPr>
      <w:rFonts w:ascii="Courier New" w:hAnsi="Courier New" w:cs="Courier New"/>
    </w:rPr>
  </w:style>
  <w:style w:type="character" w:styleId="nfase">
    <w:name w:val="Emphasis"/>
    <w:basedOn w:val="Fontepargpadro"/>
    <w:uiPriority w:val="20"/>
    <w:qFormat/>
    <w:rsid w:val="00C039B9"/>
    <w:rPr>
      <w:i/>
      <w:iCs/>
    </w:rPr>
  </w:style>
  <w:style w:type="character" w:customStyle="1" w:styleId="apple-converted-space">
    <w:name w:val="apple-converted-space"/>
    <w:basedOn w:val="Fontepargpadro"/>
    <w:rsid w:val="00622583"/>
  </w:style>
  <w:style w:type="paragraph" w:styleId="SemEspaamento">
    <w:name w:val="No Spacing"/>
    <w:link w:val="SemEspaamentoChar"/>
    <w:uiPriority w:val="1"/>
    <w:qFormat/>
    <w:rsid w:val="00934E3B"/>
    <w:rPr>
      <w:rFonts w:ascii="Calibri" w:hAnsi="Calibri"/>
      <w:sz w:val="22"/>
      <w:szCs w:val="22"/>
      <w:lang w:eastAsia="en-US"/>
    </w:rPr>
  </w:style>
  <w:style w:type="character" w:customStyle="1" w:styleId="SemEspaamentoChar">
    <w:name w:val="Sem Espaçamento Char"/>
    <w:basedOn w:val="Fontepargpadro"/>
    <w:link w:val="SemEspaamento"/>
    <w:uiPriority w:val="1"/>
    <w:rsid w:val="00934E3B"/>
    <w:rPr>
      <w:rFonts w:ascii="Calibri" w:hAnsi="Calibri"/>
      <w:sz w:val="22"/>
      <w:szCs w:val="22"/>
      <w:lang w:val="pt-BR" w:eastAsia="en-US" w:bidi="ar-SA"/>
    </w:rPr>
  </w:style>
  <w:style w:type="paragraph" w:styleId="Textodenotaderodap">
    <w:name w:val="footnote text"/>
    <w:basedOn w:val="Normal"/>
    <w:link w:val="TextodenotaderodapChar"/>
    <w:uiPriority w:val="99"/>
    <w:semiHidden/>
    <w:unhideWhenUsed/>
    <w:rsid w:val="00B0486E"/>
  </w:style>
  <w:style w:type="character" w:customStyle="1" w:styleId="TextodenotaderodapChar">
    <w:name w:val="Texto de nota de rodapé Char"/>
    <w:basedOn w:val="Fontepargpadro"/>
    <w:link w:val="Textodenotaderodap"/>
    <w:uiPriority w:val="99"/>
    <w:semiHidden/>
    <w:rsid w:val="00B0486E"/>
  </w:style>
  <w:style w:type="character" w:styleId="Refdenotaderodap">
    <w:name w:val="footnote reference"/>
    <w:basedOn w:val="Fontepargpadro"/>
    <w:uiPriority w:val="99"/>
    <w:semiHidden/>
    <w:unhideWhenUsed/>
    <w:rsid w:val="00B0486E"/>
    <w:rPr>
      <w:vertAlign w:val="superscript"/>
    </w:rPr>
  </w:style>
  <w:style w:type="paragraph" w:styleId="Corpodetexto3">
    <w:name w:val="Body Text 3"/>
    <w:basedOn w:val="Normal"/>
    <w:link w:val="Corpodetexto3Char"/>
    <w:rsid w:val="00B70EE7"/>
    <w:pPr>
      <w:spacing w:after="120"/>
    </w:pPr>
    <w:rPr>
      <w:sz w:val="16"/>
      <w:szCs w:val="16"/>
      <w:lang w:val="en-US" w:eastAsia="en-US"/>
    </w:rPr>
  </w:style>
  <w:style w:type="character" w:customStyle="1" w:styleId="Corpodetexto3Char">
    <w:name w:val="Corpo de texto 3 Char"/>
    <w:basedOn w:val="Fontepargpadro"/>
    <w:link w:val="Corpodetexto3"/>
    <w:rsid w:val="00B70EE7"/>
    <w:rPr>
      <w:sz w:val="16"/>
      <w:szCs w:val="16"/>
      <w:lang w:val="en-US" w:eastAsia="en-US"/>
    </w:rPr>
  </w:style>
  <w:style w:type="character" w:styleId="MenoPendente">
    <w:name w:val="Unresolved Mention"/>
    <w:basedOn w:val="Fontepargpadro"/>
    <w:uiPriority w:val="99"/>
    <w:semiHidden/>
    <w:unhideWhenUsed/>
    <w:rsid w:val="009D2790"/>
    <w:rPr>
      <w:color w:val="808080"/>
      <w:shd w:val="clear" w:color="auto" w:fill="E6E6E6"/>
    </w:rPr>
  </w:style>
  <w:style w:type="paragraph" w:customStyle="1" w:styleId="paragraph">
    <w:name w:val="paragraph"/>
    <w:basedOn w:val="Normal"/>
    <w:rsid w:val="00C75753"/>
    <w:pPr>
      <w:spacing w:before="100" w:beforeAutospacing="1" w:after="100" w:afterAutospacing="1"/>
    </w:pPr>
    <w:rPr>
      <w:sz w:val="24"/>
      <w:szCs w:val="24"/>
    </w:rPr>
  </w:style>
  <w:style w:type="character" w:customStyle="1" w:styleId="normaltextrun">
    <w:name w:val="normaltextrun"/>
    <w:basedOn w:val="Fontepargpadro"/>
    <w:rsid w:val="00C75753"/>
  </w:style>
  <w:style w:type="character" w:customStyle="1" w:styleId="eop">
    <w:name w:val="eop"/>
    <w:basedOn w:val="Fontepargpadro"/>
    <w:rsid w:val="00C75753"/>
  </w:style>
  <w:style w:type="character" w:customStyle="1" w:styleId="cf01">
    <w:name w:val="cf01"/>
    <w:basedOn w:val="Fontepargpadro"/>
    <w:rsid w:val="009E12D0"/>
    <w:rPr>
      <w:rFonts w:ascii="Segoe UI" w:hAnsi="Segoe UI" w:cs="Segoe UI" w:hint="default"/>
      <w:sz w:val="18"/>
      <w:szCs w:val="18"/>
    </w:rPr>
  </w:style>
  <w:style w:type="character" w:customStyle="1" w:styleId="ui-provider">
    <w:name w:val="ui-provider"/>
    <w:basedOn w:val="Fontepargpadro"/>
    <w:rsid w:val="00CF45DF"/>
  </w:style>
  <w:style w:type="character" w:customStyle="1" w:styleId="Ttulo2Char">
    <w:name w:val="Título 2 Char"/>
    <w:basedOn w:val="Fontepargpadro"/>
    <w:link w:val="Ttulo2"/>
    <w:rsid w:val="004B2CA3"/>
    <w:rPr>
      <w:rFonts w:ascii="Verdana" w:hAnsi="Verdana"/>
      <w:b/>
    </w:rPr>
  </w:style>
  <w:style w:type="paragraph" w:customStyle="1" w:styleId="pf0">
    <w:name w:val="pf0"/>
    <w:basedOn w:val="Normal"/>
    <w:rsid w:val="009714C4"/>
    <w:pPr>
      <w:spacing w:before="100" w:beforeAutospacing="1" w:after="100" w:afterAutospacing="1"/>
    </w:pPr>
    <w:rPr>
      <w:sz w:val="24"/>
      <w:szCs w:val="24"/>
    </w:rPr>
  </w:style>
  <w:style w:type="character" w:customStyle="1" w:styleId="cf11">
    <w:name w:val="cf11"/>
    <w:basedOn w:val="Fontepargpadro"/>
    <w:rsid w:val="009714C4"/>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3805">
      <w:bodyDiv w:val="1"/>
      <w:marLeft w:val="0"/>
      <w:marRight w:val="0"/>
      <w:marTop w:val="0"/>
      <w:marBottom w:val="0"/>
      <w:divBdr>
        <w:top w:val="none" w:sz="0" w:space="0" w:color="auto"/>
        <w:left w:val="none" w:sz="0" w:space="0" w:color="auto"/>
        <w:bottom w:val="none" w:sz="0" w:space="0" w:color="auto"/>
        <w:right w:val="none" w:sz="0" w:space="0" w:color="auto"/>
      </w:divBdr>
    </w:div>
    <w:div w:id="790827014">
      <w:bodyDiv w:val="1"/>
      <w:marLeft w:val="0"/>
      <w:marRight w:val="0"/>
      <w:marTop w:val="0"/>
      <w:marBottom w:val="0"/>
      <w:divBdr>
        <w:top w:val="none" w:sz="0" w:space="0" w:color="auto"/>
        <w:left w:val="none" w:sz="0" w:space="0" w:color="auto"/>
        <w:bottom w:val="none" w:sz="0" w:space="0" w:color="auto"/>
        <w:right w:val="none" w:sz="0" w:space="0" w:color="auto"/>
      </w:divBdr>
    </w:div>
    <w:div w:id="1679507135">
      <w:bodyDiv w:val="1"/>
      <w:marLeft w:val="0"/>
      <w:marRight w:val="0"/>
      <w:marTop w:val="0"/>
      <w:marBottom w:val="0"/>
      <w:divBdr>
        <w:top w:val="none" w:sz="0" w:space="0" w:color="auto"/>
        <w:left w:val="none" w:sz="0" w:space="0" w:color="auto"/>
        <w:bottom w:val="none" w:sz="0" w:space="0" w:color="auto"/>
        <w:right w:val="none" w:sz="0" w:space="0" w:color="auto"/>
      </w:divBdr>
    </w:div>
    <w:div w:id="1709910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ontatoseguro.com.br/grupoedsonqueiroz"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B840E5794E40F3AF7EC5F99436C091"/>
        <w:category>
          <w:name w:val="General"/>
          <w:gallery w:val="placeholder"/>
        </w:category>
        <w:types>
          <w:type w:val="bbPlcHdr"/>
        </w:types>
        <w:behaviors>
          <w:behavior w:val="content"/>
        </w:behaviors>
        <w:guid w:val="{CE907DD9-8B8F-4E62-8E81-034B0EC1BD91}"/>
      </w:docPartPr>
      <w:docPartBody>
        <w:p w:rsidR="003A79C1" w:rsidRDefault="00AD4AF2" w:rsidP="007C02DF">
          <w:pPr>
            <w:pStyle w:val="C8B840E5794E40F3AF7EC5F99436C091"/>
          </w:pPr>
          <w:r>
            <w:rPr>
              <w:rFonts w:asciiTheme="majorHAnsi" w:eastAsiaTheme="majorEastAsia" w:hAnsiTheme="majorHAnsi" w:cstheme="majorBidi"/>
              <w:sz w:val="72"/>
              <w:szCs w:val="72"/>
            </w:rPr>
            <w:t>[Digite o título do documento]</w:t>
          </w:r>
        </w:p>
      </w:docPartBody>
    </w:docPart>
    <w:docPart>
      <w:docPartPr>
        <w:name w:val="D49657103F1A4F06B68F4F1D40BA7729"/>
        <w:category>
          <w:name w:val="General"/>
          <w:gallery w:val="placeholder"/>
        </w:category>
        <w:types>
          <w:type w:val="bbPlcHdr"/>
        </w:types>
        <w:behaviors>
          <w:behavior w:val="content"/>
        </w:behaviors>
        <w:guid w:val="{7D7E9349-97ED-4989-83FA-E8EA8EED2933}"/>
      </w:docPartPr>
      <w:docPartBody>
        <w:p w:rsidR="003A79C1" w:rsidRDefault="00AD4AF2" w:rsidP="007C02DF">
          <w:pPr>
            <w:pStyle w:val="D49657103F1A4F06B68F4F1D40BA7729"/>
          </w:pPr>
          <w:r>
            <w:rPr>
              <w:rFonts w:asciiTheme="majorHAnsi" w:eastAsiaTheme="majorEastAsia" w:hAnsiTheme="majorHAnsi" w:cstheme="majorBidi"/>
              <w:sz w:val="36"/>
              <w:szCs w:val="36"/>
            </w:rPr>
            <w:t>[Digite o 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C02DF"/>
    <w:rsid w:val="00012543"/>
    <w:rsid w:val="00014FB6"/>
    <w:rsid w:val="000261FC"/>
    <w:rsid w:val="00033F5A"/>
    <w:rsid w:val="00046107"/>
    <w:rsid w:val="00046CEE"/>
    <w:rsid w:val="00082C94"/>
    <w:rsid w:val="00095889"/>
    <w:rsid w:val="000A17D9"/>
    <w:rsid w:val="000A2578"/>
    <w:rsid w:val="000A70D4"/>
    <w:rsid w:val="000B30C6"/>
    <w:rsid w:val="000D014A"/>
    <w:rsid w:val="000D797C"/>
    <w:rsid w:val="000E00DB"/>
    <w:rsid w:val="00100134"/>
    <w:rsid w:val="00100E26"/>
    <w:rsid w:val="0010396C"/>
    <w:rsid w:val="00106A36"/>
    <w:rsid w:val="00131046"/>
    <w:rsid w:val="001423D6"/>
    <w:rsid w:val="00152DDF"/>
    <w:rsid w:val="00181FEA"/>
    <w:rsid w:val="00182C4B"/>
    <w:rsid w:val="001A60E2"/>
    <w:rsid w:val="001C2B18"/>
    <w:rsid w:val="001C5588"/>
    <w:rsid w:val="00203CDC"/>
    <w:rsid w:val="002302AC"/>
    <w:rsid w:val="00237860"/>
    <w:rsid w:val="00276C0E"/>
    <w:rsid w:val="002D61E9"/>
    <w:rsid w:val="002F7C59"/>
    <w:rsid w:val="003137BF"/>
    <w:rsid w:val="0031478F"/>
    <w:rsid w:val="00315FAF"/>
    <w:rsid w:val="00323BF9"/>
    <w:rsid w:val="00343575"/>
    <w:rsid w:val="0035474D"/>
    <w:rsid w:val="00382188"/>
    <w:rsid w:val="0039355E"/>
    <w:rsid w:val="003A79C1"/>
    <w:rsid w:val="003C20FA"/>
    <w:rsid w:val="003E3E32"/>
    <w:rsid w:val="003E722C"/>
    <w:rsid w:val="003F0BE2"/>
    <w:rsid w:val="003F1889"/>
    <w:rsid w:val="00404C00"/>
    <w:rsid w:val="0047263F"/>
    <w:rsid w:val="0049079C"/>
    <w:rsid w:val="0049647F"/>
    <w:rsid w:val="004A4B41"/>
    <w:rsid w:val="004D1D5B"/>
    <w:rsid w:val="004D255B"/>
    <w:rsid w:val="004E296B"/>
    <w:rsid w:val="005470A3"/>
    <w:rsid w:val="005C01FB"/>
    <w:rsid w:val="005C13F1"/>
    <w:rsid w:val="005D5FFB"/>
    <w:rsid w:val="005D78FC"/>
    <w:rsid w:val="005D794B"/>
    <w:rsid w:val="0064491C"/>
    <w:rsid w:val="00664A32"/>
    <w:rsid w:val="006716D6"/>
    <w:rsid w:val="006741D4"/>
    <w:rsid w:val="00686DBD"/>
    <w:rsid w:val="006E0FEC"/>
    <w:rsid w:val="00774A09"/>
    <w:rsid w:val="00775249"/>
    <w:rsid w:val="007B795A"/>
    <w:rsid w:val="007C02DF"/>
    <w:rsid w:val="007C7D80"/>
    <w:rsid w:val="007D62E1"/>
    <w:rsid w:val="00863408"/>
    <w:rsid w:val="00877E44"/>
    <w:rsid w:val="0088523D"/>
    <w:rsid w:val="0089624B"/>
    <w:rsid w:val="00927517"/>
    <w:rsid w:val="00934002"/>
    <w:rsid w:val="00946584"/>
    <w:rsid w:val="00956AF5"/>
    <w:rsid w:val="00964F22"/>
    <w:rsid w:val="00970BB2"/>
    <w:rsid w:val="0098050E"/>
    <w:rsid w:val="009811F8"/>
    <w:rsid w:val="009920F0"/>
    <w:rsid w:val="009A46D0"/>
    <w:rsid w:val="009B4800"/>
    <w:rsid w:val="009B7A87"/>
    <w:rsid w:val="00A17AC5"/>
    <w:rsid w:val="00A41A74"/>
    <w:rsid w:val="00A44616"/>
    <w:rsid w:val="00AA42E4"/>
    <w:rsid w:val="00AD14C0"/>
    <w:rsid w:val="00AD462D"/>
    <w:rsid w:val="00AD4AF2"/>
    <w:rsid w:val="00B14F3C"/>
    <w:rsid w:val="00B40C93"/>
    <w:rsid w:val="00B677FE"/>
    <w:rsid w:val="00B93756"/>
    <w:rsid w:val="00BD5420"/>
    <w:rsid w:val="00BF43B6"/>
    <w:rsid w:val="00BF477B"/>
    <w:rsid w:val="00C160DE"/>
    <w:rsid w:val="00C20C33"/>
    <w:rsid w:val="00C906C1"/>
    <w:rsid w:val="00CA1EAA"/>
    <w:rsid w:val="00CB06DA"/>
    <w:rsid w:val="00D15ADD"/>
    <w:rsid w:val="00D24A0D"/>
    <w:rsid w:val="00D275C6"/>
    <w:rsid w:val="00D27C9B"/>
    <w:rsid w:val="00DC086C"/>
    <w:rsid w:val="00DD1345"/>
    <w:rsid w:val="00DD3D2F"/>
    <w:rsid w:val="00DF39D8"/>
    <w:rsid w:val="00DF4E58"/>
    <w:rsid w:val="00E23EFA"/>
    <w:rsid w:val="00E33BB7"/>
    <w:rsid w:val="00E714D4"/>
    <w:rsid w:val="00E730B4"/>
    <w:rsid w:val="00EA29D6"/>
    <w:rsid w:val="00ED4C05"/>
    <w:rsid w:val="00EE4F57"/>
    <w:rsid w:val="00EE5D5E"/>
    <w:rsid w:val="00EF39DF"/>
    <w:rsid w:val="00F129F8"/>
    <w:rsid w:val="00F23645"/>
    <w:rsid w:val="00F41D62"/>
    <w:rsid w:val="00F772EF"/>
    <w:rsid w:val="00FD573E"/>
    <w:rsid w:val="00FE57A8"/>
    <w:rsid w:val="00FF4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8B840E5794E40F3AF7EC5F99436C091">
    <w:name w:val="C8B840E5794E40F3AF7EC5F99436C091"/>
    <w:rsid w:val="007C02DF"/>
  </w:style>
  <w:style w:type="paragraph" w:customStyle="1" w:styleId="D49657103F1A4F06B68F4F1D40BA7729">
    <w:name w:val="D49657103F1A4F06B68F4F1D40BA7729"/>
    <w:rsid w:val="007C0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D6CA9-6252-4E86-A4BC-1E7C252E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4096</Words>
  <Characters>22124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Política de Suprimentos</vt:lpstr>
    </vt:vector>
  </TitlesOfParts>
  <Company>Grupo Edson Queiroz</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Suprimentos</dc:title>
  <dc:subject>Grupo Edson Queiroz</dc:subject>
  <dc:creator>Ailomar</dc:creator>
  <cp:lastModifiedBy>Luis Henrique de Almeida Pereira</cp:lastModifiedBy>
  <cp:revision>3</cp:revision>
  <cp:lastPrinted>2024-05-27T19:44:00Z</cp:lastPrinted>
  <dcterms:created xsi:type="dcterms:W3CDTF">2024-07-22T19:42:00Z</dcterms:created>
  <dcterms:modified xsi:type="dcterms:W3CDTF">2024-07-30T18:15:00Z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Classificação: Público</vt:lpwstr>
  </property>
  <property fmtid="{D5CDD505-2E9C-101B-9397-08002B2CF9AE}" pid="5" name="MSIP_Label_6c75bd44-d848-48c3-9a6d-b84dedcfe44b_Enabled">
    <vt:lpwstr>true</vt:lpwstr>
  </property>
  <property fmtid="{D5CDD505-2E9C-101B-9397-08002B2CF9AE}" pid="6" name="MSIP_Label_6c75bd44-d848-48c3-9a6d-b84dedcfe44b_SetDate">
    <vt:lpwstr>2024-07-30T18:13:39Z</vt:lpwstr>
  </property>
  <property fmtid="{D5CDD505-2E9C-101B-9397-08002B2CF9AE}" pid="7" name="MSIP_Label_6c75bd44-d848-48c3-9a6d-b84dedcfe44b_Method">
    <vt:lpwstr>Privileged</vt:lpwstr>
  </property>
  <property fmtid="{D5CDD505-2E9C-101B-9397-08002B2CF9AE}" pid="8" name="MSIP_Label_6c75bd44-d848-48c3-9a6d-b84dedcfe44b_Name">
    <vt:lpwstr>Público</vt:lpwstr>
  </property>
  <property fmtid="{D5CDD505-2E9C-101B-9397-08002B2CF9AE}" pid="9" name="MSIP_Label_6c75bd44-d848-48c3-9a6d-b84dedcfe44b_SiteId">
    <vt:lpwstr>6a8be92d-525c-4849-8ce7-35f812b77a5d</vt:lpwstr>
  </property>
  <property fmtid="{D5CDD505-2E9C-101B-9397-08002B2CF9AE}" pid="10" name="MSIP_Label_6c75bd44-d848-48c3-9a6d-b84dedcfe44b_ActionId">
    <vt:lpwstr>8d0fc32f-be0e-4e20-b777-c44ff5d75e9c</vt:lpwstr>
  </property>
  <property fmtid="{D5CDD505-2E9C-101B-9397-08002B2CF9AE}" pid="11" name="MSIP_Label_6c75bd44-d848-48c3-9a6d-b84dedcfe44b_ContentBits">
    <vt:lpwstr>2</vt:lpwstr>
  </property>
</Properties>
</file>