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200"/>
        <w:jc w:val="left"/>
      </w:pPr>
      <w:r>
        <w:rPr>
          <w:rFonts w:ascii="Arial" w:hAnsi="Arial"/>
          <w:b/>
          <w:color w:val="000000"/>
          <w:sz w:val="58"/>
        </w:rPr>
        <w:t>ISSB Preparation Platform Product Brief</w:t>
      </w:r>
    </w:p>
    <w:p>
      <w:pPr>
        <w:pStyle w:val="Subtitle"/>
        <w:spacing w:after="400"/>
      </w:pPr>
      <w:r>
        <w:rPr>
          <w:rFonts w:ascii="Arial" w:hAnsi="Arial"/>
          <w:b w:val="0"/>
          <w:color w:val="000000"/>
          <w:sz w:val="34"/>
        </w:rPr>
        <w:t>WAT First Release</w:t>
      </w:r>
    </w:p>
    <w:p>
      <w:pPr>
        <w:spacing w:after="480"/>
      </w:pPr>
      <w:r>
        <w:rPr>
          <w:rFonts w:ascii="Arial" w:hAnsi="Arial"/>
          <w:color w:val="4A4A4A"/>
          <w:sz w:val="20"/>
        </w:rPr>
        <w:t>Founder working document  |  25 September 2026</w:t>
      </w:r>
    </w:p>
    <w:p>
      <w:pPr>
        <w:pStyle w:val="Heading1"/>
        <w:keepNext/>
        <w:spacing w:before="280" w:after="120"/>
      </w:pPr>
      <w:r>
        <w:rPr>
          <w:rFonts w:ascii="Arial" w:hAnsi="Arial"/>
          <w:b/>
          <w:color w:val="000000"/>
          <w:sz w:val="34"/>
        </w:rPr>
        <w:t>Product Decision</w:t>
      </w:r>
    </w:p>
    <w:p>
      <w:pPr>
        <w:spacing w:after="120" w:line="269" w:lineRule="auto"/>
      </w:pPr>
      <w:r>
        <w:rPr>
          <w:rFonts w:ascii="Arial" w:hAnsi="Arial"/>
          <w:sz w:val="20"/>
        </w:rPr>
        <w:t>We will build a mobile friendly ISSB preparation platform that begins with the Word Association Test. The first release will combine timed practice, typing and paper modes, consistent sentence feedback, saved history, and progress tracking. Initial Test preparation and the remaining ISSB modules will appear in the product roadmap, but they will not delay the WAT launch.</w:t>
      </w:r>
    </w:p>
    <w:p>
      <w:pPr>
        <w:spacing w:after="120" w:line="269" w:lineRule="auto"/>
      </w:pPr>
      <w:r>
        <w:rPr>
          <w:rFonts w:ascii="Arial" w:hAnsi="Arial"/>
          <w:sz w:val="20"/>
        </w:rPr>
        <w:t>The platform is designed around a problem the founder experienced personally. Candidates currently move between AI chats, videos, books, notes, stopwatches, and handwritten practice. They repeatedly explain the same instructions, lose earlier feedback, and cannot see whether their speed or response quality is improving. Our product keeps the practice method, history, and evaluation rules in one place.</w:t>
      </w:r>
    </w:p>
    <w:p>
      <w:pPr>
        <w:pStyle w:val="Heading2"/>
        <w:keepNext/>
        <w:spacing w:before="200" w:after="120"/>
      </w:pPr>
      <w:r>
        <w:rPr>
          <w:rFonts w:ascii="Arial" w:hAnsi="Arial"/>
          <w:b/>
          <w:color w:val="000000"/>
          <w:sz w:val="25"/>
        </w:rPr>
        <w:t>One Sentence Pitch</w:t>
      </w:r>
    </w:p>
    <w:p>
      <w:pPr>
        <w:spacing w:after="120" w:line="269" w:lineRule="auto"/>
      </w:pPr>
      <w:r>
        <w:rPr>
          <w:rFonts w:ascii="Arial" w:hAnsi="Arial"/>
          <w:sz w:val="20"/>
        </w:rPr>
        <w:t>A structured ISSB practice platform that helps candidates practise WAT under time pressure, receive consistent feedback on every sentence, and measure improvement across sessions.</w:t>
      </w:r>
    </w:p>
    <w:p>
      <w:pPr>
        <w:pStyle w:val="Heading1"/>
        <w:keepNext/>
        <w:spacing w:before="280" w:after="120"/>
      </w:pPr>
      <w:r>
        <w:rPr>
          <w:rFonts w:ascii="Arial" w:hAnsi="Arial"/>
          <w:b/>
          <w:color w:val="000000"/>
          <w:sz w:val="34"/>
        </w:rPr>
        <w:t>Founder Pitch</w:t>
      </w:r>
    </w:p>
    <w:p>
      <w:pPr>
        <w:spacing w:after="120" w:line="269" w:lineRule="auto"/>
      </w:pPr>
      <w:r>
        <w:rPr>
          <w:rFonts w:ascii="Arial" w:hAnsi="Arial"/>
          <w:sz w:val="20"/>
        </w:rPr>
        <w:t>I prepared for ISSB as a candidate and used ChatGPT, Claude, online notes, handwritten exercises, and a separate clock. The information existed, but the process was fragmented. Each AI session forgot my instructions and previous work, free limits stopped longer practice, and I had no dependable view of my writing speed or improvement.</w:t>
      </w:r>
    </w:p>
    <w:p>
      <w:pPr>
        <w:spacing w:after="120" w:line="269" w:lineRule="auto"/>
      </w:pPr>
      <w:r>
        <w:rPr>
          <w:rFonts w:ascii="Arial" w:hAnsi="Arial"/>
          <w:sz w:val="20"/>
        </w:rPr>
        <w:t>We are solving that workflow problem. A candidate opens one platform, chooses a timed WAT session, writes online or on paper, receives feedback under the same rubric, and returns to a dashboard that remembers previous sessions. The platform tracks measurable practice signals while avoiding claims that it can diagnose personality or predict ISSB selection.</w:t>
      </w:r>
    </w:p>
    <w:p>
      <w:pPr>
        <w:spacing w:after="120" w:line="269" w:lineRule="auto"/>
      </w:pPr>
      <w:r>
        <w:rPr>
          <w:rFonts w:ascii="Arial" w:hAnsi="Arial"/>
          <w:sz w:val="20"/>
        </w:rPr>
        <w:t>We will first prove this experience with WAT. Once candidates use it repeatedly and pay for continued access, the same account, timing system, feedback history, and progress dashboard can support TAT, SRT, sentence completion, interviews, lecturettes, and Initial Test preparation.</w:t>
      </w:r>
    </w:p>
    <w:p>
      <w:r>
        <w:br w:type="page"/>
      </w:r>
    </w:p>
    <w:p>
      <w:pPr>
        <w:pStyle w:val="Heading1"/>
        <w:keepNext/>
        <w:spacing w:before="280" w:after="120"/>
      </w:pPr>
      <w:r>
        <w:rPr>
          <w:rFonts w:ascii="Arial" w:hAnsi="Arial"/>
          <w:b/>
          <w:color w:val="000000"/>
          <w:sz w:val="34"/>
        </w:rPr>
        <w:t>Problem We Are Solving</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Candidate problem</w:t>
            </w:r>
          </w:p>
        </w:tc>
        <w:tc>
          <w:tcPr>
            <w:tcW w:type="dxa" w:w="3118"/>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Current workaround</w:t>
            </w:r>
          </w:p>
        </w:tc>
        <w:tc>
          <w:tcPr>
            <w:tcW w:type="dxa" w:w="4139"/>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Product response</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Resources are scattered</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AI chats, books, folders, videos, and personal notes</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One organised practice workspace with saved sessions</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Instructions must be repeated</w:t>
            </w:r>
          </w:p>
        </w:tc>
        <w:tc>
          <w:tcPr>
            <w:tcW w:type="dxa" w:w="311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candidate rewrites the same prompt in every AI chat</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permanent WAT rubric and saved candidate preferences</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Feedback changes between sessions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Different prompts produce different ratings</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same evaluation categories and scoring method every time</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Writing speed is difficult to measure</w:t>
            </w:r>
          </w:p>
        </w:tc>
        <w:tc>
          <w:tcPr>
            <w:tcW w:type="dxa" w:w="311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separate clock beside a notebook or laptop</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Automatic timers, completion counts, and session comparisons</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Typing does not train handwriting</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choose between digital convenience and realistic practice</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Typing mode and paper simulation mode</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Improvement is unclear</w:t>
            </w:r>
          </w:p>
        </w:tc>
        <w:tc>
          <w:tcPr>
            <w:tcW w:type="dxa" w:w="311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remember impressions rather than evidence</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Speed, completion, tone, and quality trends over time</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Free AI sessions end quickly</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Only a few practice sessions can be reviewed</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Unlimited basic practice and controlled detailed feedback</w:t>
            </w:r>
          </w:p>
        </w:tc>
      </w:tr>
    </w:tbl>
    <w:p>
      <w:pPr>
        <w:spacing w:after="20"/>
      </w:pPr>
    </w:p>
    <w:p>
      <w:pPr>
        <w:pStyle w:val="Heading1"/>
        <w:keepNext/>
        <w:spacing w:before="280" w:after="120"/>
      </w:pPr>
      <w:r>
        <w:rPr>
          <w:rFonts w:ascii="Arial" w:hAnsi="Arial"/>
          <w:b/>
          <w:color w:val="000000"/>
          <w:sz w:val="34"/>
        </w:rPr>
        <w:t>Purpose and Product Principles</w:t>
      </w:r>
    </w:p>
    <w:p>
      <w:pPr>
        <w:spacing w:after="120" w:line="269" w:lineRule="auto"/>
      </w:pPr>
      <w:r>
        <w:rPr>
          <w:rFonts w:ascii="Arial" w:hAnsi="Arial"/>
          <w:sz w:val="20"/>
        </w:rPr>
        <w:t>The main purpose is to help candidates practise consistently under realistic pressure and understand observable patterns in their responses. The platform supports preparation and self reflection. It does not represent ISSB, provide an official psychological assessment, or promise selection.</w:t>
      </w:r>
    </w:p>
    <w:p>
      <w:pPr>
        <w:pStyle w:val="ListBullet"/>
        <w:spacing w:after="60"/>
        <w:ind w:left="369" w:hanging="170"/>
      </w:pPr>
      <w:r>
        <w:rPr>
          <w:rFonts w:ascii="Arial" w:hAnsi="Arial"/>
          <w:sz w:val="20"/>
        </w:rPr>
        <w:t>Keep practice organised so the candidate never has to rebuild the same setup.</w:t>
      </w:r>
    </w:p>
    <w:p>
      <w:pPr>
        <w:pStyle w:val="ListBullet"/>
        <w:spacing w:after="60"/>
        <w:ind w:left="369" w:hanging="170"/>
      </w:pPr>
      <w:r>
        <w:rPr>
          <w:rFonts w:ascii="Arial" w:hAnsi="Arial"/>
          <w:sz w:val="20"/>
        </w:rPr>
        <w:t>Measure speed and completion separately from sentence quality.</w:t>
      </w:r>
    </w:p>
    <w:p>
      <w:pPr>
        <w:pStyle w:val="ListBullet"/>
        <w:spacing w:after="60"/>
        <w:ind w:left="369" w:hanging="170"/>
      </w:pPr>
      <w:r>
        <w:rPr>
          <w:rFonts w:ascii="Arial" w:hAnsi="Arial"/>
          <w:sz w:val="20"/>
        </w:rPr>
        <w:t>Use the same feedback categories in every session.</w:t>
      </w:r>
    </w:p>
    <w:p>
      <w:pPr>
        <w:pStyle w:val="ListBullet"/>
        <w:spacing w:after="60"/>
        <w:ind w:left="369" w:hanging="170"/>
      </w:pPr>
      <w:r>
        <w:rPr>
          <w:rFonts w:ascii="Arial" w:hAnsi="Arial"/>
          <w:sz w:val="20"/>
        </w:rPr>
        <w:t>Support handwritten practice because the real skill includes writing under time pressure.</w:t>
      </w:r>
    </w:p>
    <w:p>
      <w:pPr>
        <w:pStyle w:val="ListBullet"/>
        <w:spacing w:after="60"/>
        <w:ind w:left="369" w:hanging="170"/>
      </w:pPr>
      <w:r>
        <w:rPr>
          <w:rFonts w:ascii="Arial" w:hAnsi="Arial"/>
          <w:sz w:val="20"/>
        </w:rPr>
        <w:t>Explain feedback briefly so candidates can act on it.</w:t>
      </w:r>
    </w:p>
    <w:p>
      <w:pPr>
        <w:pStyle w:val="ListBullet"/>
        <w:spacing w:after="60"/>
        <w:ind w:left="369" w:hanging="170"/>
      </w:pPr>
      <w:r>
        <w:rPr>
          <w:rFonts w:ascii="Arial" w:hAnsi="Arial"/>
          <w:sz w:val="20"/>
        </w:rPr>
        <w:t>Protect candidate privacy and collect only information required for practice.</w:t>
      </w:r>
    </w:p>
    <w:p>
      <w:pPr>
        <w:pStyle w:val="ListBullet"/>
        <w:spacing w:after="60"/>
        <w:ind w:left="369" w:hanging="170"/>
      </w:pPr>
      <w:r>
        <w:rPr>
          <w:rFonts w:ascii="Arial" w:hAnsi="Arial"/>
          <w:sz w:val="20"/>
        </w:rPr>
        <w:t>Avoid model answers that encourage memorisation or a false personality.</w:t>
      </w:r>
    </w:p>
    <w:p>
      <w:pPr>
        <w:pStyle w:val="Heading1"/>
        <w:keepNext/>
        <w:spacing w:before="280" w:after="120"/>
      </w:pPr>
      <w:r>
        <w:rPr>
          <w:rFonts w:ascii="Arial" w:hAnsi="Arial"/>
          <w:b/>
          <w:color w:val="000000"/>
          <w:sz w:val="34"/>
        </w:rPr>
        <w:t>Target Audience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Audience</w:t>
            </w:r>
          </w:p>
        </w:tc>
        <w:tc>
          <w:tcPr>
            <w:tcW w:type="dxa" w:w="4649"/>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Need</w:t>
            </w:r>
          </w:p>
        </w:tc>
        <w:tc>
          <w:tcPr>
            <w:tcW w:type="dxa" w:w="2154"/>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Priority</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First time PMA and Army applicants</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Understand WAT and build speed before appearing at ISSB</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Primary launch audience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who have received an ISSB call</w:t>
            </w:r>
          </w:p>
        </w:tc>
        <w:tc>
          <w:tcPr>
            <w:tcW w:type="dxa" w:w="464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Focused preparation during the final weeks</w:t>
            </w:r>
          </w:p>
        </w:tc>
        <w:tc>
          <w:tcPr>
            <w:tcW w:type="dxa" w:w="2154"/>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Primary launch audience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outside major cities</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Affordable structured practice without attending an academy</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Primary launch audience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Repeat candidates</w:t>
            </w:r>
          </w:p>
        </w:tc>
        <w:tc>
          <w:tcPr>
            <w:tcW w:type="dxa" w:w="464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Review patterns and prepare more deliberately</w:t>
            </w:r>
          </w:p>
        </w:tc>
        <w:tc>
          <w:tcPr>
            <w:tcW w:type="dxa" w:w="2154"/>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Secondary audience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Academies and candidate mentors</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practice tool for students and progress review</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Later partnership audience</w:t>
            </w:r>
          </w:p>
        </w:tc>
      </w:tr>
    </w:tbl>
    <w:p>
      <w:pPr>
        <w:spacing w:after="20"/>
      </w:pPr>
    </w:p>
    <w:p>
      <w:pPr>
        <w:spacing w:after="120" w:line="269" w:lineRule="auto"/>
      </w:pPr>
      <w:r>
        <w:rPr>
          <w:rFonts w:ascii="Arial" w:hAnsi="Arial"/>
          <w:sz w:val="20"/>
        </w:rPr>
        <w:t>The first release should speak directly to Pakistani students aged roughly 17 to 25 who use Android phones, WhatsApp, YouTube, and low cost mobile data. The interface must remain easy to use on a small screen and should explain difficult instructions in English and Urdu. WAT responses can remain in English where that matches the candidate's preparation needs. Pakistan Navy and PAF candidates can be added after the Army first release.</w:t>
      </w:r>
    </w:p>
    <w:p>
      <w:pPr>
        <w:pStyle w:val="Heading1"/>
        <w:keepNext/>
        <w:spacing w:before="280" w:after="120"/>
      </w:pPr>
      <w:r>
        <w:rPr>
          <w:rFonts w:ascii="Arial" w:hAnsi="Arial"/>
          <w:b/>
          <w:color w:val="000000"/>
          <w:sz w:val="34"/>
        </w:rPr>
        <w:t>Platform Structure</w:t>
      </w:r>
    </w:p>
    <w:p>
      <w:pPr>
        <w:spacing w:after="120" w:line="269" w:lineRule="auto"/>
      </w:pPr>
      <w:r>
        <w:rPr>
          <w:rFonts w:ascii="Arial" w:hAnsi="Arial"/>
          <w:sz w:val="20"/>
        </w:rPr>
        <w:t>The platform will eventually contain two preparation areas. The public navigation can show both from the beginning, while unfinished modules are clearly marked as coming later.</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Area</w:t>
            </w:r>
          </w:p>
        </w:tc>
        <w:tc>
          <w:tcPr>
            <w:tcW w:type="dxa" w:w="5216"/>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Modules</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Launch status</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Initial Test Preparation</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Verbal intelligence, non verbal intelligence, academic questions, general knowledge, and timed mock tests</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Later phase</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ISSB Psychological Tests</w:t>
            </w:r>
          </w:p>
        </w:tc>
        <w:tc>
          <w:tcPr>
            <w:tcW w:type="dxa" w:w="5216"/>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WAT first, followed by TAT, SRT, sentence completion, self description, and related practice</w:t>
            </w:r>
          </w:p>
        </w:tc>
        <w:tc>
          <w:tcPr>
            <w:tcW w:type="dxa" w:w="204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WAT is the first release</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Interview Preparation</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Personal background questions, motivation, current affairs, follow up questions, and answer review</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Basic text version after WAT</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Lecturette and GTO Preparation</w:t>
            </w:r>
          </w:p>
        </w:tc>
        <w:tc>
          <w:tcPr>
            <w:tcW w:type="dxa" w:w="5216"/>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Timed lecturette topics, planning exercises, group task guidance, and reflection</w:t>
            </w:r>
          </w:p>
        </w:tc>
        <w:tc>
          <w:tcPr>
            <w:tcW w:type="dxa" w:w="204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Later phase</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Progress Centre</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Session history, speed, completion, feedback patterns, and daily plan</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Included with WAT</w:t>
            </w:r>
          </w:p>
        </w:tc>
      </w:tr>
    </w:tbl>
    <w:p>
      <w:pPr>
        <w:spacing w:after="20"/>
      </w:pPr>
    </w:p>
    <w:p>
      <w:pPr>
        <w:pStyle w:val="Heading2"/>
        <w:keepNext/>
        <w:spacing w:before="200" w:after="120"/>
      </w:pPr>
      <w:r>
        <w:rPr>
          <w:rFonts w:ascii="Arial" w:hAnsi="Arial"/>
          <w:b/>
          <w:color w:val="000000"/>
          <w:sz w:val="25"/>
        </w:rPr>
        <w:t>Recommended Main Navigation</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Navigation option</w:t>
            </w:r>
          </w:p>
        </w:tc>
        <w:tc>
          <w:tcPr>
            <w:tcW w:type="dxa" w:w="7257"/>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What the user finds</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Home</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product promise, free diagnostic, explanation, sample report, pricing, and disclaimer</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Practice</w:t>
            </w:r>
          </w:p>
        </w:tc>
        <w:tc>
          <w:tcPr>
            <w:tcW w:type="dxa" w:w="725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WAT at launch, with future test modules shown as coming soon</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Progress</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Saved attempts, trend charts, repeated patterns, and next recommended practice</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Learn</w:t>
            </w:r>
          </w:p>
        </w:tc>
        <w:tc>
          <w:tcPr>
            <w:tcW w:type="dxa" w:w="725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Short guides explaining WAT instructions, common mistakes, and ethical preparation</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Pricing</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Free diagnostic and simple paid access options</w:t>
            </w:r>
          </w:p>
        </w:tc>
      </w:tr>
      <w:tr>
        <w:trPr>
          <w:cantSplit/>
        </w:trPr>
        <w:tc>
          <w:tcPr>
            <w:tcW w:type="dxa" w:w="238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Account</w:t>
            </w:r>
          </w:p>
        </w:tc>
        <w:tc>
          <w:tcPr>
            <w:tcW w:type="dxa" w:w="725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Profile, practice preferences, language, privacy, and sign out</w:t>
            </w:r>
          </w:p>
        </w:tc>
      </w:tr>
    </w:tbl>
    <w:p>
      <w:pPr>
        <w:spacing w:after="20"/>
      </w:pPr>
    </w:p>
    <w:p>
      <w:pPr>
        <w:pStyle w:val="Heading2"/>
        <w:keepNext/>
        <w:spacing w:before="200" w:after="120"/>
      </w:pPr>
      <w:r>
        <w:rPr>
          <w:rFonts w:ascii="Arial" w:hAnsi="Arial"/>
          <w:b/>
          <w:color w:val="000000"/>
          <w:sz w:val="25"/>
        </w:rPr>
        <w:t>Module Roadmap</w:t>
      </w:r>
    </w:p>
    <w:p>
      <w:pPr>
        <w:pStyle w:val="ListNumber"/>
        <w:spacing w:after="80"/>
      </w:pPr>
      <w:r>
        <w:rPr>
          <w:rFonts w:ascii="Arial" w:hAnsi="Arial"/>
          <w:sz w:val="20"/>
        </w:rPr>
        <w:t>Release 1  WAT practice, paper mode, digital mode, fixed feedback rubric, history, and progress.</w:t>
      </w:r>
    </w:p>
    <w:p>
      <w:pPr>
        <w:pStyle w:val="ListNumber"/>
        <w:spacing w:after="80"/>
      </w:pPr>
      <w:r>
        <w:rPr>
          <w:rFonts w:ascii="Arial" w:hAnsi="Arial"/>
          <w:sz w:val="20"/>
        </w:rPr>
        <w:t>Release 2  SRT and TAT using the same practice and reporting system.</w:t>
      </w:r>
    </w:p>
    <w:p>
      <w:pPr>
        <w:pStyle w:val="ListNumber"/>
        <w:spacing w:after="80"/>
      </w:pPr>
      <w:r>
        <w:rPr>
          <w:rFonts w:ascii="Arial" w:hAnsi="Arial"/>
          <w:sz w:val="20"/>
        </w:rPr>
        <w:t>Release 3  Text based interview preparation and lecturette timing.</w:t>
      </w:r>
    </w:p>
    <w:p>
      <w:pPr>
        <w:pStyle w:val="ListNumber"/>
        <w:spacing w:after="80"/>
      </w:pPr>
      <w:r>
        <w:rPr>
          <w:rFonts w:ascii="Arial" w:hAnsi="Arial"/>
          <w:sz w:val="20"/>
        </w:rPr>
        <w:t>Release 4  Initial Test question banks and full mock tests.</w:t>
      </w:r>
    </w:p>
    <w:p>
      <w:pPr>
        <w:pStyle w:val="ListNumber"/>
        <w:spacing w:after="80"/>
      </w:pPr>
      <w:r>
        <w:rPr>
          <w:rFonts w:ascii="Arial" w:hAnsi="Arial"/>
          <w:sz w:val="20"/>
        </w:rPr>
        <w:t>Release 5  Expert reviewed reports, academy tools, and optional voice practice.</w:t>
      </w:r>
    </w:p>
    <w:p>
      <w:r>
        <w:br w:type="page"/>
      </w:r>
    </w:p>
    <w:p>
      <w:pPr>
        <w:pStyle w:val="Heading1"/>
        <w:keepNext/>
        <w:spacing w:before="280" w:after="120"/>
      </w:pPr>
      <w:r>
        <w:rPr>
          <w:rFonts w:ascii="Arial" w:hAnsi="Arial"/>
          <w:b/>
          <w:color w:val="000000"/>
          <w:sz w:val="34"/>
        </w:rPr>
        <w:t>User Journey</w:t>
      </w:r>
    </w:p>
    <w:p>
      <w:pPr>
        <w:spacing w:after="120" w:line="269" w:lineRule="auto"/>
      </w:pPr>
      <w:r>
        <w:rPr>
          <w:rFonts w:ascii="Arial" w:hAnsi="Arial"/>
          <w:sz w:val="20"/>
        </w:rPr>
        <w:t>The product should guide a new visitor from curiosity to a useful result before asking for payment. The candidate sees a short demonstration, completes a small diagnostic, receives a limited report, and then decides whether to create a full practice plan.</w:t>
      </w:r>
    </w:p>
    <w:p>
      <w:pPr>
        <w:spacing w:after="200"/>
        <w:jc w:val="center"/>
      </w:pPr>
      <w:r>
        <w:drawing>
          <wp:inline xmlns:a="http://schemas.openxmlformats.org/drawingml/2006/main" xmlns:pic="http://schemas.openxmlformats.org/drawingml/2006/picture">
            <wp:extent cx="6120000" cy="2802316"/>
            <wp:docPr id="1" name="Picture 1" title="Candidate practice journey" descr="Flowchart showing discovery, account setup, timed WAT practice, response submission, feedback review, progress comparison, a personal improvement drill, and return practice"/>
            <wp:cNvGraphicFramePr>
              <a:graphicFrameLocks noChangeAspect="1"/>
            </wp:cNvGraphicFramePr>
            <a:graphic>
              <a:graphicData uri="http://schemas.openxmlformats.org/drawingml/2006/picture">
                <pic:pic>
                  <pic:nvPicPr>
                    <pic:cNvPr id="0" name="user_journey.png"/>
                    <pic:cNvPicPr/>
                  </pic:nvPicPr>
                  <pic:blipFill>
                    <a:blip r:embed="rId10"/>
                    <a:stretch>
                      <a:fillRect/>
                    </a:stretch>
                  </pic:blipFill>
                  <pic:spPr>
                    <a:xfrm>
                      <a:off x="0" y="0"/>
                      <a:ext cx="6120000" cy="2802316"/>
                    </a:xfrm>
                    <a:prstGeom prst="rect"/>
                  </pic:spPr>
                </pic:pic>
              </a:graphicData>
            </a:graphic>
          </wp:inline>
        </w:drawing>
      </w:r>
    </w:p>
    <w:p>
      <w:pPr>
        <w:pStyle w:val="Heading1"/>
        <w:keepNext/>
        <w:spacing w:before="280" w:after="120"/>
      </w:pPr>
      <w:r>
        <w:rPr>
          <w:rFonts w:ascii="Arial" w:hAnsi="Arial"/>
          <w:b/>
          <w:color w:val="000000"/>
          <w:sz w:val="34"/>
        </w:rPr>
        <w:t>Homepage Design</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55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Homepage section</w:t>
            </w:r>
          </w:p>
        </w:tc>
        <w:tc>
          <w:tcPr>
            <w:tcW w:type="dxa" w:w="7087"/>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Content and action</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Header</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Logo, Practice, Progress, Learn, Pricing, and Sign in</w:t>
            </w:r>
          </w:p>
        </w:tc>
      </w:tr>
      <w:tr>
        <w:trPr>
          <w:cantSplit/>
        </w:trPr>
        <w:tc>
          <w:tcPr>
            <w:tcW w:type="dxa" w:w="255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Opening section</w:t>
            </w:r>
          </w:p>
        </w:tc>
        <w:tc>
          <w:tcPr>
            <w:tcW w:type="dxa" w:w="708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direct promise about timed WAT practice and visible improvement, followed by Start free WAT diagnostic</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Founder problem</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short account of scattered preparation, repeated AI instructions, separate timers, and missing progress history</w:t>
            </w:r>
          </w:p>
        </w:tc>
      </w:tr>
      <w:tr>
        <w:trPr>
          <w:cantSplit/>
        </w:trPr>
        <w:tc>
          <w:tcPr>
            <w:tcW w:type="dxa" w:w="255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How it works</w:t>
            </w:r>
          </w:p>
        </w:tc>
        <w:tc>
          <w:tcPr>
            <w:tcW w:type="dxa" w:w="708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Practise, receive feedback, compare progress, and follow the next drill</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Practice modes</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Typing mode and paper simulation mode explained side by side</w:t>
            </w:r>
          </w:p>
        </w:tc>
      </w:tr>
      <w:tr>
        <w:trPr>
          <w:cantSplit/>
        </w:trPr>
        <w:tc>
          <w:tcPr>
            <w:tcW w:type="dxa" w:w="255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Sample report</w:t>
            </w:r>
          </w:p>
        </w:tc>
        <w:tc>
          <w:tcPr>
            <w:tcW w:type="dxa" w:w="708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real looking WAT sentence report with rating, tone, agency, clarity, realism, and feedback</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What is available</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WAT active; TAT, SRT, Interview, Lecturette, and Initial Test marked as coming later</w:t>
            </w:r>
          </w:p>
        </w:tc>
      </w:tr>
      <w:tr>
        <w:trPr>
          <w:cantSplit/>
        </w:trPr>
        <w:tc>
          <w:tcPr>
            <w:tcW w:type="dxa" w:w="255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Pricing</w:t>
            </w:r>
          </w:p>
        </w:tc>
        <w:tc>
          <w:tcPr>
            <w:tcW w:type="dxa" w:w="708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Free diagnostic and a founding 30 day plan</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Trust and disclaimer</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Independent preparation platform, privacy summary, and no selection guarantee</w:t>
            </w:r>
          </w:p>
        </w:tc>
      </w:tr>
      <w:tr>
        <w:trPr>
          <w:cantSplit/>
        </w:trPr>
        <w:tc>
          <w:tcPr>
            <w:tcW w:type="dxa" w:w="255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Footer</w:t>
            </w:r>
          </w:p>
        </w:tc>
        <w:tc>
          <w:tcPr>
            <w:tcW w:type="dxa" w:w="708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Contact, WhatsApp, terms, privacy, refund policy, and official ISSB reference</w:t>
            </w:r>
          </w:p>
        </w:tc>
      </w:tr>
    </w:tbl>
    <w:p>
      <w:pPr>
        <w:spacing w:after="20"/>
      </w:pPr>
    </w:p>
    <w:p>
      <w:pPr>
        <w:pStyle w:val="Heading1"/>
        <w:keepNext/>
        <w:spacing w:before="280" w:after="120"/>
      </w:pPr>
      <w:r>
        <w:rPr>
          <w:rFonts w:ascii="Arial" w:hAnsi="Arial"/>
          <w:b/>
          <w:color w:val="000000"/>
          <w:sz w:val="34"/>
        </w:rPr>
        <w:t>Member Dashboard</w:t>
      </w:r>
    </w:p>
    <w:p>
      <w:pPr>
        <w:spacing w:after="120" w:line="269" w:lineRule="auto"/>
      </w:pPr>
      <w:r>
        <w:rPr>
          <w:rFonts w:ascii="Arial" w:hAnsi="Arial"/>
          <w:sz w:val="20"/>
        </w:rPr>
        <w:t>After signing in, the candidate should see one clear next action instead of a crowded collection of modules.</w:t>
      </w:r>
    </w:p>
    <w:p>
      <w:pPr>
        <w:pStyle w:val="ListBullet"/>
        <w:spacing w:after="60"/>
        <w:ind w:left="369" w:hanging="170"/>
      </w:pPr>
      <w:r>
        <w:rPr>
          <w:rFonts w:ascii="Arial" w:hAnsi="Arial"/>
          <w:sz w:val="20"/>
        </w:rPr>
        <w:t>Today's practice  Start the recommended WAT session.</w:t>
      </w:r>
    </w:p>
    <w:p>
      <w:pPr>
        <w:pStyle w:val="ListBullet"/>
        <w:spacing w:after="60"/>
        <w:ind w:left="369" w:hanging="170"/>
      </w:pPr>
      <w:r>
        <w:rPr>
          <w:rFonts w:ascii="Arial" w:hAnsi="Arial"/>
          <w:sz w:val="20"/>
        </w:rPr>
        <w:t>Quick practice  Choose 10, 20, 30, or a full word set.</w:t>
      </w:r>
    </w:p>
    <w:p>
      <w:pPr>
        <w:pStyle w:val="ListBullet"/>
        <w:spacing w:after="60"/>
        <w:ind w:left="369" w:hanging="170"/>
      </w:pPr>
      <w:r>
        <w:rPr>
          <w:rFonts w:ascii="Arial" w:hAnsi="Arial"/>
          <w:sz w:val="20"/>
        </w:rPr>
        <w:t>Practice mode  Use typing mode or paper simulation mode.</w:t>
      </w:r>
    </w:p>
    <w:p>
      <w:pPr>
        <w:pStyle w:val="ListBullet"/>
        <w:spacing w:after="60"/>
        <w:ind w:left="369" w:hanging="170"/>
      </w:pPr>
      <w:r>
        <w:rPr>
          <w:rFonts w:ascii="Arial" w:hAnsi="Arial"/>
          <w:sz w:val="20"/>
        </w:rPr>
        <w:t>Recent result  View the last session rating, speed, and incomplete responses.</w:t>
      </w:r>
    </w:p>
    <w:p>
      <w:pPr>
        <w:pStyle w:val="ListBullet"/>
        <w:spacing w:after="60"/>
        <w:ind w:left="369" w:hanging="170"/>
      </w:pPr>
      <w:r>
        <w:rPr>
          <w:rFonts w:ascii="Arial" w:hAnsi="Arial"/>
          <w:sz w:val="20"/>
        </w:rPr>
        <w:t>Progress  Compare current averages with the previous week.</w:t>
      </w:r>
    </w:p>
    <w:p>
      <w:pPr>
        <w:pStyle w:val="ListBullet"/>
        <w:spacing w:after="60"/>
        <w:ind w:left="369" w:hanging="170"/>
      </w:pPr>
      <w:r>
        <w:rPr>
          <w:rFonts w:ascii="Arial" w:hAnsi="Arial"/>
          <w:sz w:val="20"/>
        </w:rPr>
        <w:t>Current focus  Show one improvement target, such as completing clearer action based sentences.</w:t>
      </w:r>
    </w:p>
    <w:p>
      <w:pPr>
        <w:pStyle w:val="ListBullet"/>
        <w:spacing w:after="60"/>
        <w:ind w:left="369" w:hanging="170"/>
      </w:pPr>
      <w:r>
        <w:rPr>
          <w:rFonts w:ascii="Arial" w:hAnsi="Arial"/>
          <w:sz w:val="20"/>
        </w:rPr>
        <w:t>Coming modules  Display later tests without distracting from WAT.</w:t>
      </w:r>
    </w:p>
    <w:p>
      <w:pPr>
        <w:pStyle w:val="Heading1"/>
        <w:keepNext/>
        <w:spacing w:before="280" w:after="120"/>
      </w:pPr>
      <w:r>
        <w:rPr>
          <w:rFonts w:ascii="Arial" w:hAnsi="Arial"/>
          <w:b/>
          <w:color w:val="000000"/>
          <w:sz w:val="34"/>
        </w:rPr>
        <w:t>WAT Product Design</w:t>
      </w:r>
    </w:p>
    <w:p>
      <w:pPr>
        <w:spacing w:after="120" w:line="269" w:lineRule="auto"/>
      </w:pPr>
      <w:r>
        <w:rPr>
          <w:rFonts w:ascii="Arial" w:hAnsi="Arial"/>
          <w:sz w:val="20"/>
        </w:rPr>
        <w:t>WAT is the first complete product. Every screen should reduce setup work and make the candidate's improvement visible. The candidate sets preferences once, and the platform remembers them for future sessions.</w:t>
      </w:r>
    </w:p>
    <w:p>
      <w:pPr>
        <w:pStyle w:val="Heading2"/>
        <w:keepNext/>
        <w:spacing w:before="200" w:after="120"/>
      </w:pPr>
      <w:r>
        <w:rPr>
          <w:rFonts w:ascii="Arial" w:hAnsi="Arial"/>
          <w:b/>
          <w:color w:val="000000"/>
          <w:sz w:val="25"/>
        </w:rPr>
        <w:t>WAT Session Setup</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Choice</w:t>
            </w:r>
          </w:p>
        </w:tc>
        <w:tc>
          <w:tcPr>
            <w:tcW w:type="dxa" w:w="3969"/>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Options</w:t>
            </w:r>
          </w:p>
        </w:tc>
        <w:tc>
          <w:tcPr>
            <w:tcW w:type="dxa" w:w="3402"/>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Default behavior</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Session size</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10, 20, 30, 60, or a custom set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free diagnostic uses a short set</w:t>
            </w:r>
          </w:p>
        </w:tc>
      </w:tr>
      <w:tr>
        <w:trPr>
          <w:cantSplit/>
        </w:trPr>
        <w:tc>
          <w:tcPr>
            <w:tcW w:type="dxa" w:w="226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Practice mode</w:t>
            </w:r>
          </w:p>
        </w:tc>
        <w:tc>
          <w:tcPr>
            <w:tcW w:type="dxa" w:w="396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Typing or paper simulation</w:t>
            </w:r>
          </w:p>
        </w:tc>
        <w:tc>
          <w:tcPr>
            <w:tcW w:type="dxa" w:w="340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previous choice is remembered</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Timer</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Training pace or simulation preset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Exact presets are validated with experienced candidates</w:t>
            </w:r>
          </w:p>
        </w:tc>
      </w:tr>
      <w:tr>
        <w:trPr>
          <w:cantSplit/>
        </w:trPr>
        <w:tc>
          <w:tcPr>
            <w:tcW w:type="dxa" w:w="226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Word difficulty</w:t>
            </w:r>
          </w:p>
        </w:tc>
        <w:tc>
          <w:tcPr>
            <w:tcW w:type="dxa" w:w="396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Foundation, mixed, difficult, or previous weak words</w:t>
            </w:r>
          </w:p>
        </w:tc>
        <w:tc>
          <w:tcPr>
            <w:tcW w:type="dxa" w:w="340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Mixed for normal practice</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Feedback level</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Quick sentence review or full session report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Quick review during free use</w:t>
            </w:r>
          </w:p>
        </w:tc>
      </w:tr>
      <w:tr>
        <w:trPr>
          <w:cantSplit/>
        </w:trPr>
        <w:tc>
          <w:tcPr>
            <w:tcW w:type="dxa" w:w="226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Sound</w:t>
            </w:r>
          </w:p>
        </w:tc>
        <w:tc>
          <w:tcPr>
            <w:tcW w:type="dxa" w:w="396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Silent, soft cue, or spoken instruction</w:t>
            </w:r>
          </w:p>
        </w:tc>
        <w:tc>
          <w:tcPr>
            <w:tcW w:type="dxa" w:w="340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Soft cue</w:t>
            </w:r>
          </w:p>
        </w:tc>
      </w:tr>
    </w:tbl>
    <w:p>
      <w:pPr>
        <w:spacing w:after="20"/>
      </w:pPr>
    </w:p>
    <w:p>
      <w:pPr>
        <w:pStyle w:val="Heading2"/>
        <w:keepNext/>
        <w:spacing w:before="200" w:after="120"/>
      </w:pPr>
      <w:r>
        <w:rPr>
          <w:rFonts w:ascii="Arial" w:hAnsi="Arial"/>
          <w:b/>
          <w:color w:val="000000"/>
          <w:sz w:val="25"/>
        </w:rPr>
        <w:t>Typing Mode</w:t>
      </w:r>
    </w:p>
    <w:p>
      <w:pPr>
        <w:pStyle w:val="ListBullet"/>
        <w:spacing w:after="60"/>
        <w:ind w:left="369" w:hanging="170"/>
      </w:pPr>
      <w:r>
        <w:rPr>
          <w:rFonts w:ascii="Arial" w:hAnsi="Arial"/>
          <w:sz w:val="20"/>
        </w:rPr>
        <w:t>The word appears clearly in the centre of the screen with a visible countdown and progress number.</w:t>
      </w:r>
    </w:p>
    <w:p>
      <w:pPr>
        <w:pStyle w:val="ListBullet"/>
        <w:spacing w:after="60"/>
        <w:ind w:left="369" w:hanging="170"/>
      </w:pPr>
      <w:r>
        <w:rPr>
          <w:rFonts w:ascii="Arial" w:hAnsi="Arial"/>
          <w:sz w:val="20"/>
        </w:rPr>
        <w:t>The candidate types one sentence. The answer saves automatically before the next word appears.</w:t>
      </w:r>
    </w:p>
    <w:p>
      <w:pPr>
        <w:pStyle w:val="ListBullet"/>
        <w:spacing w:after="60"/>
        <w:ind w:left="369" w:hanging="170"/>
      </w:pPr>
      <w:r>
        <w:rPr>
          <w:rFonts w:ascii="Arial" w:hAnsi="Arial"/>
          <w:sz w:val="20"/>
        </w:rPr>
        <w:t>The next word appears automatically when time ends. Simulation mode does not allow pausing.</w:t>
      </w:r>
    </w:p>
    <w:p>
      <w:pPr>
        <w:pStyle w:val="ListBullet"/>
        <w:spacing w:after="60"/>
        <w:ind w:left="369" w:hanging="170"/>
      </w:pPr>
      <w:r>
        <w:rPr>
          <w:rFonts w:ascii="Arial" w:hAnsi="Arial"/>
          <w:sz w:val="20"/>
        </w:rPr>
        <w:t>Training mode can allow pause, retry, and explanation after the session.</w:t>
      </w:r>
    </w:p>
    <w:p>
      <w:pPr>
        <w:pStyle w:val="ListBullet"/>
        <w:spacing w:after="60"/>
        <w:ind w:left="369" w:hanging="170"/>
      </w:pPr>
      <w:r>
        <w:rPr>
          <w:rFonts w:ascii="Arial" w:hAnsi="Arial"/>
          <w:sz w:val="20"/>
        </w:rPr>
        <w:t>If the candidate leaves the page accidentally, completed answers remain saved.</w:t>
      </w:r>
    </w:p>
    <w:p>
      <w:pPr>
        <w:pStyle w:val="Heading2"/>
        <w:keepNext/>
        <w:spacing w:before="200" w:after="120"/>
      </w:pPr>
      <w:r>
        <w:rPr>
          <w:rFonts w:ascii="Arial" w:hAnsi="Arial"/>
          <w:b/>
          <w:color w:val="000000"/>
          <w:sz w:val="25"/>
        </w:rPr>
        <w:t>Paper Simulation Mode</w:t>
      </w:r>
    </w:p>
    <w:p>
      <w:pPr>
        <w:pStyle w:val="ListBullet"/>
        <w:spacing w:after="60"/>
        <w:ind w:left="369" w:hanging="170"/>
      </w:pPr>
      <w:r>
        <w:rPr>
          <w:rFonts w:ascii="Arial" w:hAnsi="Arial"/>
          <w:sz w:val="20"/>
        </w:rPr>
        <w:t>The platform presents words and timing while the candidate writes in a notebook or on a printed sheet.</w:t>
      </w:r>
    </w:p>
    <w:p>
      <w:pPr>
        <w:pStyle w:val="ListBullet"/>
        <w:spacing w:after="60"/>
        <w:ind w:left="369" w:hanging="170"/>
      </w:pPr>
      <w:r>
        <w:rPr>
          <w:rFonts w:ascii="Arial" w:hAnsi="Arial"/>
          <w:sz w:val="20"/>
        </w:rPr>
        <w:t>The candidate does not need to touch the keyboard between words.</w:t>
      </w:r>
    </w:p>
    <w:p>
      <w:pPr>
        <w:pStyle w:val="ListBullet"/>
        <w:spacing w:after="60"/>
        <w:ind w:left="369" w:hanging="170"/>
      </w:pPr>
      <w:r>
        <w:rPr>
          <w:rFonts w:ascii="Arial" w:hAnsi="Arial"/>
          <w:sz w:val="20"/>
        </w:rPr>
        <w:t>At the end, the candidate records the number completed and photographs the written pages.</w:t>
      </w:r>
    </w:p>
    <w:p>
      <w:pPr>
        <w:pStyle w:val="ListBullet"/>
        <w:spacing w:after="60"/>
        <w:ind w:left="369" w:hanging="170"/>
      </w:pPr>
      <w:r>
        <w:rPr>
          <w:rFonts w:ascii="Arial" w:hAnsi="Arial"/>
          <w:sz w:val="20"/>
        </w:rPr>
        <w:t>The first beta can ask the candidate to confirm or correct any text read from the photograph before feedback is generated.</w:t>
      </w:r>
    </w:p>
    <w:p>
      <w:pPr>
        <w:pStyle w:val="ListBullet"/>
        <w:spacing w:after="60"/>
        <w:ind w:left="369" w:hanging="170"/>
      </w:pPr>
      <w:r>
        <w:rPr>
          <w:rFonts w:ascii="Arial" w:hAnsi="Arial"/>
          <w:sz w:val="20"/>
        </w:rPr>
        <w:t>The session report separates handwriting completion speed from sentence quality.</w:t>
      </w:r>
    </w:p>
    <w:p>
      <w:pPr>
        <w:pStyle w:val="Heading2"/>
        <w:keepNext/>
        <w:spacing w:before="200" w:after="120"/>
      </w:pPr>
      <w:r>
        <w:rPr>
          <w:rFonts w:ascii="Arial" w:hAnsi="Arial"/>
          <w:b/>
          <w:color w:val="000000"/>
          <w:sz w:val="25"/>
        </w:rPr>
        <w:t>WAT Practice Screen</w:t>
      </w:r>
    </w:p>
    <w:p>
      <w:pPr>
        <w:spacing w:after="120" w:line="269" w:lineRule="auto"/>
      </w:pPr>
      <w:r>
        <w:rPr>
          <w:rFonts w:ascii="Arial" w:hAnsi="Arial"/>
          <w:sz w:val="20"/>
        </w:rPr>
        <w:t>A clear exit control ends the session after a warning and preserves completed work.</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Screen element</w:t>
            </w:r>
          </w:p>
        </w:tc>
        <w:tc>
          <w:tcPr>
            <w:tcW w:type="dxa" w:w="6803"/>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Purpose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Word</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current stimulus, displayed with high contrast</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Countdown</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Shows remaining response time without requiring a separate clock</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Progress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Shows the current word number and total session size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Answer field</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Appears only in typing mode and saves continuously</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Paper mode indicator</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Confirms that the user should write in the notebook</w:t>
            </w:r>
          </w:p>
        </w:tc>
      </w:tr>
    </w:tbl>
    <w:p>
      <w:pPr>
        <w:spacing w:after="20"/>
      </w:pPr>
    </w:p>
    <w:p>
      <w:pPr>
        <w:pStyle w:val="Heading1"/>
        <w:keepNext/>
        <w:spacing w:before="280" w:after="120"/>
      </w:pPr>
      <w:r>
        <w:rPr>
          <w:rFonts w:ascii="Arial" w:hAnsi="Arial"/>
          <w:b/>
          <w:color w:val="000000"/>
          <w:sz w:val="34"/>
        </w:rPr>
        <w:t>WAT Feedback Method</w:t>
      </w:r>
    </w:p>
    <w:p>
      <w:pPr>
        <w:spacing w:after="120" w:line="269" w:lineRule="auto"/>
      </w:pPr>
      <w:r>
        <w:rPr>
          <w:rFonts w:ascii="Arial" w:hAnsi="Arial"/>
          <w:sz w:val="20"/>
        </w:rPr>
        <w:t>Each response receives a practice rating and descriptive labels. The rating helps the candidate compare sessions; it is not a psychological diagnosis or recommendation prediction. Tone is displayed as positive, neutral, or negative, but tone alone does not determine quality.</w:t>
      </w:r>
    </w:p>
    <w:p>
      <w:pPr>
        <w:pStyle w:val="Heading2"/>
        <w:keepNext/>
        <w:spacing w:before="200" w:after="120"/>
      </w:pPr>
      <w:r>
        <w:rPr>
          <w:rFonts w:ascii="Arial" w:hAnsi="Arial"/>
          <w:b/>
          <w:color w:val="000000"/>
          <w:sz w:val="25"/>
        </w:rPr>
        <w:t>Sentence Rating</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928"/>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Dimension</w:t>
            </w:r>
          </w:p>
        </w:tc>
        <w:tc>
          <w:tcPr>
            <w:tcW w:type="dxa" w:w="5669"/>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What the system checks</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Suggested weight</w:t>
            </w:r>
          </w:p>
        </w:tc>
      </w:tr>
      <w:tr>
        <w:trPr>
          <w:cantSplit/>
        </w:trP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Relevance</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sentence meaningfully responds to the given word</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percent</w:t>
            </w:r>
          </w:p>
        </w:tc>
      </w:tr>
      <w:tr>
        <w:trPr>
          <w:cantSplit/>
        </w:trPr>
        <w:tc>
          <w:tcPr>
            <w:tcW w:type="dxa" w:w="192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Clarity</w:t>
            </w:r>
          </w:p>
        </w:tc>
        <w:tc>
          <w:tcPr>
            <w:tcW w:type="dxa" w:w="566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sentence is understandable and sufficiently complete</w:t>
            </w:r>
          </w:p>
        </w:tc>
        <w:tc>
          <w:tcPr>
            <w:tcW w:type="dxa" w:w="204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percent</w:t>
            </w:r>
          </w:p>
        </w:tc>
      </w:tr>
      <w:tr>
        <w:trPr>
          <w:cantSplit/>
        </w:trP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Agency</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response shows a person or group taking meaningful action where appropriate</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percent</w:t>
            </w:r>
          </w:p>
        </w:tc>
      </w:tr>
      <w:tr>
        <w:trPr>
          <w:cantSplit/>
        </w:trPr>
        <w:tc>
          <w:tcPr>
            <w:tcW w:type="dxa" w:w="192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Realism</w:t>
            </w:r>
          </w:p>
        </w:tc>
        <w:tc>
          <w:tcPr>
            <w:tcW w:type="dxa" w:w="566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idea is practical rather than exaggerated or impossible</w:t>
            </w:r>
          </w:p>
        </w:tc>
        <w:tc>
          <w:tcPr>
            <w:tcW w:type="dxa" w:w="2041"/>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percent</w:t>
            </w:r>
          </w:p>
        </w:tc>
      </w:tr>
      <w:tr>
        <w:trPr>
          <w:cantSplit/>
        </w:trP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Naturalness</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response sounds personal and specific rather than memorised or slogan like</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percent</w:t>
            </w:r>
          </w:p>
        </w:tc>
      </w:tr>
    </w:tbl>
    <w:p>
      <w:pPr>
        <w:spacing w:after="20"/>
      </w:pPr>
    </w:p>
    <w:p>
      <w:pPr>
        <w:spacing w:after="120" w:line="269" w:lineRule="auto"/>
      </w:pPr>
      <w:r>
        <w:rPr>
          <w:rFonts w:ascii="Arial" w:hAnsi="Arial"/>
          <w:sz w:val="20"/>
        </w:rPr>
        <w:t>Tone is reported separately because a sentence can contain difficult subject matter while showing a calm and constructive response. A forced positive slogan should not automatically receive a high rating.</w:t>
      </w:r>
    </w:p>
    <w:p>
      <w:pPr>
        <w:pStyle w:val="Heading2"/>
        <w:keepNext/>
        <w:spacing w:before="200" w:after="120"/>
      </w:pPr>
      <w:r>
        <w:rPr>
          <w:rFonts w:ascii="Arial" w:hAnsi="Arial"/>
          <w:b/>
          <w:color w:val="000000"/>
          <w:sz w:val="25"/>
        </w:rPr>
        <w:t>Sentence Report Format</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Report field</w:t>
            </w:r>
          </w:p>
        </w:tc>
        <w:tc>
          <w:tcPr>
            <w:tcW w:type="dxa" w:w="6803"/>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Example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Word</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Failure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 response</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Failure teaches a person to work harder</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Practice rating</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7.5 out of 10</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Tone</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Positive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Approach</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Constructive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Agency</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Moderate</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Clarity</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Clear</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Realism</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Practical</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Naturalness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Somewhat general</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Feedback</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response is clear and constructive. A more specific action would make it feel less general</w:t>
            </w:r>
          </w:p>
        </w:tc>
      </w:tr>
    </w:tbl>
    <w:p>
      <w:pPr>
        <w:spacing w:after="20"/>
      </w:pPr>
    </w:p>
    <w:p>
      <w:pPr>
        <w:pStyle w:val="Heading2"/>
        <w:keepNext/>
        <w:spacing w:before="200" w:after="120"/>
      </w:pPr>
      <w:r>
        <w:rPr>
          <w:rFonts w:ascii="Arial" w:hAnsi="Arial"/>
          <w:b/>
          <w:color w:val="000000"/>
          <w:sz w:val="25"/>
        </w:rPr>
        <w:t>Session Report</w:t>
      </w:r>
    </w:p>
    <w:p>
      <w:pPr>
        <w:pStyle w:val="ListBullet"/>
        <w:spacing w:after="60"/>
        <w:ind w:left="369" w:hanging="170"/>
      </w:pPr>
      <w:r>
        <w:rPr>
          <w:rFonts w:ascii="Arial" w:hAnsi="Arial"/>
          <w:sz w:val="20"/>
        </w:rPr>
        <w:t>Words completed, completion percentage, and average response time</w:t>
      </w:r>
    </w:p>
    <w:p>
      <w:pPr>
        <w:pStyle w:val="ListBullet"/>
        <w:spacing w:after="60"/>
        <w:ind w:left="369" w:hanging="170"/>
      </w:pPr>
      <w:r>
        <w:rPr>
          <w:rFonts w:ascii="Arial" w:hAnsi="Arial"/>
          <w:sz w:val="20"/>
        </w:rPr>
        <w:t>Average sentence rating and change from previous sessions</w:t>
      </w:r>
    </w:p>
    <w:p>
      <w:pPr>
        <w:pStyle w:val="ListBullet"/>
        <w:spacing w:after="60"/>
        <w:ind w:left="369" w:hanging="170"/>
      </w:pPr>
      <w:r>
        <w:rPr>
          <w:rFonts w:ascii="Arial" w:hAnsi="Arial"/>
          <w:sz w:val="20"/>
        </w:rPr>
        <w:t>Positive, neutral, and negative tone distribution alongside constructive, descriptive, and avoidant approaches</w:t>
      </w:r>
    </w:p>
    <w:p>
      <w:pPr>
        <w:pStyle w:val="ListBullet"/>
        <w:spacing w:after="60"/>
        <w:ind w:left="369" w:hanging="170"/>
      </w:pPr>
      <w:r>
        <w:rPr>
          <w:rFonts w:ascii="Arial" w:hAnsi="Arial"/>
          <w:sz w:val="20"/>
        </w:rPr>
        <w:t>Active and passive response patterns</w:t>
      </w:r>
    </w:p>
    <w:p>
      <w:pPr>
        <w:pStyle w:val="ListBullet"/>
        <w:spacing w:after="60"/>
        <w:ind w:left="369" w:hanging="170"/>
      </w:pPr>
      <w:r>
        <w:rPr>
          <w:rFonts w:ascii="Arial" w:hAnsi="Arial"/>
          <w:sz w:val="20"/>
        </w:rPr>
        <w:t>Repeated phrases and memorised sounding structures</w:t>
      </w:r>
    </w:p>
    <w:p>
      <w:pPr>
        <w:pStyle w:val="ListBullet"/>
        <w:spacing w:after="60"/>
        <w:ind w:left="369" w:hanging="170"/>
      </w:pPr>
      <w:r>
        <w:rPr>
          <w:rFonts w:ascii="Arial" w:hAnsi="Arial"/>
          <w:sz w:val="20"/>
        </w:rPr>
        <w:t>Strongest area, improvement area, and next recommended drill</w:t>
      </w:r>
    </w:p>
    <w:p>
      <w:pPr>
        <w:pStyle w:val="Heading2"/>
        <w:keepNext/>
        <w:spacing w:before="200" w:after="120"/>
      </w:pPr>
      <w:r>
        <w:rPr>
          <w:rFonts w:ascii="Arial" w:hAnsi="Arial"/>
          <w:b/>
          <w:color w:val="000000"/>
          <w:sz w:val="25"/>
        </w:rPr>
        <w:t>Persistent Coach Memory</w:t>
      </w:r>
    </w:p>
    <w:p>
      <w:pPr>
        <w:spacing w:after="120" w:line="269" w:lineRule="auto"/>
      </w:pPr>
      <w:r>
        <w:rPr>
          <w:rFonts w:ascii="Arial" w:hAnsi="Arial"/>
          <w:sz w:val="20"/>
        </w:rPr>
        <w:t>The platform stores compact summaries of previous sessions so the candidate does not repeat instructions. It remembers the selected practice mode, recurring weak areas, recent speed, repeated phrases, and current improvement target. The same feedback rubric is applied across sessions. The candidate can view or delete stored history from account settings.</w:t>
      </w:r>
    </w:p>
    <w:p>
      <w:pPr>
        <w:pStyle w:val="Heading1"/>
        <w:keepNext/>
        <w:spacing w:before="280" w:after="120"/>
      </w:pPr>
      <w:r>
        <w:rPr>
          <w:rFonts w:ascii="Arial" w:hAnsi="Arial"/>
          <w:b/>
          <w:color w:val="000000"/>
          <w:sz w:val="34"/>
        </w:rPr>
        <w:t>Business Model</w:t>
      </w:r>
    </w:p>
    <w:p>
      <w:pPr>
        <w:spacing w:after="120" w:line="269" w:lineRule="auto"/>
      </w:pPr>
      <w:r>
        <w:rPr>
          <w:rFonts w:ascii="Arial" w:hAnsi="Arial"/>
          <w:sz w:val="20"/>
        </w:rPr>
        <w:t>The first business objective is to prove that candidates return for repeated WAT practice and value progress feedback. Revenue should begin with a simple 30 day access plan rather than a complicated subscription system.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154"/>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Plan</w:t>
            </w:r>
          </w:p>
        </w:tc>
        <w:tc>
          <w:tcPr>
            <w:tcW w:type="dxa" w:w="4876"/>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Included</w:t>
            </w:r>
          </w:p>
        </w:tc>
        <w:tc>
          <w:tcPr>
            <w:tcW w:type="dxa" w:w="2608"/>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Purpose</w:t>
            </w:r>
          </w:p>
        </w:tc>
      </w:tr>
      <w:tr>
        <w:trPr>
          <w:cantSplit/>
        </w:trP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Free diagnostic</w:t>
            </w:r>
          </w:p>
        </w:tc>
        <w:tc>
          <w:tcPr>
            <w:tcW w:type="dxa" w:w="4876"/>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short WAT session, basic timing results, and a limited sample report</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Demonstrate the product before payment</w:t>
            </w:r>
          </w:p>
        </w:tc>
      </w:tr>
      <w:tr>
        <w:trPr>
          <w:cantSplit/>
        </w:trPr>
        <w:tc>
          <w:tcPr>
            <w:tcW w:type="dxa" w:w="2154"/>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Founding access</w:t>
            </w:r>
          </w:p>
        </w:tc>
        <w:tc>
          <w:tcPr>
            <w:tcW w:type="dxa" w:w="4876"/>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Full WAT practice, saved history, paper mode, progress tracking, and a controlled number of detailed reports</w:t>
            </w:r>
          </w:p>
        </w:tc>
        <w:tc>
          <w:tcPr>
            <w:tcW w:type="dxa" w:w="260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Early validation at an accessible price</w:t>
            </w:r>
          </w:p>
        </w:tc>
      </w:tr>
      <w:tr>
        <w:trPr>
          <w:cantSplit/>
        </w:trP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Standard access</w:t>
            </w:r>
          </w:p>
        </w:tc>
        <w:tc>
          <w:tcPr>
            <w:tcW w:type="dxa" w:w="4876"/>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Expanded practice sets, complete reporting, and future test modules as released</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Main paid offer after the beta</w:t>
            </w:r>
          </w:p>
        </w:tc>
      </w:tr>
      <w:tr>
        <w:trPr>
          <w:cantSplit/>
        </w:trPr>
        <w:tc>
          <w:tcPr>
            <w:tcW w:type="dxa" w:w="2154"/>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Expert reviewed report</w:t>
            </w:r>
          </w:p>
        </w:tc>
        <w:tc>
          <w:tcPr>
            <w:tcW w:type="dxa" w:w="4876"/>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Optional human review by a qualified professional when available</w:t>
            </w:r>
          </w:p>
        </w:tc>
        <w:tc>
          <w:tcPr>
            <w:tcW w:type="dxa" w:w="2608"/>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Later premium service</w:t>
            </w:r>
          </w:p>
        </w:tc>
      </w:tr>
    </w:tbl>
    <w:p>
      <w:pPr>
        <w:spacing w:after="20"/>
      </w:pPr>
    </w:p>
    <w:p>
      <w:pPr>
        <w:spacing w:after="120" w:line="269" w:lineRule="auto"/>
      </w:pPr>
      <w:r>
        <w:rPr>
          <w:rFonts w:ascii="Arial" w:hAnsi="Arial"/>
          <w:sz w:val="20"/>
        </w:rPr>
        <w:t>A reasonable early price test is Rs 999 to Rs 1,499 for 30 days. The final price should be based on interviews and actual conversion rather than competitor prices alone. Basic timed practice can remain generous, while detailed AI reports have a fair daily allowance to control cost.</w:t>
      </w:r>
    </w:p>
    <w:p>
      <w:pPr>
        <w:pStyle w:val="Heading1"/>
        <w:keepNext/>
        <w:spacing w:before="280" w:after="120"/>
      </w:pPr>
      <w:r>
        <w:rPr>
          <w:rFonts w:ascii="Arial" w:hAnsi="Arial"/>
          <w:b/>
          <w:color w:val="000000"/>
          <w:sz w:val="34"/>
        </w:rPr>
        <w:t>Market Entry</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Channel</w:t>
            </w:r>
          </w:p>
        </w:tc>
        <w:tc>
          <w:tcPr>
            <w:tcW w:type="dxa" w:w="6803"/>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First campaign</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YouTube Shorts and TikTok</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Demonstrate a timed WAT word and the resulting report</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WhatsApp groups</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Share a free daily WAT challenge and diagnostic link</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Facebook groups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Publish practical explanations and invite beta candidates</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Universities and colleges</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Recruit student ambassadors and candidate testers</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Recommended candidates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Ask reviewers to test realism and explain the value of timed practice</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Search content</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Publish clear guides for WAT, TAT, SRT, interviews, and Initial Test preparation</w:t>
            </w:r>
          </w:p>
        </w:tc>
      </w:tr>
    </w:tbl>
    <w:p>
      <w:pPr>
        <w:spacing w:after="20"/>
      </w:pPr>
    </w:p>
    <w:p>
      <w:pPr>
        <w:spacing w:after="120" w:line="269" w:lineRule="auto"/>
      </w:pPr>
      <w:r>
        <w:rPr>
          <w:rFonts w:ascii="Arial" w:hAnsi="Arial"/>
          <w:sz w:val="20"/>
        </w:rPr>
        <w:t>The launch message should focus on the candidate problem: one organised place to practise, receive consistent feedback, and see improvement. Marketing should avoid pass guarantees, fake testimonials, claims of official questions, and claims that the platform can determine whether a candidate will be recommended.</w:t>
      </w:r>
    </w:p>
    <w:p>
      <w:pPr>
        <w:pStyle w:val="Heading1"/>
        <w:keepNext/>
        <w:spacing w:before="280" w:after="120"/>
      </w:pPr>
      <w:r>
        <w:rPr>
          <w:rFonts w:ascii="Arial" w:hAnsi="Arial"/>
          <w:b/>
          <w:color w:val="000000"/>
          <w:sz w:val="34"/>
        </w:rPr>
        <w:t>Measures of Early Success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Measure</w:t>
            </w:r>
          </w:p>
        </w:tc>
        <w:tc>
          <w:tcPr>
            <w:tcW w:type="dxa" w:w="6803"/>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Early signal</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Diagnostic completion</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Most visitors who start should finish the short session</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Account creation</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should create an account after seeing their sample result</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Return practice</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 meaningful share of candidates should return within seven days</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Paid conversion</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The first target is 20 to 30 paying candidates</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Feedback usefulness</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Candidates should identify at least one clear action from the report</w:t>
            </w:r>
          </w:p>
        </w:tc>
      </w:tr>
      <w:tr>
        <w:trPr>
          <w:cantSplit/>
        </w:trPr>
        <w:tc>
          <w:tcPr>
            <w:tcW w:type="dxa" w:w="2835"/>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Candidate trust</w:t>
            </w:r>
          </w:p>
        </w:tc>
        <w:tc>
          <w:tcPr>
            <w:tcW w:type="dxa" w:w="6803"/>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Users should understand that ratings are practice feedback, not official ISSB judgments</w:t>
            </w:r>
          </w:p>
        </w:tc>
      </w:tr>
    </w:tbl>
    <w:p>
      <w:pPr>
        <w:spacing w:after="20"/>
      </w:pPr>
    </w:p>
    <w:p>
      <w:pPr>
        <w:pStyle w:val="Heading1"/>
        <w:keepNext/>
        <w:spacing w:before="280" w:after="120"/>
      </w:pPr>
      <w:r>
        <w:rPr>
          <w:rFonts w:ascii="Arial" w:hAnsi="Arial"/>
          <w:b/>
          <w:color w:val="000000"/>
          <w:sz w:val="34"/>
        </w:rPr>
        <w:t>First 25 Days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247"/>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Days</w:t>
            </w:r>
          </w:p>
        </w:tc>
        <w:tc>
          <w:tcPr>
            <w:tcW w:type="dxa" w:w="4252"/>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Product work</w:t>
            </w:r>
          </w:p>
        </w:tc>
        <w:tc>
          <w:tcPr>
            <w:tcW w:type="dxa" w:w="4139"/>
            <w:shd w:fill="16324F"/>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jc w:val="center"/>
            </w:pPr>
            <w:r>
              <w:rPr>
                <w:rFonts w:ascii="Arial" w:hAnsi="Arial"/>
                <w:b/>
                <w:color w:val="FFFFFF"/>
                <w:sz w:val="17"/>
              </w:rPr>
              <w:t>Founder work</w:t>
            </w:r>
          </w:p>
        </w:tc>
      </w:tr>
      <w:tr>
        <w:trPr>
          <w:cantSplit/>
        </w:trP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1 to 3</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Finalise the product brief, homepage structure, and WAT prototype</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Interview candidates and prepare a small original WAT set</w:t>
            </w:r>
          </w:p>
        </w:tc>
      </w:tr>
      <w:tr>
        <w:trPr>
          <w:cantSplit/>
        </w:trPr>
        <w:tc>
          <w:tcPr>
            <w:tcW w:type="dxa" w:w="124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4 to 6</w:t>
            </w:r>
          </w:p>
        </w:tc>
        <w:tc>
          <w:tcPr>
            <w:tcW w:type="dxa" w:w="425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Define the timer, paper mode, scoring rubric, and data structure</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Review the practice flow with a recommended candidate</w:t>
            </w:r>
          </w:p>
        </w:tc>
      </w:tr>
      <w:tr>
        <w:trPr>
          <w:cantSplit/>
        </w:trP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7 to 12</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Build accounts, dashboard, WAT sessions, autosave, and history</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Test every daily build on phone and laptop</w:t>
            </w:r>
          </w:p>
        </w:tc>
      </w:tr>
      <w:tr>
        <w:trPr>
          <w:cantSplit/>
        </w:trPr>
        <w:tc>
          <w:tcPr>
            <w:tcW w:type="dxa" w:w="124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13 to 16</w:t>
            </w:r>
          </w:p>
        </w:tc>
        <w:tc>
          <w:tcPr>
            <w:tcW w:type="dxa" w:w="425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Add sentence reports, session reports, and progress comparisons</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Review feedback quality and identify incorrect ratings</w:t>
            </w:r>
          </w:p>
        </w:tc>
      </w:tr>
      <w:tr>
        <w:trPr>
          <w:cantSplit/>
        </w:trP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17 to 19</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Add manual payment access, privacy, terms, and administration tools</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Prepare JazzCash or Easypaisa process and support messages</w:t>
            </w:r>
          </w:p>
        </w:tc>
      </w:tr>
      <w:tr>
        <w:trPr>
          <w:cantSplit/>
        </w:trPr>
        <w:tc>
          <w:tcPr>
            <w:tcW w:type="dxa" w:w="1247"/>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20 to 22</w:t>
            </w:r>
          </w:p>
        </w:tc>
        <w:tc>
          <w:tcPr>
            <w:tcW w:type="dxa" w:w="4252"/>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Run a private beta and fix serious problems</w:t>
            </w:r>
          </w:p>
        </w:tc>
        <w:tc>
          <w:tcPr>
            <w:tcW w:type="dxa" w:w="4139"/>
            <w:shd w:fill="F5F8FB"/>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Recruit and observe 10 to 20 beta candidates</w:t>
            </w:r>
          </w:p>
        </w:tc>
      </w:tr>
      <w:tr>
        <w:trPr>
          <w:cantSplit/>
        </w:trP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23 to 25</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Deploy the paid founding release and monitor usage</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75" w:type="dxa"/>
              <w:start w:w="110" w:type="dxa"/>
              <w:bottom w:w="75" w:type="dxa"/>
              <w:end w:w="110" w:type="dxa"/>
            </w:tcMar>
            <w:vAlign w:val="center"/>
          </w:tcPr>
          <w:p>
            <w:pPr>
              <w:spacing w:after="0"/>
            </w:pPr>
            <w:r>
              <w:rPr>
                <w:rFonts w:ascii="Arial" w:hAnsi="Arial"/>
                <w:color w:val="222222"/>
                <w:sz w:val="17"/>
              </w:rPr>
              <w:t>Publish launch demonstrations and personally support early users</w:t>
            </w:r>
          </w:p>
        </w:tc>
      </w:tr>
    </w:tbl>
    <w:p>
      <w:pPr>
        <w:spacing w:after="20"/>
      </w:pPr>
    </w:p>
    <w:p>
      <w:pPr>
        <w:pStyle w:val="Heading1"/>
        <w:keepNext/>
        <w:spacing w:before="280" w:after="120"/>
      </w:pPr>
      <w:r>
        <w:rPr>
          <w:rFonts w:ascii="Arial" w:hAnsi="Arial"/>
          <w:b/>
          <w:color w:val="000000"/>
          <w:sz w:val="34"/>
        </w:rPr>
        <w:t>Product Boundaries</w:t>
      </w:r>
    </w:p>
    <w:p>
      <w:pPr>
        <w:pStyle w:val="ListBullet"/>
        <w:spacing w:after="60"/>
        <w:ind w:left="369" w:hanging="170"/>
      </w:pPr>
      <w:r>
        <w:rPr>
          <w:rFonts w:ascii="Arial" w:hAnsi="Arial"/>
          <w:sz w:val="20"/>
        </w:rPr>
        <w:t>The platform is independent and is not affiliated with or endorsed by ISSB or the Pakistan Armed Forces.</w:t>
      </w:r>
    </w:p>
    <w:p>
      <w:pPr>
        <w:pStyle w:val="ListBullet"/>
        <w:spacing w:after="60"/>
        <w:ind w:left="369" w:hanging="170"/>
      </w:pPr>
      <w:r>
        <w:rPr>
          <w:rFonts w:ascii="Arial" w:hAnsi="Arial"/>
          <w:sz w:val="20"/>
        </w:rPr>
        <w:t>Ratings describe practice responses and observable patterns. They do not diagnose personality or predict selection.</w:t>
      </w:r>
    </w:p>
    <w:p>
      <w:pPr>
        <w:pStyle w:val="ListBullet"/>
        <w:spacing w:after="60"/>
        <w:ind w:left="369" w:hanging="170"/>
      </w:pPr>
      <w:r>
        <w:rPr>
          <w:rFonts w:ascii="Arial" w:hAnsi="Arial"/>
          <w:sz w:val="20"/>
        </w:rPr>
        <w:t>Exact public test formats and timing may change. Simulation settings must be presented as practice presets and reviewed regularly.</w:t>
      </w:r>
    </w:p>
    <w:p>
      <w:pPr>
        <w:pStyle w:val="ListBullet"/>
        <w:spacing w:after="60"/>
        <w:ind w:left="369" w:hanging="170"/>
      </w:pPr>
      <w:r>
        <w:rPr>
          <w:rFonts w:ascii="Arial" w:hAnsi="Arial"/>
          <w:sz w:val="20"/>
        </w:rPr>
        <w:t>Candidate responses may contain sensitive personal information. We must minimise collection, secure stored data, and provide deletion controls.</w:t>
      </w:r>
    </w:p>
    <w:p>
      <w:pPr>
        <w:pStyle w:val="ListBullet"/>
        <w:spacing w:after="60"/>
        <w:ind w:left="369" w:hanging="170"/>
      </w:pPr>
      <w:r>
        <w:rPr>
          <w:rFonts w:ascii="Arial" w:hAnsi="Arial"/>
          <w:sz w:val="20"/>
        </w:rPr>
        <w:t>Copied academy notes, books, or copyrighted images cannot be sold as our own content. We will use original or properly licensed material.</w:t>
      </w:r>
    </w:p>
    <w:p>
      <w:pPr>
        <w:pStyle w:val="ListBullet"/>
        <w:spacing w:after="60"/>
        <w:ind w:left="369" w:hanging="170"/>
      </w:pPr>
      <w:r>
        <w:rPr>
          <w:rFonts w:ascii="Arial" w:hAnsi="Arial"/>
          <w:sz w:val="20"/>
        </w:rPr>
        <w:t>The first release will not include live group discussion, a native mobile application, selection guarantees, or a complete digital academy.</w:t>
      </w:r>
    </w:p>
    <w:p>
      <w:pPr>
        <w:pStyle w:val="Heading1"/>
        <w:keepNext/>
        <w:spacing w:before="280" w:after="120"/>
      </w:pPr>
      <w:r>
        <w:rPr>
          <w:rFonts w:ascii="Arial" w:hAnsi="Arial"/>
          <w:b/>
          <w:color w:val="000000"/>
          <w:sz w:val="34"/>
        </w:rPr>
        <w:t>Decisions for the Next Build Phase</w:t>
      </w:r>
    </w:p>
    <w:p>
      <w:pPr>
        <w:spacing w:after="80"/>
        <w:ind w:left="425" w:hanging="312"/>
      </w:pPr>
      <w:r>
        <w:rPr>
          <w:rFonts w:ascii="Arial" w:hAnsi="Arial"/>
          <w:sz w:val="20"/>
        </w:rPr>
        <w:t>1.  Choose a working product name that does not imply official ISSB affiliation.</w:t>
      </w:r>
    </w:p>
    <w:p>
      <w:pPr>
        <w:spacing w:after="80"/>
        <w:ind w:left="425" w:hanging="312"/>
      </w:pPr>
      <w:r>
        <w:rPr>
          <w:rFonts w:ascii="Arial" w:hAnsi="Arial"/>
          <w:sz w:val="20"/>
        </w:rPr>
        <w:t>2.  Confirm WAT timing presets with the founder and recommended candidate reviewer.</w:t>
      </w:r>
    </w:p>
    <w:p>
      <w:pPr>
        <w:spacing w:after="80"/>
        <w:ind w:left="425" w:hanging="312"/>
      </w:pPr>
      <w:r>
        <w:rPr>
          <w:rFonts w:ascii="Arial" w:hAnsi="Arial"/>
          <w:sz w:val="20"/>
        </w:rPr>
        <w:t>3.  Select the first 100 to 200 original WAT words and categorise their difficulty.</w:t>
      </w:r>
    </w:p>
    <w:p>
      <w:pPr>
        <w:spacing w:after="80"/>
        <w:ind w:left="425" w:hanging="312"/>
      </w:pPr>
      <w:r>
        <w:rPr>
          <w:rFonts w:ascii="Arial" w:hAnsi="Arial"/>
          <w:sz w:val="20"/>
        </w:rPr>
        <w:t>4.  Define the exact free diagnostic size and founding price test.</w:t>
      </w:r>
    </w:p>
    <w:p>
      <w:pPr>
        <w:spacing w:after="80"/>
        <w:ind w:left="425" w:hanging="312"/>
      </w:pPr>
      <w:r>
        <w:rPr>
          <w:rFonts w:ascii="Arial" w:hAnsi="Arial"/>
          <w:sz w:val="20"/>
        </w:rPr>
        <w:t>5.  Create the first homepage design and clickable WAT practice prototype.</w:t>
      </w:r>
    </w:p>
    <w:p>
      <w:pPr>
        <w:pStyle w:val="Heading1"/>
        <w:keepNext/>
        <w:spacing w:before="280" w:after="120"/>
      </w:pPr>
      <w:r>
        <w:rPr>
          <w:rFonts w:ascii="Arial" w:hAnsi="Arial"/>
          <w:b/>
          <w:color w:val="000000"/>
          <w:sz w:val="34"/>
        </w:rPr>
        <w:t>Sources</w:t>
      </w:r>
    </w:p>
    <w:p>
      <w:pPr>
        <w:pStyle w:val="ListBullet"/>
        <w:spacing w:after="60"/>
      </w:pPr>
      <w:hyperlink r:id="rId11">
        <w:r>
          <w:rPr>
            <w:color w:val="16324F"/>
            <w:u w:val="single"/>
          </w:rPr>
          <w:t>Official ISSB selection system</w:t>
        </w:r>
      </w:hyperlink>
    </w:p>
    <w:p>
      <w:pPr>
        <w:pStyle w:val="ListBullet"/>
        <w:spacing w:after="60"/>
      </w:pPr>
      <w:hyperlink r:id="rId12">
        <w:r>
          <w:rPr>
            <w:color w:val="16324F"/>
            <w:u w:val="single"/>
          </w:rPr>
          <w:t>Official ISSB psychologist dimension</w:t>
        </w:r>
      </w:hyperlink>
    </w:p>
    <w:p>
      <w:pPr>
        <w:pStyle w:val="ListBullet"/>
        <w:spacing w:after="60"/>
      </w:pPr>
      <w:hyperlink r:id="rId13">
        <w:r>
          <w:rPr>
            <w:color w:val="16324F"/>
            <w:u w:val="single"/>
          </w:rPr>
          <w:t>EXAMITICS preparation platform</w:t>
        </w:r>
      </w:hyperlink>
    </w:p>
    <w:p>
      <w:pPr>
        <w:pStyle w:val="ListBullet"/>
        <w:spacing w:after="60"/>
      </w:pPr>
      <w:hyperlink r:id="rId14">
        <w:r>
          <w:rPr>
            <w:color w:val="16324F"/>
            <w:u w:val="single"/>
          </w:rPr>
          <w:t>ISSB Prep platform and pricing</w:t>
        </w:r>
      </w:hyperlink>
    </w:p>
    <w:p>
      <w:pPr>
        <w:pStyle w:val="ListBullet"/>
        <w:spacing w:after="60"/>
      </w:pPr>
      <w:hyperlink r:id="rId15">
        <w:r>
          <w:rPr>
            <w:color w:val="16324F"/>
            <w:u w:val="single"/>
          </w:rPr>
          <w:t>Nearpeer ISSB courses</w:t>
        </w:r>
      </w:hyperlink>
    </w:p>
    <w:p>
      <w:pPr>
        <w:spacing w:after="120" w:line="269" w:lineRule="auto"/>
      </w:pPr>
      <w:r>
        <w:rPr>
          <w:rFonts w:ascii="Arial" w:hAnsi="Arial"/>
          <w:sz w:val="20"/>
        </w:rPr>
        <w:t>This brief defines the proposed product and launch scope as of 25 September 2026. It should be updated after candidate interviews, content review, and the first private beta.</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050"/>
      <w:gridCol w:w="1701"/>
    </w:tblGrid>
    <w:tr>
      <w:tc>
        <w:tcPr>
          <w:tcW w:type="dxa" w:w="4876"/>
          <w:tcMar>
            <w:top w:w="30" w:type="dxa"/>
            <w:start w:w="10" w:type="dxa"/>
            <w:bottom w:w="0" w:type="dxa"/>
            <w:end w:w="10" w:type="dxa"/>
          </w:tcMar>
        </w:tcPr>
        <w:p>
          <w:pPr>
            <w:jc w:val="left"/>
          </w:pPr>
          <w:r>
            <w:rPr>
              <w:rFonts w:ascii="Arial" w:hAnsi="Arial"/>
              <w:color w:val="4A4A4A"/>
              <w:sz w:val="16"/>
            </w:rPr>
            <w:t>ISSB Preparation Platform Product Brief</w:t>
          </w:r>
        </w:p>
      </w:tc>
      <w:tc>
        <w:tcPr>
          <w:tcW w:type="dxa" w:w="4876"/>
          <w:tcMar>
            <w:top w:w="30" w:type="dxa"/>
            <w:start w:w="10" w:type="dxa"/>
            <w:bottom w:w="0" w:type="dxa"/>
            <w:end w:w="10" w:type="dxa"/>
          </w:tcMar>
        </w:tcPr>
        <w:p>
          <w:pPr>
            <w:jc w:val="right"/>
          </w:pPr>
          <w:r>
            <w:rPr>
              <w:rFonts w:ascii="Arial" w:hAnsi="Arial"/>
              <w:color w:val="4A4A4A"/>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issb.gov.pk/selection-system" TargetMode="External"/><Relationship Id="rId12" Type="http://schemas.openxmlformats.org/officeDocument/2006/relationships/hyperlink" Target="https://issb.gov.pk/psychologist-dimension" TargetMode="External"/><Relationship Id="rId13" Type="http://schemas.openxmlformats.org/officeDocument/2006/relationships/hyperlink" Target="https://www.examitics.com/" TargetMode="External"/><Relationship Id="rId14" Type="http://schemas.openxmlformats.org/officeDocument/2006/relationships/hyperlink" Target="https://prepareissb.com/" TargetMode="External"/><Relationship Id="rId15" Type="http://schemas.openxmlformats.org/officeDocument/2006/relationships/hyperlink" Target="https://nearpeer.org/is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ISSB Preparation Platform Product Brief</dc:title>
  <dc:subject>WAT First Release</dc:subject>
  <dc:creator>Product Founding Team</dc:creator>
  <cp:keywords>ISSB, WAT, product brief, Pakistan, preparation platform</cp:keywords>
  <dc:description>generated by python-docx</dc:description>
  <cp:lastModifiedBy/>
  <cp:revision>1</cp:revision>
  <dcterms:created xsi:type="dcterms:W3CDTF">2013-12-23T23:15:00Z</dcterms:created>
  <dcterms:modified xsi:type="dcterms:W3CDTF">2013-12-23T23:15:00Z</dcterms:modified>
  <cp:category/>
</cp:coreProperties>
</file>