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008C95"/>
          <w:sz w:val="18"/>
        </w:rPr>
        <w:t>SOURCE-BASED WORKING DOCUMENT</w:t>
      </w:r>
    </w:p>
    <w:p>
      <w:pPr>
        <w:pStyle w:val="Title"/>
        <w:spacing w:after="0"/>
      </w:pPr>
      <w:r>
        <w:t>DEB Transformation Lab 2026</w:t>
      </w:r>
    </w:p>
    <w:p>
      <w:pPr>
        <w:spacing w:before="40" w:after="200"/>
      </w:pPr>
      <w:r>
        <w:rPr>
          <w:rFonts w:ascii="Aptos" w:hAnsi="Aptos"/>
          <w:b/>
          <w:color w:val="174A6E"/>
          <w:sz w:val="32"/>
        </w:rPr>
        <w:t>Meeting Recap &amp; Digital Monitoring Web Application System Brief</w:t>
      </w:r>
    </w:p>
    <w:p>
      <w:pPr>
        <w:spacing w:after="200"/>
      </w:pPr>
      <w:r>
        <w:rPr>
          <w:rFonts w:ascii="Aptos" w:hAnsi="Aptos"/>
          <w:color w:val="6B7280"/>
          <w:sz w:val="21"/>
        </w:rPr>
        <w:t>Updated using the formal DEB Transformation Lab 2026 Term of Reference and the 8 September system-requirements meeting.</w:t>
      </w:r>
    </w:p>
    <w:p>
      <w:pPr>
        <w:jc w:val="center"/>
      </w:pPr>
      <w:r>
        <w:drawing>
          <wp:inline xmlns:a="http://schemas.openxmlformats.org/drawingml/2006/main" xmlns:pic="http://schemas.openxmlformats.org/drawingml/2006/picture">
            <wp:extent cx="4846320" cy="3503364"/>
            <wp:docPr id="1" name="Picture 1"/>
            <wp:cNvGraphicFramePr>
              <a:graphicFrameLocks noChangeAspect="1"/>
            </wp:cNvGraphicFramePr>
            <a:graphic>
              <a:graphicData uri="http://schemas.openxmlformats.org/drawingml/2006/picture">
                <pic:pic>
                  <pic:nvPicPr>
                    <pic:cNvPr id="0" name="deb_cover_visual.png"/>
                    <pic:cNvPicPr/>
                  </pic:nvPicPr>
                  <pic:blipFill>
                    <a:blip r:embed="rId11"/>
                    <a:stretch>
                      <a:fillRect/>
                    </a:stretch>
                  </pic:blipFill>
                  <pic:spPr>
                    <a:xfrm>
                      <a:off x="0" y="0"/>
                      <a:ext cx="4846320" cy="3503364"/>
                    </a:xfrm>
                    <a:prstGeom prst="rect"/>
                  </pic:spPr>
                </pic:pic>
              </a:graphicData>
            </a:graphic>
          </wp:inline>
        </w:drawing>
      </w:r>
    </w:p>
    <w:tbl>
      <w:tblPr>
        <w:tblW w:type="auto" w:w="0"/>
        <w:jc w:val="center"/>
        <w:tblLook w:firstColumn="1" w:firstRow="1" w:lastColumn="0" w:lastRow="0" w:noHBand="0" w:noVBand="1" w:val="04A0"/>
      </w:tblPr>
      <w:tblGrid>
        <w:gridCol w:w="2376"/>
        <w:gridCol w:w="7704"/>
      </w:tblGrid>
      <w:tr>
        <w:tc>
          <w:tcPr>
            <w:tcW w:type="dxa" w:w="5083"/>
            <w:shd w:fill="174A6E"/>
            <w:tcBorders>
              <w:top w:val="single" w:sz="4" w:color="D8DEE5"/>
              <w:left w:val="single" w:sz="4" w:color="D8DEE5"/>
              <w:bottom w:val="single" w:sz="4" w:color="D8DEE5"/>
              <w:right w:val="single" w:sz="4" w:color="D8DEE5"/>
            </w:tcBorders>
          </w:tcPr>
          <w:p>
            <w:r>
              <w:rPr>
                <w:rFonts w:ascii="Aptos" w:hAnsi="Aptos"/>
                <w:b/>
                <w:color w:val="FFFFFF"/>
                <w:sz w:val="17"/>
              </w:rPr>
              <w:t>Formal program source</w:t>
            </w:r>
          </w:p>
        </w:tc>
        <w:tc>
          <w:tcPr>
            <w:tcW w:type="dxa" w:w="5083"/>
            <w:tcBorders>
              <w:top w:val="single" w:sz="4" w:color="D8DEE5"/>
              <w:left w:val="single" w:sz="4" w:color="D8DEE5"/>
              <w:bottom w:val="single" w:sz="4" w:color="D8DEE5"/>
              <w:right w:val="single" w:sz="4" w:color="D8DEE5"/>
            </w:tcBorders>
          </w:tcPr>
          <w:p>
            <w:r>
              <w:rPr>
                <w:rFonts w:ascii="Aptos" w:hAnsi="Aptos"/>
                <w:color w:val="1F2937"/>
                <w:sz w:val="17"/>
              </w:rPr>
              <w:t>Term of Reference — Kick-Off DEB Transformation Lab 2026, dated 7 September 2026</w:t>
            </w:r>
          </w:p>
        </w:tc>
      </w:tr>
      <w:tr>
        <w:tc>
          <w:tcPr>
            <w:tcW w:type="dxa" w:w="5083"/>
            <w:shd w:fill="174A6E"/>
            <w:tcBorders>
              <w:top w:val="single" w:sz="4" w:color="D8DEE5"/>
              <w:left w:val="single" w:sz="4" w:color="D8DEE5"/>
              <w:bottom w:val="single" w:sz="4" w:color="D8DEE5"/>
              <w:right w:val="single" w:sz="4" w:color="D8DEE5"/>
            </w:tcBorders>
          </w:tcPr>
          <w:p>
            <w:r>
              <w:rPr>
                <w:rFonts w:ascii="Aptos" w:hAnsi="Aptos"/>
                <w:b/>
                <w:color w:val="FFFFFF"/>
                <w:sz w:val="17"/>
              </w:rPr>
              <w:t>System-requirements source</w:t>
            </w:r>
          </w:p>
        </w:tc>
        <w:tc>
          <w:tcPr>
            <w:tcW w:type="dxa" w:w="5083"/>
            <w:tcBorders>
              <w:top w:val="single" w:sz="4" w:color="D8DEE5"/>
              <w:left w:val="single" w:sz="4" w:color="D8DEE5"/>
              <w:bottom w:val="single" w:sz="4" w:color="D8DEE5"/>
              <w:right w:val="single" w:sz="4" w:color="D8DEE5"/>
            </w:tcBorders>
          </w:tcPr>
          <w:p>
            <w:r>
              <w:rPr>
                <w:rFonts w:ascii="Aptos" w:hAnsi="Aptos"/>
                <w:color w:val="1F2937"/>
                <w:sz w:val="17"/>
              </w:rPr>
              <w:t>Meeting recording/transcript dated 8 September 2026</w:t>
            </w:r>
          </w:p>
        </w:tc>
      </w:tr>
      <w:tr>
        <w:tc>
          <w:tcPr>
            <w:tcW w:type="dxa" w:w="5083"/>
            <w:shd w:fill="174A6E"/>
            <w:tcBorders>
              <w:top w:val="single" w:sz="4" w:color="D8DEE5"/>
              <w:left w:val="single" w:sz="4" w:color="D8DEE5"/>
              <w:bottom w:val="single" w:sz="4" w:color="D8DEE5"/>
              <w:right w:val="single" w:sz="4" w:color="D8DEE5"/>
            </w:tcBorders>
          </w:tcPr>
          <w:p>
            <w:r>
              <w:rPr>
                <w:rFonts w:ascii="Aptos" w:hAnsi="Aptos"/>
                <w:b/>
                <w:color w:val="FFFFFF"/>
                <w:sz w:val="17"/>
              </w:rPr>
              <w:t>Document status</w:t>
            </w:r>
          </w:p>
        </w:tc>
        <w:tc>
          <w:tcPr>
            <w:tcW w:type="dxa" w:w="5083"/>
            <w:tcBorders>
              <w:top w:val="single" w:sz="4" w:color="D8DEE5"/>
              <w:left w:val="single" w:sz="4" w:color="D8DEE5"/>
              <w:bottom w:val="single" w:sz="4" w:color="D8DEE5"/>
              <w:right w:val="single" w:sz="4" w:color="D8DEE5"/>
            </w:tcBorders>
          </w:tcPr>
          <w:p>
            <w:r>
              <w:rPr>
                <w:rFonts w:ascii="Aptos" w:hAnsi="Aptos"/>
                <w:color w:val="1F2937"/>
                <w:sz w:val="17"/>
              </w:rPr>
              <w:t>Working brief for stakeholder review — not a signed specification or delivery contract</w:t>
            </w:r>
          </w:p>
        </w:tc>
      </w:tr>
    </w:tbl>
    <w:p>
      <w:pPr>
        <w:spacing w:before="240"/>
        <w:jc w:val="center"/>
      </w:pPr>
      <w:r>
        <w:rPr>
          <w:rFonts w:ascii="Aptos" w:hAnsi="Aptos"/>
          <w:b/>
          <w:color w:val="6B7280"/>
          <w:sz w:val="18"/>
        </w:rPr>
        <w:t>Prepared 8 September 2026  •  Version 2.0</w:t>
      </w:r>
    </w:p>
    <w:p>
      <w:pPr>
        <w:sectPr>
          <w:headerReference w:type="default" r:id="rId9"/>
          <w:footerReference w:type="default" r:id="rId10"/>
          <w:pgSz w:w="12240" w:h="15840"/>
          <w:pgMar w:top="936" w:right="1037" w:bottom="936" w:left="1037" w:header="360" w:footer="360" w:gutter="0"/>
          <w:cols w:space="720"/>
          <w:docGrid w:linePitch="360"/>
        </w:sectPr>
      </w:pPr>
    </w:p>
    <w:p>
      <w:pPr>
        <w:spacing w:before="40" w:after="40"/>
      </w:pPr>
      <w:r>
        <w:rPr>
          <w:rFonts w:ascii="Aptos" w:hAnsi="Aptos"/>
          <w:b/>
          <w:color w:val="008C95"/>
          <w:sz w:val="17"/>
        </w:rPr>
        <w:t>OVERVIEW</w:t>
      </w:r>
    </w:p>
    <w:p>
      <w:pPr>
        <w:pStyle w:val="Heading1"/>
        <w:keepNext/>
      </w:pPr>
      <w:r>
        <w:t>Executive summary &amp; source hierarchy</w:t>
      </w:r>
    </w:p>
    <w:p>
      <w:pPr>
        <w:pStyle w:val="BodyText"/>
      </w:pPr>
      <w:r>
        <w:rPr>
          <w:rFonts w:ascii="Aptos" w:hAnsi="Aptos"/>
          <w:color w:val="1F2937"/>
          <w:sz w:val="20"/>
        </w:rPr>
        <w:t>The DEB Transformation Lab 2026 is a structured acceleration program for 40 partner universities implementing DEB Sobat Bumi. The formal Term of Reference frames the program around standardized baseline performance, stronger technical capacity in Social Mapping, Theory of Change, and Indeks Kepuasan Masyarakat (IKM), bottleneck identification, one-on-one mentoring, and proposal development through December 2026.</w:t>
      </w:r>
    </w:p>
    <w:p>
      <w:pPr>
        <w:pStyle w:val="BodyText"/>
      </w:pPr>
      <w:r>
        <w:rPr>
          <w:rFonts w:ascii="Aptos" w:hAnsi="Aptos"/>
          <w:color w:val="1F2937"/>
          <w:sz w:val="20"/>
        </w:rPr>
        <w:t>The 8 September meeting translated that program need into a proposed digital monitoring application. The requested system centers on three core modules—DEB indicator monitoring, proposal version history, and shared Q&amp;A—with a separate data-feedback/ticket workflow. Partner universities maintain their own monitoring data and proposal revisions; PF administrators need cross-campus oversight, feedback, searchable Q&amp;A, and downloadable recaps.</w:t>
      </w:r>
    </w:p>
    <w:p>
      <w:pPr>
        <w:pStyle w:val="BodyText"/>
      </w:pPr>
      <w:r>
        <w:rPr>
          <w:rFonts w:ascii="Aptos" w:hAnsi="Aptos"/>
          <w:color w:val="1F2937"/>
          <w:sz w:val="20"/>
        </w:rPr>
        <w:t>The formal ToR resolves several facts that were uncertain in the first version of this brief: the program year is 2026; the Kick-Off is on 10 September 2026; the FGD is on 11 September 2026; 40 universities participate; and the formal DEB framework includes the Putih, Biru, Hijau, and Siap Exit levels. It also provides the program roadmap and the 12 Survive / 24 Recoverable / 4 Pivot grouping.</w:t>
      </w:r>
    </w:p>
    <w:tbl>
      <w:tblPr>
        <w:tblW w:type="auto" w:w="0"/>
        <w:jc w:val="center"/>
        <w:tblLook w:firstColumn="1" w:firstRow="1" w:lastColumn="0" w:lastRow="0" w:noHBand="0" w:noVBand="1" w:val="04A0"/>
      </w:tblPr>
      <w:tblGrid>
        <w:gridCol w:w="10166"/>
      </w:tblGrid>
      <w:tr>
        <w:tc>
          <w:tcPr>
            <w:tcW w:type="dxa" w:w="10166"/>
            <w:shd w:fill="EAF6EF"/>
            <w:tcBorders>
              <w:top w:val="single" w:sz="8" w:color="2D8A57"/>
              <w:left w:val="single" w:sz="8" w:color="2D8A57"/>
              <w:bottom w:val="single" w:sz="4" w:color="D8DEE5"/>
              <w:right w:val="single" w:sz="4" w:color="D8DEE5"/>
            </w:tcBorders>
          </w:tcPr>
          <w:p>
            <w:pPr>
              <w:spacing w:after="60"/>
            </w:pPr>
            <w:r>
              <w:rPr>
                <w:rFonts w:ascii="Aptos" w:hAnsi="Aptos"/>
                <w:b/>
                <w:color w:val="2D8A57"/>
                <w:sz w:val="20"/>
              </w:rPr>
              <w:t xml:space="preserve">Interpretation rule  </w:t>
            </w:r>
            <w:r>
              <w:rPr>
                <w:rFonts w:ascii="Aptos" w:hAnsi="Aptos"/>
                <w:color w:val="1F2937"/>
                <w:sz w:val="18"/>
              </w:rPr>
              <w:t>Use the formal ToR as the primary authority for program identity, dates, participant coverage, DEB categories, indicator framework, and roadmap. Use the meeting transcript as the primary authority for digital-system behavior and delivery discussions. Where implementation detail is absent from both, keep it open rather than inventing a requirement.</w:t>
            </w:r>
          </w:p>
        </w:tc>
      </w:tr>
    </w:tbl>
    <w:p>
      <w:pPr>
        <w:spacing w:after="0"/>
      </w:pPr>
    </w:p>
    <w:tbl>
      <w:tblPr>
        <w:tblStyle w:val="TableGrid"/>
        <w:tblW w:type="auto" w:w="0"/>
        <w:tblLook w:firstColumn="1" w:firstRow="1" w:lastColumn="0" w:lastRow="0" w:noHBand="0" w:noVBand="1" w:val="04A0"/>
      </w:tblPr>
      <w:tblGrid>
        <w:gridCol w:w="2232"/>
        <w:gridCol w:w="7848"/>
      </w:tblGrid>
      <w:tr>
        <w:tc>
          <w:tcPr>
            <w:tcW w:type="dxa" w:w="5083"/>
            <w:shd w:fill="174A6E"/>
            <w:tcBorders>
              <w:top w:val="single" w:sz="4" w:color="D8DEE5"/>
              <w:left w:val="single" w:sz="4" w:color="D8DEE5"/>
              <w:bottom w:val="single" w:sz="4" w:color="D8DEE5"/>
              <w:right w:val="single" w:sz="4" w:color="D8DEE5"/>
            </w:tcBorders>
          </w:tcPr>
          <w:p>
            <w:r>
              <w:rPr>
                <w:rFonts w:ascii="Aptos" w:hAnsi="Aptos"/>
                <w:b/>
                <w:color w:val="FFFFFF"/>
                <w:sz w:val="17"/>
              </w:rPr>
              <w:t>Formal ToR</w:t>
            </w:r>
          </w:p>
        </w:tc>
        <w:tc>
          <w:tcPr>
            <w:tcW w:type="dxa" w:w="5083"/>
            <w:tcBorders>
              <w:top w:val="single" w:sz="4" w:color="D8DEE5"/>
              <w:left w:val="single" w:sz="4" w:color="D8DEE5"/>
              <w:bottom w:val="single" w:sz="4" w:color="D8DEE5"/>
              <w:right w:val="single" w:sz="4" w:color="D8DEE5"/>
            </w:tcBorders>
          </w:tcPr>
          <w:p>
            <w:r>
              <w:rPr>
                <w:rFonts w:ascii="Aptos" w:hAnsi="Aptos"/>
                <w:color w:val="1F2937"/>
                <w:sz w:val="17"/>
              </w:rPr>
              <w:t>Program facts formally documented in the 7 September 2026 Term of Reference.</w:t>
            </w:r>
          </w:p>
        </w:tc>
      </w:tr>
      <w:tr>
        <w:tc>
          <w:tcPr>
            <w:tcW w:type="dxa" w:w="5083"/>
            <w:shd w:fill="2D8A57"/>
            <w:tcBorders>
              <w:top w:val="single" w:sz="4" w:color="D8DEE5"/>
              <w:left w:val="single" w:sz="4" w:color="D8DEE5"/>
              <w:bottom w:val="single" w:sz="4" w:color="D8DEE5"/>
              <w:right w:val="single" w:sz="4" w:color="D8DEE5"/>
            </w:tcBorders>
          </w:tcPr>
          <w:p>
            <w:r>
              <w:rPr>
                <w:rFonts w:ascii="Aptos" w:hAnsi="Aptos"/>
                <w:b/>
                <w:color w:val="FFFFFF"/>
                <w:sz w:val="17"/>
              </w:rPr>
              <w:t>Agreed direction</w:t>
            </w:r>
          </w:p>
        </w:tc>
        <w:tc>
          <w:tcPr>
            <w:tcW w:type="dxa" w:w="5083"/>
            <w:tcBorders>
              <w:top w:val="single" w:sz="4" w:color="D8DEE5"/>
              <w:left w:val="single" w:sz="4" w:color="D8DEE5"/>
              <w:bottom w:val="single" w:sz="4" w:color="D8DEE5"/>
              <w:right w:val="single" w:sz="4" w:color="D8DEE5"/>
            </w:tcBorders>
          </w:tcPr>
          <w:p>
            <w:r>
              <w:rPr>
                <w:rFonts w:ascii="Aptos" w:hAnsi="Aptos"/>
                <w:color w:val="1F2937"/>
                <w:sz w:val="17"/>
              </w:rPr>
              <w:t>A clear choice or convergence in the 8 September meeting; not contractual sign-off.</w:t>
            </w:r>
          </w:p>
        </w:tc>
      </w:tr>
      <w:tr>
        <w:tc>
          <w:tcPr>
            <w:tcW w:type="dxa" w:w="5083"/>
            <w:shd w:fill="1F78B4"/>
            <w:tcBorders>
              <w:top w:val="single" w:sz="4" w:color="D8DEE5"/>
              <w:left w:val="single" w:sz="4" w:color="D8DEE5"/>
              <w:bottom w:val="single" w:sz="4" w:color="D8DEE5"/>
              <w:right w:val="single" w:sz="4" w:color="D8DEE5"/>
            </w:tcBorders>
          </w:tcPr>
          <w:p>
            <w:r>
              <w:rPr>
                <w:rFonts w:ascii="Aptos" w:hAnsi="Aptos"/>
                <w:b/>
                <w:color w:val="FFFFFF"/>
                <w:sz w:val="17"/>
              </w:rPr>
              <w:t>Requested</w:t>
            </w:r>
          </w:p>
        </w:tc>
        <w:tc>
          <w:tcPr>
            <w:tcW w:type="dxa" w:w="5083"/>
            <w:tcBorders>
              <w:top w:val="single" w:sz="4" w:color="D8DEE5"/>
              <w:left w:val="single" w:sz="4" w:color="D8DEE5"/>
              <w:bottom w:val="single" w:sz="4" w:color="D8DEE5"/>
              <w:right w:val="single" w:sz="4" w:color="D8DEE5"/>
            </w:tcBorders>
          </w:tcPr>
          <w:p>
            <w:r>
              <w:rPr>
                <w:rFonts w:ascii="Aptos" w:hAnsi="Aptos"/>
                <w:color w:val="1F2937"/>
                <w:sz w:val="17"/>
              </w:rPr>
              <w:t>A stated need or target whose implementation details remain incomplete.</w:t>
            </w:r>
          </w:p>
        </w:tc>
      </w:tr>
      <w:tr>
        <w:tc>
          <w:tcPr>
            <w:tcW w:type="dxa" w:w="5083"/>
            <w:shd w:fill="D97706"/>
            <w:tcBorders>
              <w:top w:val="single" w:sz="4" w:color="D8DEE5"/>
              <w:left w:val="single" w:sz="4" w:color="D8DEE5"/>
              <w:bottom w:val="single" w:sz="4" w:color="D8DEE5"/>
              <w:right w:val="single" w:sz="4" w:color="D8DEE5"/>
            </w:tcBorders>
          </w:tcPr>
          <w:p>
            <w:r>
              <w:rPr>
                <w:rFonts w:ascii="Aptos" w:hAnsi="Aptos"/>
                <w:b/>
                <w:color w:val="FFFFFF"/>
                <w:sz w:val="17"/>
              </w:rPr>
              <w:t>Suggested / conditional</w:t>
            </w:r>
          </w:p>
        </w:tc>
        <w:tc>
          <w:tcPr>
            <w:tcW w:type="dxa" w:w="5083"/>
            <w:tcBorders>
              <w:top w:val="single" w:sz="4" w:color="D8DEE5"/>
              <w:left w:val="single" w:sz="4" w:color="D8DEE5"/>
              <w:bottom w:val="single" w:sz="4" w:color="D8DEE5"/>
              <w:right w:val="single" w:sz="4" w:color="D8DEE5"/>
            </w:tcBorders>
          </w:tcPr>
          <w:p>
            <w:r>
              <w:rPr>
                <w:rFonts w:ascii="Aptos" w:hAnsi="Aptos"/>
                <w:color w:val="1F2937"/>
                <w:sz w:val="17"/>
              </w:rPr>
              <w:t>Optional or conditional feature raised in discussion.</w:t>
            </w:r>
          </w:p>
        </w:tc>
      </w:tr>
      <w:tr>
        <w:tc>
          <w:tcPr>
            <w:tcW w:type="dxa" w:w="5083"/>
            <w:shd w:fill="7C3AED"/>
            <w:tcBorders>
              <w:top w:val="single" w:sz="4" w:color="D8DEE5"/>
              <w:left w:val="single" w:sz="4" w:color="D8DEE5"/>
              <w:bottom w:val="single" w:sz="4" w:color="D8DEE5"/>
              <w:right w:val="single" w:sz="4" w:color="D8DEE5"/>
            </w:tcBorders>
          </w:tcPr>
          <w:p>
            <w:r>
              <w:rPr>
                <w:rFonts w:ascii="Aptos" w:hAnsi="Aptos"/>
                <w:b/>
                <w:color w:val="FFFFFF"/>
                <w:sz w:val="17"/>
              </w:rPr>
              <w:t>Derived / open</w:t>
            </w:r>
          </w:p>
        </w:tc>
        <w:tc>
          <w:tcPr>
            <w:tcW w:type="dxa" w:w="5083"/>
            <w:tcBorders>
              <w:top w:val="single" w:sz="4" w:color="D8DEE5"/>
              <w:left w:val="single" w:sz="4" w:color="D8DEE5"/>
              <w:bottom w:val="single" w:sz="4" w:color="D8DEE5"/>
              <w:right w:val="single" w:sz="4" w:color="D8DEE5"/>
            </w:tcBorders>
          </w:tcPr>
          <w:p>
            <w:r>
              <w:rPr>
                <w:rFonts w:ascii="Aptos" w:hAnsi="Aptos"/>
                <w:color w:val="1F2937"/>
                <w:sz w:val="17"/>
              </w:rPr>
              <w:t>Editorial interpretation, proposed system structure, or unresolved decision.</w:t>
            </w:r>
          </w:p>
        </w:tc>
      </w:tr>
    </w:tbl>
    <w:p>
      <w:pPr>
        <w:pStyle w:val="SourceNote"/>
      </w:pPr>
      <w:r>
        <w:t>Sources: Formal ToR, pp. 1–7; meeting transcript and prior source register T01–T16.</w:t>
      </w:r>
    </w:p>
    <w:p>
      <w:pPr>
        <w:pStyle w:val="Heading2"/>
        <w:keepNext/>
      </w:pPr>
      <w:r>
        <w:t>Document map</w:t>
      </w:r>
    </w:p>
    <w:tbl>
      <w:tblPr>
        <w:tblW w:type="auto" w:w="0"/>
        <w:jc w:val="center"/>
        <w:tblLayout w:type="fixed"/>
        <w:tblLook w:firstColumn="1" w:firstRow="1" w:lastColumn="0" w:lastRow="0" w:noHBand="0" w:noVBand="1" w:val="04A0"/>
      </w:tblPr>
      <w:tblGrid>
        <w:gridCol w:w="1944"/>
        <w:gridCol w:w="3816"/>
        <w:gridCol w:w="4320"/>
      </w:tblGrid>
      <w:tr>
        <w:trPr>
          <w:tblHeader w:val="true"/>
        </w:trPr>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7"/>
              </w:rPr>
              <w:t>Part</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7"/>
              </w:rPr>
              <w:t>Coverage</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7"/>
              </w:rPr>
              <w:t>Purpose</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I • Formal program context</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Official DEB identity, objectives, participants, outputs, indicator framework, roadmap and event schedule.</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Establish the authoritative business/program baseline.</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II • Meeting recap</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System need, decisions, proposal versions, indicator monitoring, Q&amp;A, feedback, reporting, timing and risks.</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Record what was discussed and how strongly it was agreed.</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III • Web application system brief</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Roles, FR01–FR15, workflows, screen inventory, data relationships, acceptance checks.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Translate the discussion into a reviewable system definition.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Appendix</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40-campus roster, source register, unresolved decisions.</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Provide traceability and implementation inputs.</w:t>
            </w:r>
          </w:p>
        </w:tc>
      </w:tr>
    </w:tbl>
    <w:p>
      <w:r>
        <w:br w:type="page"/>
      </w:r>
    </w:p>
    <w:p>
      <w:pPr>
        <w:spacing w:before="40" w:after="40"/>
      </w:pPr>
      <w:r>
        <w:rPr>
          <w:rFonts w:ascii="Aptos" w:hAnsi="Aptos"/>
          <w:b/>
          <w:color w:val="008C95"/>
          <w:sz w:val="17"/>
        </w:rPr>
        <w:t>PART I • FORMAL PROGRAM CONTEXT</w:t>
      </w:r>
    </w:p>
    <w:p>
      <w:pPr>
        <w:pStyle w:val="Heading1"/>
        <w:keepNext/>
      </w:pPr>
      <w:r>
        <w:t>1. Official DEB Transformation Lab 2026 context</w:t>
      </w:r>
    </w:p>
    <w:p>
      <w:pPr>
        <w:pStyle w:val="Heading2"/>
        <w:keepNext/>
      </w:pPr>
      <w:r>
        <w:t>1.1 Program identity and purpose</w:t>
      </w:r>
    </w:p>
    <w:p>
      <w:pPr>
        <w:pStyle w:val="BodyText"/>
      </w:pPr>
      <w:r>
        <w:rPr>
          <w:rFonts w:ascii="Aptos" w:hAnsi="Aptos"/>
          <w:color w:val="1F2937"/>
          <w:sz w:val="20"/>
        </w:rPr>
        <w:t>The formal program name is “DEB Transformation Lab 2026,” with the Kick-Off material carrying the theme “Sinergi Kinerja dan Kapasitas Program DEB Sobat Bumi.” The ToR is dated 7 September 2026 and positions the program as an acceleration effort toward measurable sustainability and community-empowerment outcomes.</w:t>
      </w:r>
    </w:p>
    <w:p>
      <w:pPr>
        <w:pStyle w:val="BodyText"/>
      </w:pPr>
      <w:r>
        <w:rPr>
          <w:rFonts w:ascii="Aptos" w:hAnsi="Aptos"/>
          <w:color w:val="1F2937"/>
          <w:sz w:val="20"/>
        </w:rPr>
        <w:t>The program background emphasizes the need to align understanding across partner universities, establish standardized performance baselines using DEB Pertamina indicators, and formulate technical guidance so program quality is more consistent. The FGD is intended to coordinate strategic direction, capture village profiles and potential, identify field bottlenecks, and strengthen technical understanding of Social Mapping, Theory of Change, and IKM.</w:t>
      </w:r>
    </w:p>
    <w:p>
      <w:pPr>
        <w:pStyle w:val="SourceNote"/>
      </w:pPr>
      <w:r>
        <w:t>Source: Formal ToR, pp. 1–2.</w:t>
      </w:r>
    </w:p>
    <w:p>
      <w:pPr>
        <w:pStyle w:val="Heading2"/>
        <w:keepNext/>
      </w:pPr>
      <w:r>
        <w:t>1.2 Formal objectives</w:t>
      </w:r>
    </w:p>
    <w:p>
      <w:pPr>
        <w:pStyle w:val="ListNumber"/>
        <w:spacing w:after="40"/>
      </w:pPr>
      <w:r>
        <w:rPr>
          <w:rFonts w:ascii="Aptos" w:hAnsi="Aptos"/>
          <w:color w:val="1F2937"/>
          <w:sz w:val="20"/>
        </w:rPr>
        <w:t>Make the strategic direction and target baseline performance of DEB Sobat Bumi 2026 understood across all partner universities.</w:t>
      </w:r>
    </w:p>
    <w:p>
      <w:pPr>
        <w:pStyle w:val="ListNumber"/>
        <w:spacing w:after="40"/>
      </w:pPr>
      <w:r>
        <w:rPr>
          <w:rFonts w:ascii="Aptos" w:hAnsi="Aptos"/>
          <w:color w:val="1F2937"/>
          <w:sz w:val="20"/>
        </w:rPr>
        <w:t>Increase participant capability and technical understanding for Social Mapping, Theory of Change, and Indeks Kepuasan Masyarakat (IKM).</w:t>
      </w:r>
    </w:p>
    <w:p>
      <w:pPr>
        <w:pStyle w:val="ListNumber"/>
        <w:spacing w:after="40"/>
      </w:pPr>
      <w:r>
        <w:rPr>
          <w:rFonts w:ascii="Aptos" w:hAnsi="Aptos"/>
          <w:color w:val="1F2937"/>
          <w:sz w:val="20"/>
        </w:rPr>
        <w:t>Collect initial self-assessment data on DEB Sobat Bumi profiles, village potential, and early identification of constraints.</w:t>
      </w:r>
    </w:p>
    <w:p>
      <w:pPr>
        <w:pStyle w:val="ListNumber"/>
        <w:spacing w:after="40"/>
      </w:pPr>
      <w:r>
        <w:rPr>
          <w:rFonts w:ascii="Aptos" w:hAnsi="Aptos"/>
          <w:color w:val="1F2937"/>
          <w:sz w:val="20"/>
        </w:rPr>
        <w:t>Prepare and formulate technical guidance for standardized one-on-one mentoring as a basis for program implementation.</w:t>
      </w:r>
    </w:p>
    <w:p>
      <w:pPr>
        <w:pStyle w:val="SourceNote"/>
      </w:pPr>
      <w:r>
        <w:t>Source: Formal ToR, p. 2.</w:t>
      </w:r>
    </w:p>
    <w:p>
      <w:pPr>
        <w:pStyle w:val="Heading2"/>
        <w:keepNext/>
      </w:pPr>
      <w:r>
        <w:t>1.3 Formal activity outputs</w:t>
      </w:r>
    </w:p>
    <w:tbl>
      <w:tblPr>
        <w:tblW w:type="auto" w:w="0"/>
        <w:jc w:val="center"/>
        <w:tblLayout w:type="fixed"/>
        <w:tblLook w:firstColumn="1" w:firstRow="1" w:lastColumn="0" w:lastRow="0" w:noHBand="0" w:noVBand="1" w:val="04A0"/>
      </w:tblPr>
      <w:tblGrid>
        <w:gridCol w:w="792"/>
        <w:gridCol w:w="9288"/>
      </w:tblGrid>
      <w:tr>
        <w:trPr>
          <w:tblHeader w:val="true"/>
        </w:trPr>
        <w:tc>
          <w:tcPr>
            <w:tcW w:type="dxa" w:w="5083"/>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8"/>
              </w:rPr>
              <w:t>No.</w:t>
            </w:r>
          </w:p>
        </w:tc>
        <w:tc>
          <w:tcPr>
            <w:tcW w:type="dxa" w:w="5083"/>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8"/>
              </w:rPr>
              <w:t>Expected output</w:t>
            </w:r>
          </w:p>
        </w:tc>
      </w:tr>
      <w:tr>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8"/>
              </w:rPr>
              <w:t>1</w:t>
            </w:r>
          </w:p>
        </w:tc>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8"/>
              </w:rPr>
              <w:t>Alignment of understanding on the strategic direction of the DEB Sobat Bumi Program 2026.</w:t>
            </w:r>
          </w:p>
        </w:tc>
      </w:tr>
      <w:tr>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8"/>
              </w:rPr>
              <w:t>2</w:t>
            </w:r>
          </w:p>
        </w:tc>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8"/>
              </w:rPr>
              <w:t>An applicable performance-baseline target for implementation by all partner universities.</w:t>
            </w:r>
          </w:p>
        </w:tc>
      </w:tr>
      <w:tr>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8"/>
              </w:rPr>
              <w:t>3</w:t>
            </w:r>
          </w:p>
        </w:tc>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8"/>
              </w:rPr>
              <w:t>Improved technical capability of DEB Sobat Bumi teams in operating Social Mapping, ToC, and IKM tools/instruments.</w:t>
            </w:r>
          </w:p>
        </w:tc>
      </w:tr>
      <w:tr>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8"/>
              </w:rPr>
              <w:t>4</w:t>
            </w:r>
          </w:p>
        </w:tc>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8"/>
              </w:rPr>
              <w:t>Identification of bottleneck prognosis as a basis for technical guidance for one-on-one mentoring.</w:t>
            </w:r>
          </w:p>
        </w:tc>
      </w:tr>
    </w:tbl>
    <w:p>
      <w:pPr>
        <w:pStyle w:val="SourceNote"/>
      </w:pPr>
      <w:r>
        <w:t>Source: Formal ToR, p. 4.</w:t>
      </w:r>
    </w:p>
    <w:p>
      <w:r>
        <w:br w:type="page"/>
      </w:r>
    </w:p>
    <w:p>
      <w:pPr>
        <w:spacing w:before="40" w:after="40"/>
      </w:pPr>
      <w:r>
        <w:rPr>
          <w:rFonts w:ascii="Aptos" w:hAnsi="Aptos"/>
          <w:b/>
          <w:color w:val="008C95"/>
          <w:sz w:val="17"/>
        </w:rPr>
        <w:t>PART I • FORMAL PROGRAM CONTEXT</w:t>
      </w:r>
    </w:p>
    <w:p>
      <w:pPr>
        <w:pStyle w:val="Heading1"/>
        <w:keepNext/>
      </w:pPr>
      <w:r>
        <w:t>2. Participants, activities &amp; event schedule</w:t>
      </w:r>
    </w:p>
    <w:p>
      <w:pPr>
        <w:pStyle w:val="Heading2"/>
        <w:keepNext/>
      </w:pPr>
      <w:r>
        <w:t>2.1 Participant coverage</w:t>
      </w:r>
    </w:p>
    <w:p>
      <w:pPr>
        <w:pStyle w:val="BodyText"/>
      </w:pPr>
      <w:r>
        <w:rPr>
          <w:rFonts w:ascii="Aptos" w:hAnsi="Aptos"/>
          <w:color w:val="1F2937"/>
          <w:sz w:val="20"/>
        </w:rPr>
        <w:t>The ToR identifies representatives from 40 partner universities implementing DEB Sobat Bumi. Each university is expected to delegate a mentor lecturer and a DEB Sobat Bumi team consisting of Sobat Bumi scholarship recipients and volunteers. The formal roster contains 24 “Tahun Ketiga” universities and 16 “Tahun Kedua” universities.</w:t>
      </w:r>
    </w:p>
    <w:tbl>
      <w:tblPr>
        <w:tblW w:type="auto" w:w="0"/>
        <w:jc w:val="center"/>
        <w:tblLook w:firstColumn="1" w:firstRow="1" w:lastColumn="0" w:lastRow="0" w:noHBand="0" w:noVBand="1" w:val="04A0"/>
      </w:tblPr>
      <w:tblGrid>
        <w:gridCol w:w="10166"/>
      </w:tblGrid>
      <w:tr>
        <w:tc>
          <w:tcPr>
            <w:tcW w:type="dxa" w:w="10166"/>
            <w:shd w:fill="EAF3F8"/>
            <w:tcBorders>
              <w:top w:val="single" w:sz="8" w:color="1F78B4"/>
              <w:left w:val="single" w:sz="8" w:color="1F78B4"/>
              <w:bottom w:val="single" w:sz="4" w:color="D8DEE5"/>
              <w:right w:val="single" w:sz="4" w:color="D8DEE5"/>
            </w:tcBorders>
          </w:tcPr>
          <w:p>
            <w:pPr>
              <w:spacing w:after="60"/>
            </w:pPr>
            <w:r>
              <w:rPr>
                <w:rFonts w:ascii="Aptos" w:hAnsi="Aptos"/>
                <w:b/>
                <w:color w:val="1F78B4"/>
                <w:sz w:val="20"/>
              </w:rPr>
              <w:t xml:space="preserve">Program grouping  </w:t>
            </w:r>
            <w:r>
              <w:rPr>
                <w:rFonts w:ascii="Aptos" w:hAnsi="Aptos"/>
                <w:color w:val="1F2937"/>
                <w:sz w:val="18"/>
              </w:rPr>
              <w:t>The ToR separately shows 12 Survive, 24 Recoverable, and 4 Pivot. These categories are part of the program’s acceleration and mentoring roadmap and should not be confused with the DEB Putih/Biru/Hijau/Siap Exit performance levels.</w:t>
            </w:r>
          </w:p>
        </w:tc>
      </w:tr>
    </w:tbl>
    <w:p>
      <w:pPr>
        <w:spacing w:after="0"/>
      </w:pPr>
    </w:p>
    <w:p>
      <w:pPr>
        <w:pStyle w:val="SourceNote"/>
      </w:pPr>
      <w:r>
        <w:t>Source: Formal ToR, pp. 3 and 5.</w:t>
      </w:r>
    </w:p>
    <w:p>
      <w:pPr>
        <w:pStyle w:val="Heading2"/>
        <w:keepNext/>
      </w:pPr>
      <w:r>
        <w:t>2.2 Kick-Off and FGD</w:t>
      </w:r>
    </w:p>
    <w:tbl>
      <w:tblPr>
        <w:tblW w:type="auto" w:w="0"/>
        <w:jc w:val="center"/>
        <w:tblLayout w:type="fixed"/>
        <w:tblLook w:firstColumn="1" w:firstRow="1" w:lastColumn="0" w:lastRow="0" w:noHBand="0" w:noVBand="1" w:val="04A0"/>
      </w:tblPr>
      <w:tblGrid>
        <w:gridCol w:w="2376"/>
        <w:gridCol w:w="2160"/>
        <w:gridCol w:w="5544"/>
      </w:tblGrid>
      <w:tr>
        <w:trPr>
          <w:tblHeader w:val="true"/>
        </w:trPr>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7"/>
              </w:rPr>
              <w:t>Date</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7"/>
              </w:rPr>
              <w:t>Format</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7"/>
              </w:rPr>
              <w:t>Primary activity</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Thursday, 10 September 2026</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Online / Zoom</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Kick-Off, strategic direction, baseline indicator briefing, Social Mapping / ToC / IKM capacity building, discussion.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Friday, 11 September 2026</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Online / Zoom</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Focus Group Discussion (FGD) with breakout room by the three DEB categories.</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10–11 September 2026</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15:00 onward (agenda-specific times vary)</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7"/>
              </w:rPr>
              <w:t>Formal event window in the ToR; Day 1 agenda starts with registration at 14:45 and Day 2 FGD is listed 15:00–17:30.</w:t>
            </w:r>
          </w:p>
        </w:tc>
      </w:tr>
    </w:tbl>
    <w:p>
      <w:pPr>
        <w:pStyle w:val="SourceNote"/>
      </w:pPr>
      <w:r>
        <w:t>Source: Formal ToR, pp. 2, 3 and 7.</w:t>
      </w:r>
    </w:p>
    <w:p>
      <w:pPr>
        <w:pStyle w:val="Heading2"/>
        <w:keepNext/>
      </w:pPr>
      <w:r>
        <w:t>2.3 Formal activity material</w:t>
      </w:r>
    </w:p>
    <w:p>
      <w:pPr>
        <w:pStyle w:val="ListBullet"/>
        <w:spacing w:after="40"/>
      </w:pPr>
      <w:r>
        <w:rPr>
          <w:rFonts w:ascii="Aptos" w:hAnsi="Aptos"/>
          <w:color w:val="1F2937"/>
          <w:sz w:val="20"/>
        </w:rPr>
        <w:t>Strategic direction for implementation of the DEB Sobat Bumi Program 2026.</w:t>
      </w:r>
    </w:p>
    <w:p>
      <w:pPr>
        <w:pStyle w:val="ListBullet"/>
        <w:spacing w:after="40"/>
      </w:pPr>
      <w:r>
        <w:rPr>
          <w:rFonts w:ascii="Aptos" w:hAnsi="Aptos"/>
          <w:color w:val="1F2937"/>
          <w:sz w:val="20"/>
        </w:rPr>
        <w:t>Delivery of standard indicators and baseline performance targets for all 40 partner universities.</w:t>
      </w:r>
    </w:p>
    <w:p>
      <w:pPr>
        <w:pStyle w:val="ListBullet"/>
        <w:spacing w:after="40"/>
      </w:pPr>
      <w:r>
        <w:rPr>
          <w:rFonts w:ascii="Aptos" w:hAnsi="Aptos"/>
          <w:color w:val="1F2937"/>
          <w:sz w:val="20"/>
        </w:rPr>
        <w:t>Capacity strengthening focused on Social Mapping, Theory of Change, and IKM guidance.</w:t>
      </w:r>
    </w:p>
    <w:p>
      <w:pPr>
        <w:pStyle w:val="ListBullet"/>
        <w:spacing w:after="40"/>
      </w:pPr>
      <w:r>
        <w:rPr>
          <w:rFonts w:ascii="Aptos" w:hAnsi="Aptos"/>
          <w:color w:val="1F2937"/>
          <w:sz w:val="20"/>
        </w:rPr>
        <w:t>Interactive discussion of the baseline performance matrix, Social Mapping, ToC, and IKM.</w:t>
      </w:r>
    </w:p>
    <w:p>
      <w:pPr>
        <w:pStyle w:val="SourceNote"/>
      </w:pPr>
      <w:r>
        <w:t>Source: Formal ToR, p. 3.</w:t>
      </w:r>
    </w:p>
    <w:p>
      <w:r>
        <w:br w:type="page"/>
      </w:r>
    </w:p>
    <w:p>
      <w:pPr>
        <w:spacing w:before="40" w:after="40"/>
      </w:pPr>
      <w:r>
        <w:rPr>
          <w:rFonts w:ascii="Aptos" w:hAnsi="Aptos"/>
          <w:b/>
          <w:color w:val="008C95"/>
          <w:sz w:val="17"/>
        </w:rPr>
        <w:t>PART I • FORMAL PROGRAM CONTEXT</w:t>
      </w:r>
    </w:p>
    <w:p>
      <w:pPr>
        <w:pStyle w:val="Heading1"/>
        <w:keepNext/>
      </w:pPr>
      <w:r>
        <w:t>3. Official DEB performance framework</w:t>
      </w:r>
    </w:p>
    <w:p>
      <w:pPr>
        <w:pStyle w:val="BodyText"/>
      </w:pPr>
      <w:r>
        <w:rPr>
          <w:rFonts w:ascii="Aptos" w:hAnsi="Aptos"/>
          <w:color w:val="1F2937"/>
          <w:sz w:val="20"/>
        </w:rPr>
        <w:t>The ToR provides an official “Indikator DEB Pertamina” framework with four performance levels: DEB Putih, DEB Biru, DEB Hijau, and Siap Exit. It covers readiness of human resources and formal institutions, tourism-energy outcomes, sustainable-food outcomes, modern-coastal outcomes, and program-investment requirements such as renewable-energy capacity, operator certification, training, supporting infrastructure, and total cost.</w:t>
      </w:r>
    </w:p>
    <w:p>
      <w:pPr>
        <w:pStyle w:val="BodyText"/>
      </w:pPr>
      <w:r>
        <w:rPr>
          <w:rFonts w:ascii="Aptos" w:hAnsi="Aptos"/>
          <w:color w:val="1F2937"/>
          <w:sz w:val="20"/>
        </w:rPr>
        <w:t>For the digital system, this framework establishes the business meaning of target comparison. The web application should present authoritative targets and the campus’s current position without inventing a separate ranking or composite score. The ToR supplies threshold examples/values, while a machine-readable data dictionary, validation rules, effective dates, and calculation behavior still need to be supplied for implementation.</w:t>
      </w:r>
    </w:p>
    <w:p>
      <w:pPr>
        <w:jc w:val="center"/>
      </w:pPr>
      <w:r>
        <w:drawing>
          <wp:inline xmlns:a="http://schemas.openxmlformats.org/drawingml/2006/main" xmlns:pic="http://schemas.openxmlformats.org/drawingml/2006/picture">
            <wp:extent cx="6400800" cy="2755501"/>
            <wp:docPr id="2" name="Picture 2"/>
            <wp:cNvGraphicFramePr>
              <a:graphicFrameLocks noChangeAspect="1"/>
            </wp:cNvGraphicFramePr>
            <a:graphic>
              <a:graphicData uri="http://schemas.openxmlformats.org/drawingml/2006/picture">
                <pic:pic>
                  <pic:nvPicPr>
                    <pic:cNvPr id="0" name="deb_indicator_framework.png"/>
                    <pic:cNvPicPr/>
                  </pic:nvPicPr>
                  <pic:blipFill>
                    <a:blip r:embed="rId14"/>
                    <a:stretch>
                      <a:fillRect/>
                    </a:stretch>
                  </pic:blipFill>
                  <pic:spPr>
                    <a:xfrm>
                      <a:off x="0" y="0"/>
                      <a:ext cx="6400800" cy="2755501"/>
                    </a:xfrm>
                    <a:prstGeom prst="rect"/>
                  </pic:spPr>
                </pic:pic>
              </a:graphicData>
            </a:graphic>
          </wp:inline>
        </w:drawing>
      </w:r>
    </w:p>
    <w:p>
      <w:pPr>
        <w:spacing w:after="60"/>
        <w:jc w:val="center"/>
      </w:pPr>
      <w:r>
        <w:rPr>
          <w:rFonts w:ascii="Aptos" w:hAnsi="Aptos"/>
          <w:i/>
          <w:color w:val="6B7280"/>
          <w:sz w:val="16"/>
        </w:rPr>
        <w:t>Figure 1. Official DEB Pertamina indicator framework and Survive / Recoverable / Pivot grouping.</w:t>
      </w:r>
    </w:p>
    <w:p>
      <w:pPr>
        <w:pStyle w:val="SourceNote"/>
      </w:pPr>
      <w:r>
        <w:t>Source: Formal ToR, p. 5. Reproduced from the supplied formal document for reference; values should not be manually reinterpreted in the application without the authoritative data rules.</w:t>
      </w:r>
    </w:p>
    <w:p>
      <w:r>
        <w:br w:type="page"/>
      </w:r>
    </w:p>
    <w:p>
      <w:pPr>
        <w:spacing w:before="40" w:after="40"/>
      </w:pPr>
      <w:r>
        <w:rPr>
          <w:rFonts w:ascii="Aptos" w:hAnsi="Aptos"/>
          <w:b/>
          <w:color w:val="008C95"/>
          <w:sz w:val="17"/>
        </w:rPr>
        <w:t>PART I • FORMAL PROGRAM CONTEXT</w:t>
      </w:r>
    </w:p>
    <w:p>
      <w:pPr>
        <w:pStyle w:val="Heading1"/>
        <w:keepNext/>
      </w:pPr>
      <w:r>
        <w:t>4. September–December 2026 program roadmap</w:t>
      </w:r>
    </w:p>
    <w:p>
      <w:pPr>
        <w:pStyle w:val="BodyText"/>
      </w:pPr>
      <w:r>
        <w:rPr>
          <w:rFonts w:ascii="Aptos" w:hAnsi="Aptos"/>
          <w:color w:val="1F2937"/>
          <w:sz w:val="20"/>
        </w:rPr>
        <w:t>The formal roadmap runs from September through December 2026 and links capacity building, thematic coaching, one-on-one mentoring, progress updates toward DEB Putih, and proposal preparation/submission. Survive campuses are accelerated first, while Recoverable and Pivot campuses continue mentoring and proposal development through December.</w:t>
      </w:r>
    </w:p>
    <w:p>
      <w:pPr>
        <w:jc w:val="center"/>
      </w:pPr>
      <w:r>
        <w:drawing>
          <wp:inline xmlns:a="http://schemas.openxmlformats.org/drawingml/2006/main" xmlns:pic="http://schemas.openxmlformats.org/drawingml/2006/picture">
            <wp:extent cx="6400800" cy="3094226"/>
            <wp:docPr id="3" name="Picture 3"/>
            <wp:cNvGraphicFramePr>
              <a:graphicFrameLocks noChangeAspect="1"/>
            </wp:cNvGraphicFramePr>
            <a:graphic>
              <a:graphicData uri="http://schemas.openxmlformats.org/drawingml/2006/picture">
                <pic:pic>
                  <pic:nvPicPr>
                    <pic:cNvPr id="0" name="deb_program_roadmap.png"/>
                    <pic:cNvPicPr/>
                  </pic:nvPicPr>
                  <pic:blipFill>
                    <a:blip r:embed="rId15"/>
                    <a:stretch>
                      <a:fillRect/>
                    </a:stretch>
                  </pic:blipFill>
                  <pic:spPr>
                    <a:xfrm>
                      <a:off x="0" y="0"/>
                      <a:ext cx="6400800" cy="3094226"/>
                    </a:xfrm>
                    <a:prstGeom prst="rect"/>
                  </pic:spPr>
                </pic:pic>
              </a:graphicData>
            </a:graphic>
          </wp:inline>
        </w:drawing>
      </w:r>
    </w:p>
    <w:p>
      <w:pPr>
        <w:spacing w:after="60"/>
        <w:jc w:val="center"/>
      </w:pPr>
      <w:r>
        <w:rPr>
          <w:rFonts w:ascii="Aptos" w:hAnsi="Aptos"/>
          <w:i/>
          <w:color w:val="6B7280"/>
          <w:sz w:val="16"/>
        </w:rPr>
        <w:t>Figure 2. Formal DEB Transformation Lab roadmap through December 2026.</w:t>
      </w:r>
    </w:p>
    <w:p>
      <w:pPr>
        <w:pStyle w:val="SourceNote"/>
      </w:pPr>
      <w:r>
        <w:t>Source: Formal ToR, p. 6.</w:t>
      </w:r>
    </w:p>
    <w:tbl>
      <w:tblPr>
        <w:tblW w:type="auto" w:w="0"/>
        <w:jc w:val="center"/>
        <w:tblLook w:firstColumn="1" w:firstRow="1" w:lastColumn="0" w:lastRow="0" w:noHBand="0" w:noVBand="1" w:val="04A0"/>
      </w:tblPr>
      <w:tblGrid>
        <w:gridCol w:w="10166"/>
      </w:tblGrid>
      <w:tr>
        <w:tc>
          <w:tcPr>
            <w:tcW w:type="dxa" w:w="10166"/>
            <w:shd w:fill="EAF6EF"/>
            <w:tcBorders>
              <w:top w:val="single" w:sz="8" w:color="2D8A57"/>
              <w:left w:val="single" w:sz="8" w:color="2D8A57"/>
              <w:bottom w:val="single" w:sz="4" w:color="D8DEE5"/>
              <w:right w:val="single" w:sz="4" w:color="D8DEE5"/>
            </w:tcBorders>
          </w:tcPr>
          <w:p>
            <w:pPr>
              <w:spacing w:after="60"/>
            </w:pPr>
            <w:r>
              <w:rPr>
                <w:rFonts w:ascii="Aptos" w:hAnsi="Aptos"/>
                <w:b/>
                <w:color w:val="2D8A57"/>
                <w:sz w:val="20"/>
              </w:rPr>
              <w:t xml:space="preserve">Final formal direction  </w:t>
            </w:r>
            <w:r>
              <w:rPr>
                <w:rFonts w:ascii="Aptos" w:hAnsi="Aptos"/>
                <w:color w:val="1F2937"/>
                <w:sz w:val="18"/>
              </w:rPr>
              <w:t>The roadmap states the final output as 40 DEB proposals ready to move up a class and proceed to DEB class-advancement submission to CSR PTM.</w:t>
            </w:r>
          </w:p>
        </w:tc>
      </w:tr>
    </w:tbl>
    <w:p>
      <w:pPr>
        <w:spacing w:after="0"/>
      </w:pPr>
    </w:p>
    <w:p>
      <w:pPr>
        <w:pStyle w:val="Heading2"/>
        <w:keepNext/>
      </w:pPr>
      <w:r>
        <w:t>4.1 Roadmap implications for the digital platform</w:t>
      </w:r>
    </w:p>
    <w:p>
      <w:pPr>
        <w:pStyle w:val="ListBullet"/>
        <w:spacing w:after="40"/>
      </w:pPr>
      <w:r>
        <w:rPr>
          <w:rFonts w:ascii="Aptos" w:hAnsi="Aptos"/>
          <w:color w:val="1F2937"/>
          <w:sz w:val="20"/>
        </w:rPr>
        <w:t>The dashboard must support repeated progress updates rather than a single one-time submission.</w:t>
      </w:r>
    </w:p>
    <w:p>
      <w:pPr>
        <w:pStyle w:val="ListBullet"/>
        <w:spacing w:after="40"/>
      </w:pPr>
      <w:r>
        <w:rPr>
          <w:rFonts w:ascii="Aptos" w:hAnsi="Aptos"/>
          <w:color w:val="1F2937"/>
          <w:sz w:val="20"/>
        </w:rPr>
        <w:t>Proposal version history aligns with repeated mentoring and proposal refinement across the roadmap.</w:t>
      </w:r>
    </w:p>
    <w:p>
      <w:pPr>
        <w:pStyle w:val="ListBullet"/>
        <w:spacing w:after="40"/>
      </w:pPr>
      <w:r>
        <w:rPr>
          <w:rFonts w:ascii="Aptos" w:hAnsi="Aptos"/>
          <w:color w:val="1F2937"/>
          <w:sz w:val="20"/>
        </w:rPr>
        <w:t>The platform must preserve campus-level visibility so PF can distinguish accelerated Survive campuses from Recoverable and Pivot follow-up without turning the system into a leaderboard.</w:t>
      </w:r>
    </w:p>
    <w:p>
      <w:pPr>
        <w:pStyle w:val="ListBullet"/>
        <w:spacing w:after="40"/>
      </w:pPr>
      <w:r>
        <w:rPr>
          <w:rFonts w:ascii="Aptos" w:hAnsi="Aptos"/>
          <w:color w:val="1F2937"/>
          <w:sz w:val="20"/>
        </w:rPr>
        <w:t>Reporting and notification needs should be aligned to the mentoring and submission milestones once the exact operational cadence is confirmed.</w:t>
      </w:r>
    </w:p>
    <w:p>
      <w:r>
        <w:br w:type="page"/>
      </w:r>
    </w:p>
    <w:p>
      <w:pPr>
        <w:spacing w:before="40" w:after="40"/>
      </w:pPr>
      <w:r>
        <w:rPr>
          <w:rFonts w:ascii="Aptos" w:hAnsi="Aptos"/>
          <w:b/>
          <w:color w:val="008C95"/>
          <w:sz w:val="17"/>
        </w:rPr>
        <w:t>PART II • MEETING RECAP</w:t>
      </w:r>
    </w:p>
    <w:p>
      <w:pPr>
        <w:pStyle w:val="Heading1"/>
        <w:keepNext/>
      </w:pPr>
      <w:r>
        <w:t>5. Business need, users &amp; application boundary</w:t>
      </w:r>
    </w:p>
    <w:p>
      <w:pPr>
        <w:pStyle w:val="Heading2"/>
        <w:keepNext/>
      </w:pPr>
      <w:r>
        <w:t>5.1 Business need discussed on 8 September</w:t>
      </w:r>
    </w:p>
    <w:p>
      <w:pPr>
        <w:pStyle w:val="BodyText"/>
      </w:pPr>
      <w:r>
        <w:rPr>
          <w:rFonts w:ascii="Aptos" w:hAnsi="Aptos"/>
          <w:color w:val="1F2937"/>
          <w:sz w:val="20"/>
        </w:rPr>
        <w:t>The system discussion focused on giving PF visibility into each partner university’s current position against the DEB Putih criteria, identifying bottlenecks, tracking changes over time, and helping universities prepare proposals that can be revised and re-uploaded as the program progresses. This directly complements the formal Transformation Lab roadmap.</w:t>
      </w:r>
    </w:p>
    <w:p>
      <w:pPr>
        <w:pStyle w:val="SourceNote"/>
      </w:pPr>
      <w:r>
        <w:t>Meeting source: T01 (00:00–00:55), T04 (07:52–09:26); formal context: ToR pp. 5–6.</w:t>
      </w:r>
    </w:p>
    <w:p>
      <w:pPr>
        <w:pStyle w:val="Heading2"/>
        <w:keepNext/>
      </w:pPr>
      <w:r>
        <w:t>5.2 Initial access model</w:t>
      </w:r>
    </w:p>
    <w:tbl>
      <w:tblPr>
        <w:tblW w:type="auto" w:w="0"/>
        <w:jc w:val="center"/>
        <w:tblLayout w:type="fixed"/>
        <w:tblLook w:firstColumn="1" w:firstRow="1" w:lastColumn="0" w:lastRow="0" w:noHBand="0" w:noVBand="1" w:val="04A0"/>
      </w:tblPr>
      <w:tblGrid>
        <w:gridCol w:w="2088"/>
        <w:gridCol w:w="4248"/>
        <w:gridCol w:w="3744"/>
      </w:tblGrid>
      <w:tr>
        <w:trPr>
          <w:tblHeader w:val="true"/>
        </w:trPr>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Stakeholder / role</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Meeting position</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Qualification</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Partner university</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One account per university; updates its own monitoring data and proposal versions.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40 universities are formally confirmed. Multiple campus-user accounts were deferred.</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PF administrator</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Views all universities, monitors progress, answers Q&amp;A, gives data feedback, and downloads recap.</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No separate scoring/judging process was requested.</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DMM master account</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A master account was mentioned in the meeting.</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Identity and permission boundaries remain unresolved; the formal ToR does not define this role.</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Lecturer / additional campus users</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Additional monitoring access was raised.</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Deferred / later update; not initial scope.</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Holding / Pertamina context</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Provides the DEB criteria / adoption context.</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No direct Holding account or system integration was agreed.</w:t>
            </w:r>
          </w:p>
        </w:tc>
      </w:tr>
    </w:tbl>
    <w:p>
      <w:pPr>
        <w:pStyle w:val="SourceNote"/>
      </w:pPr>
      <w:r>
        <w:t>Meeting source: T05–T06; formal participant context: ToR p. 3.</w:t>
      </w:r>
    </w:p>
    <w:p>
      <w:pPr>
        <w:pStyle w:val="Heading2"/>
        <w:keepNext/>
      </w:pPr>
      <w:r>
        <w:t>5.3 Product boundary</w:t>
      </w:r>
    </w:p>
    <w:p>
      <w:pPr>
        <w:pStyle w:val="BodyText"/>
      </w:pPr>
      <w:r>
        <w:rPr>
          <w:rFonts w:ascii="Aptos" w:hAnsi="Aptos"/>
          <w:color w:val="1F2937"/>
          <w:sz w:val="20"/>
        </w:rPr>
        <w:t>Participants favored a monitoring-and-evaluation application separate from the registration website. The reliable decision is product separation: users enter the monitoring environment after becoming partners. The casual use of terms such as “monolith,” “microservice,” and “silo” does not establish an approved technical architecture.</w:t>
      </w:r>
    </w:p>
    <w:p>
      <w:pPr>
        <w:pStyle w:val="SourceNote"/>
      </w:pPr>
      <w:r>
        <w:t>Meeting source: T08 (12:21–12:49).</w:t>
      </w:r>
    </w:p>
    <w:p>
      <w:r>
        <w:br w:type="page"/>
      </w:r>
    </w:p>
    <w:p>
      <w:pPr>
        <w:spacing w:before="40" w:after="40"/>
      </w:pPr>
      <w:r>
        <w:rPr>
          <w:rFonts w:ascii="Aptos" w:hAnsi="Aptos"/>
          <w:b/>
          <w:color w:val="008C95"/>
          <w:sz w:val="17"/>
        </w:rPr>
        <w:t>PART II • MEETING RECAP</w:t>
      </w:r>
    </w:p>
    <w:p>
      <w:pPr>
        <w:pStyle w:val="Heading1"/>
        <w:keepNext/>
      </w:pPr>
      <w:r>
        <w:t>6. Core modules discussed</w:t>
      </w:r>
    </w:p>
    <w:p>
      <w:pPr>
        <w:pStyle w:val="Heading2"/>
        <w:keepNext/>
      </w:pPr>
      <w:r>
        <w:t>6.1 Proposal revisions through versioned uploads</w:t>
      </w:r>
    </w:p>
    <w:p>
      <w:pPr>
        <w:pStyle w:val="BodyText"/>
      </w:pPr>
      <w:r>
        <w:rPr>
          <w:rFonts w:ascii="Aptos" w:hAnsi="Aptos"/>
          <w:color w:val="1F2937"/>
          <w:sz w:val="20"/>
        </w:rPr>
        <w:t>Two approaches were discussed: a structured online form that could be exported into a proposal, or file uploads that preserve successive revisions. Because proposal-format conversion could become complex, the conversation settled on versioned file uploads. Version 1 remains available after Version 2, Version 3, and later files are uploaded.</w:t>
      </w:r>
    </w:p>
    <w:tbl>
      <w:tblPr>
        <w:tblW w:type="auto" w:w="0"/>
        <w:jc w:val="center"/>
        <w:tblLook w:firstColumn="1" w:firstRow="1" w:lastColumn="0" w:lastRow="0" w:noHBand="0" w:noVBand="1" w:val="04A0"/>
      </w:tblPr>
      <w:tblGrid>
        <w:gridCol w:w="10166"/>
      </w:tblGrid>
      <w:tr>
        <w:tc>
          <w:tcPr>
            <w:tcW w:type="dxa" w:w="10166"/>
            <w:shd w:fill="EAF6EF"/>
            <w:tcBorders>
              <w:top w:val="single" w:sz="8" w:color="2D8A57"/>
              <w:left w:val="single" w:sz="8" w:color="2D8A57"/>
              <w:bottom w:val="single" w:sz="4" w:color="D8DEE5"/>
              <w:right w:val="single" w:sz="4" w:color="D8DEE5"/>
            </w:tcBorders>
          </w:tcPr>
          <w:p>
            <w:pPr>
              <w:spacing w:after="60"/>
            </w:pPr>
            <w:r>
              <w:rPr>
                <w:rFonts w:ascii="Aptos" w:hAnsi="Aptos"/>
                <w:b/>
                <w:color w:val="2D8A57"/>
                <w:sz w:val="20"/>
              </w:rPr>
              <w:t xml:space="preserve">Agreed direction  </w:t>
            </w:r>
            <w:r>
              <w:rPr>
                <w:rFonts w:ascii="Aptos" w:hAnsi="Aptos"/>
                <w:color w:val="1F2937"/>
                <w:sz w:val="18"/>
              </w:rPr>
              <w:t>A revised proposal is uploaded as a new version; older proposal files remain accessible. An in-browser Word editor, automated change comparison, rollback, deletion rules, and version limits were not agreed.</w:t>
            </w:r>
          </w:p>
        </w:tc>
      </w:tr>
    </w:tbl>
    <w:p>
      <w:pPr>
        <w:spacing w:after="0"/>
      </w:pPr>
    </w:p>
    <w:p>
      <w:pPr>
        <w:pStyle w:val="SourceNote"/>
      </w:pPr>
      <w:r>
        <w:t>Meeting source: T03 (03:06–05:53).</w:t>
      </w:r>
    </w:p>
    <w:p>
      <w:pPr>
        <w:pStyle w:val="Heading2"/>
        <w:keepNext/>
      </w:pPr>
      <w:r>
        <w:t>6.2 DEB indicator monitoring</w:t>
      </w:r>
    </w:p>
    <w:p>
      <w:pPr>
        <w:pStyle w:val="BodyText"/>
      </w:pPr>
      <w:r>
        <w:rPr>
          <w:rFonts w:ascii="Aptos" w:hAnsi="Aptos"/>
          <w:color w:val="1F2937"/>
          <w:sz w:val="20"/>
        </w:rPr>
        <w:t>Universities are expected to enter and update monitoring values, while the interface shows the relevant DEB target alongside the campus’s current position and remaining gap. The meeting used red as an example for being below target. The formal ToR now provides the DEB Pertamina threshold framework, but the complete machine-readable field definitions and calculation/validation rules still need to be delivered to IT.</w:t>
      </w:r>
    </w:p>
    <w:tbl>
      <w:tblPr>
        <w:tblW w:type="auto" w:w="0"/>
        <w:jc w:val="center"/>
        <w:tblLook w:firstColumn="1" w:firstRow="1" w:lastColumn="0" w:lastRow="0" w:noHBand="0" w:noVBand="1" w:val="04A0"/>
      </w:tblPr>
      <w:tblGrid>
        <w:gridCol w:w="10166"/>
      </w:tblGrid>
      <w:tr>
        <w:tc>
          <w:tcPr>
            <w:tcW w:type="dxa" w:w="10166"/>
            <w:shd w:fill="EAF3F8"/>
            <w:tcBorders>
              <w:top w:val="single" w:sz="8" w:color="1F78B4"/>
              <w:left w:val="single" w:sz="8" w:color="1F78B4"/>
              <w:bottom w:val="single" w:sz="4" w:color="D8DEE5"/>
              <w:right w:val="single" w:sz="4" w:color="D8DEE5"/>
            </w:tcBorders>
          </w:tcPr>
          <w:p>
            <w:pPr>
              <w:spacing w:after="60"/>
            </w:pPr>
            <w:r>
              <w:rPr>
                <w:rFonts w:ascii="Aptos" w:hAnsi="Aptos"/>
                <w:b/>
                <w:color w:val="1F78B4"/>
                <w:sz w:val="20"/>
              </w:rPr>
              <w:t xml:space="preserve">Implementation caution  </w:t>
            </w:r>
            <w:r>
              <w:rPr>
                <w:rFonts w:ascii="Aptos" w:hAnsi="Aptos"/>
                <w:color w:val="1F2937"/>
                <w:sz w:val="18"/>
              </w:rPr>
              <w:t>Use the formal ToR and authoritative program data as the source of truth. Do not create a single readiness percentage, weighting model, or campus ranking unless the program later approves one.</w:t>
            </w:r>
          </w:p>
        </w:tc>
      </w:tr>
    </w:tbl>
    <w:p>
      <w:pPr>
        <w:spacing w:after="0"/>
      </w:pPr>
    </w:p>
    <w:p>
      <w:pPr>
        <w:pStyle w:val="SourceNote"/>
      </w:pPr>
      <w:r>
        <w:t>Meeting source: T04; formal source: ToR p. 5.</w:t>
      </w:r>
    </w:p>
    <w:p>
      <w:pPr>
        <w:pStyle w:val="Heading2"/>
        <w:keepNext/>
      </w:pPr>
      <w:r>
        <w:t>6.3 Shared Q&amp;A, not live customer-service chat</w:t>
      </w:r>
    </w:p>
    <w:p>
      <w:pPr>
        <w:pStyle w:val="BodyText"/>
      </w:pPr>
      <w:r>
        <w:rPr>
          <w:rFonts w:ascii="Aptos" w:hAnsi="Aptos"/>
          <w:color w:val="1F2937"/>
          <w:sz w:val="20"/>
        </w:rPr>
        <w:t>The Q&amp;A concept evolved into a shared forum where questions and administrator replies can be seen and searched by the intended audience. The requester distinguished it from continuous real-time support chat. Search was requested; FAQ curation and popularity-based ordering were suggested as possible enhancements.</w:t>
      </w:r>
    </w:p>
    <w:p>
      <w:pPr>
        <w:pStyle w:val="BodyText"/>
      </w:pPr>
      <w:r>
        <w:rPr>
          <w:rFonts w:ascii="Aptos" w:hAnsi="Aptos"/>
          <w:color w:val="1F2937"/>
          <w:sz w:val="20"/>
        </w:rPr>
        <w:t>The exact audience remains open. The conversation used both “open” and “private” language, so shared visibility should not automatically be interpreted as anonymous internet-public access.</w:t>
      </w:r>
    </w:p>
    <w:p>
      <w:pPr>
        <w:pStyle w:val="SourceNote"/>
      </w:pPr>
      <w:r>
        <w:t>Meeting source: T02 (00:57–02:56).</w:t>
      </w:r>
    </w:p>
    <w:p>
      <w:pPr>
        <w:pStyle w:val="Heading2"/>
        <w:keepNext/>
      </w:pPr>
      <w:r>
        <w:t>6.4 Data-feedback / correction workflow</w:t>
      </w:r>
    </w:p>
    <w:p>
      <w:pPr>
        <w:pStyle w:val="BodyText"/>
      </w:pPr>
      <w:r>
        <w:rPr>
          <w:rFonts w:ascii="Aptos" w:hAnsi="Aptos"/>
          <w:color w:val="1F2937"/>
          <w:sz w:val="20"/>
        </w:rPr>
        <w:t>A separate workflow was discussed for monitoring-data corrections. PF can ask a specific university to update or correct data; the university receives the request, updates the data, PF is notified, and PF can review or ask for another revision. This was described as ticket-like and explicitly separated from the general Q&amp;A forum and from proposal scoring.</w:t>
      </w:r>
    </w:p>
    <w:p>
      <w:pPr>
        <w:pStyle w:val="SourceNote"/>
      </w:pPr>
      <w:r>
        <w:t>Meeting source: T07 (10:56–12:21), T15 (21:36–23:18).</w:t>
      </w:r>
    </w:p>
    <w:p>
      <w:r>
        <w:br w:type="page"/>
      </w:r>
    </w:p>
    <w:p>
      <w:pPr>
        <w:spacing w:before="40" w:after="40"/>
      </w:pPr>
      <w:r>
        <w:rPr>
          <w:rFonts w:ascii="Aptos" w:hAnsi="Aptos"/>
          <w:b/>
          <w:color w:val="008C95"/>
          <w:sz w:val="17"/>
        </w:rPr>
        <w:t>PART II • MEETING RECAP</w:t>
      </w:r>
    </w:p>
    <w:p>
      <w:pPr>
        <w:pStyle w:val="Heading1"/>
        <w:keepNext/>
      </w:pPr>
      <w:r>
        <w:t>7. Reporting, timing, capacity &amp; funding</w:t>
      </w:r>
    </w:p>
    <w:p>
      <w:pPr>
        <w:pStyle w:val="Heading2"/>
        <w:keepNext/>
      </w:pPr>
      <w:r>
        <w:t>7.1 Dashboard recap and export</w:t>
      </w:r>
    </w:p>
    <w:p>
      <w:pPr>
        <w:pStyle w:val="BodyText"/>
      </w:pPr>
      <w:r>
        <w:rPr>
          <w:rFonts w:ascii="Aptos" w:hAnsi="Aptos"/>
          <w:color w:val="1F2937"/>
          <w:sz w:val="20"/>
        </w:rPr>
        <w:t>PF needs a cross-campus overview, access to the latest status of each university, and a downloadable recap. The meeting did not specify the export file type, reporting period, exact filter set, report template, or automatic distribution rules. The system should support monitoring and target comparison without introducing unrequested judging or competition features.</w:t>
      </w:r>
    </w:p>
    <w:p>
      <w:pPr>
        <w:pStyle w:val="SourceNote"/>
      </w:pPr>
      <w:r>
        <w:t>Meeting source: T05–T06.</w:t>
      </w:r>
    </w:p>
    <w:p>
      <w:pPr>
        <w:pStyle w:val="Heading2"/>
        <w:keepNext/>
      </w:pPr>
      <w:r>
        <w:t>7.2 Reconciled delivery timeline</w:t>
      </w:r>
    </w:p>
    <w:tbl>
      <w:tblPr>
        <w:tblW w:type="auto" w:w="0"/>
        <w:jc w:val="center"/>
        <w:tblLayout w:type="fixed"/>
        <w:tblLook w:firstColumn="1" w:firstRow="1" w:lastColumn="0" w:lastRow="0" w:noHBand="0" w:noVBand="1" w:val="04A0"/>
      </w:tblPr>
      <w:tblGrid>
        <w:gridCol w:w="2232"/>
        <w:gridCol w:w="3384"/>
        <w:gridCol w:w="4464"/>
      </w:tblGrid>
      <w:tr>
        <w:trPr>
          <w:tblHeader w:val="true"/>
        </w:trPr>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Milestone</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Source-based timing</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Status / interpretation</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Formal ToR issued</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7 September 2026</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Formal program document.</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System-requirements meeting</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8 September 2026</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Recording filename / working transcript date.</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Mockup review preference</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Wednesday or Thursday before the FGD</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Meeting preference; exact handover time still needs confirmation.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Kick-Off</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Thursday, 10 September 2026</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Formally scheduled in the ToR.</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FGD / mockup demonstration</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Friday, 11 September 2026</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Formal FGD date; meeting requested a visible mockup for this session.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Operational monitoring request</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Third week of September</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Business request from the meeting; not a confirmed production commitment.</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Accelerated-campus reporting / program horizon</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Third week of October / through December 2026</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Meeting reporting request aligns broadly with formal roadmap through December.</w:t>
            </w:r>
          </w:p>
        </w:tc>
      </w:tr>
    </w:tbl>
    <w:p>
      <w:pPr>
        <w:pStyle w:val="SourceNote"/>
      </w:pPr>
      <w:r>
        <w:t>Sources: Formal ToR pp. 1–3, 6–7; meeting T09, T12, T16.</w:t>
      </w:r>
    </w:p>
    <w:p>
      <w:pPr>
        <w:pStyle w:val="Heading2"/>
        <w:keepNext/>
      </w:pPr>
      <w:r>
        <w:t>7.3 Capacity and funding discussion</w:t>
      </w:r>
    </w:p>
    <w:p>
      <w:pPr>
        <w:pStyle w:val="BodyText"/>
      </w:pPr>
      <w:r>
        <w:rPr>
          <w:rFonts w:ascii="Aptos" w:hAnsi="Aptos"/>
          <w:color w:val="1F2937"/>
          <w:sz w:val="20"/>
        </w:rPr>
        <w:t>IT indicated that a mockup was feasible while also noting competing development work and the difficulty of treating a Friday mockup as equivalent to an operational system in the following week. The record therefore separates demonstration readiness from production implementation and acceptance.</w:t>
      </w:r>
    </w:p>
    <w:p>
      <w:pPr>
        <w:pStyle w:val="BodyText"/>
      </w:pPr>
      <w:r>
        <w:rPr>
          <w:rFonts w:ascii="Aptos" w:hAnsi="Aptos"/>
          <w:color w:val="1F2937"/>
          <w:sz w:val="20"/>
        </w:rPr>
        <w:t>Funding discussion covered contributions toward reusable IT infrastructure and a separate development/change-cost discussion. An indicative figure of 50 million was mentioned informally, but no approved budget, currency declaration, quotation, line-item allocation, or payment arrangement was finalized. Historical or unrelated amounts in the conversation should not be combined into the project budget.</w:t>
      </w:r>
    </w:p>
    <w:p>
      <w:pPr>
        <w:pStyle w:val="SourceNote"/>
      </w:pPr>
      <w:r>
        <w:t>Meeting source: T09–T13, especially T10–T12.</w:t>
      </w:r>
    </w:p>
    <w:p>
      <w:r>
        <w:br w:type="page"/>
      </w:r>
    </w:p>
    <w:p>
      <w:pPr>
        <w:spacing w:before="40" w:after="40"/>
      </w:pPr>
      <w:r>
        <w:rPr>
          <w:rFonts w:ascii="Aptos" w:hAnsi="Aptos"/>
          <w:b/>
          <w:color w:val="008C95"/>
          <w:sz w:val="17"/>
        </w:rPr>
        <w:t>PART II • MEETING RECAP</w:t>
      </w:r>
    </w:p>
    <w:p>
      <w:pPr>
        <w:pStyle w:val="Heading1"/>
        <w:keepNext/>
      </w:pPr>
      <w:r>
        <w:t>8. Decision register &amp; action items</w:t>
      </w:r>
    </w:p>
    <w:p>
      <w:pPr>
        <w:pStyle w:val="Heading2"/>
        <w:keepNext/>
      </w:pPr>
      <w:r>
        <w:t>8.1 Decision / requirement register</w:t>
      </w:r>
    </w:p>
    <w:tbl>
      <w:tblPr>
        <w:tblW w:type="auto" w:w="0"/>
        <w:jc w:val="center"/>
        <w:tblLayout w:type="fixed"/>
        <w:tblLook w:firstColumn="1" w:firstRow="1" w:lastColumn="0" w:lastRow="0" w:noHBand="0" w:noVBand="1" w:val="04A0"/>
      </w:tblPr>
      <w:tblGrid>
        <w:gridCol w:w="792"/>
        <w:gridCol w:w="5184"/>
        <w:gridCol w:w="4104"/>
      </w:tblGrid>
      <w:tr>
        <w:trPr>
          <w:tblHeader w:val="true"/>
        </w:trPr>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ID</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Decision / requirement</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Status &amp; qualification</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D01</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Use a separate monitoring application for existing partners.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Agreed direction; technical architecture remains open.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D02</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Start with one account per university plus PF administrator access.</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Agreed direction; DMM master-account meaning still open.</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D03</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Handle proposal changes through new versions without losing older files.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Agreed direction.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D04</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Keep proposal upload available over time.</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Requested; no locking/cutoff rule defined.</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D05</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Allow indicator updates and show current value, target and gap.</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Core requested capability; formal ToR now supplies the business framework.</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D06</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Provide shared searchable Q&amp;A.</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Agreed forum direction; exact audience/moderation open.</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D07</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Keep data-correction feedback separate from Q&amp;A.</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Agreed workflow direction; first-release inclusion remains conditional.</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D08</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Notify campus and administrator during feedback/update cycle.</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Requested; channel and exact triggers open.</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D09</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Provide cross-campus dashboard and downloadable recap.</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Requested; export details open.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D10</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Do not add a separate scoring/judging process.</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Explicit current-scope boundary.</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D11</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Prepare a mockup for the Friday FGD and seek earlier review.</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Near-term deliverable; production launch is separate.</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D12</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Consider FAQ curation, popularity ordering and more campus roles later.</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Suggested / deferred.</w:t>
            </w:r>
          </w:p>
        </w:tc>
      </w:tr>
    </w:tbl>
    <w:p>
      <w:pPr>
        <w:pStyle w:val="SourceNote"/>
      </w:pPr>
      <w:r>
        <w:t>Meeting source: T01–T16; formal ToR used to resolve program facts, not to add unspoken system features.</w:t>
      </w:r>
    </w:p>
    <w:p>
      <w:pPr>
        <w:pStyle w:val="Heading2"/>
        <w:keepNext/>
      </w:pPr>
      <w:r>
        <w:t>8.2 Immediate actions and dependencies</w:t>
      </w:r>
    </w:p>
    <w:tbl>
      <w:tblPr>
        <w:tblW w:type="auto" w:w="0"/>
        <w:jc w:val="center"/>
        <w:tblLayout w:type="fixed"/>
        <w:tblLook w:firstColumn="1" w:firstRow="1" w:lastColumn="0" w:lastRow="0" w:noHBand="0" w:noVBand="1" w:val="04A0"/>
      </w:tblPr>
      <w:tblGrid>
        <w:gridCol w:w="3888"/>
        <w:gridCol w:w="2232"/>
        <w:gridCol w:w="3960"/>
      </w:tblGrid>
      <w:tr>
        <w:trPr>
          <w:tblHeader w:val="true"/>
        </w:trPr>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Action</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Role-level owner</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Dependency / timing</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Share requirements slides, practical guidance, and data-field explanations.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Program representative</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Promised after the meeting; completion not evidenced in the transcript.</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Provide authoritative machine-readable indicator fields, targets and calculation/validation rules.</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Program / criteria owner</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Formal ToR supplies the framework, but implementation still needs data definitions.</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Provide proposal template and file rules.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Program owner</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Needed to make versioned upload testable.</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Produce and review the mockup for the FGD.</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IT / mockup team + program reviewers</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Before the 11 September FGD; earlier review preferred.</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Confirm first-release scope for tickets, notifications, Q&amp;A visibility and DMM access.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Program + IT leads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Needed before production implementation.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Refine cost and implementation sequence around IT capacity.</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Budget owner + IT</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Separate shared infrastructure, development and later-change costs.</w:t>
            </w:r>
          </w:p>
        </w:tc>
      </w:tr>
    </w:tbl>
    <w:p>
      <w:r>
        <w:br w:type="page"/>
      </w:r>
    </w:p>
    <w:p>
      <w:pPr>
        <w:spacing w:before="40" w:after="40"/>
      </w:pPr>
      <w:r>
        <w:rPr>
          <w:rFonts w:ascii="Aptos" w:hAnsi="Aptos"/>
          <w:b/>
          <w:color w:val="008C95"/>
          <w:sz w:val="17"/>
        </w:rPr>
        <w:t>PART III • DIGITAL MONITORING WEB APPLICATION SYSTEM BRIEF</w:t>
      </w:r>
    </w:p>
    <w:p>
      <w:pPr>
        <w:pStyle w:val="Heading1"/>
        <w:keepNext/>
      </w:pPr>
      <w:r>
        <w:t>9. Whole-system scope &amp; role boundaries</w:t>
      </w:r>
    </w:p>
    <w:p>
      <w:pPr>
        <w:pStyle w:val="BodyText"/>
      </w:pPr>
      <w:r>
        <w:rPr>
          <w:rFonts w:ascii="Aptos" w:hAnsi="Aptos"/>
          <w:color w:val="1F2937"/>
          <w:sz w:val="20"/>
        </w:rPr>
        <w:t>The proposed product is an account-based website in which each partner university maintains its DEB monitoring data and proposal versions, while PF monitors all 40 universities, communicates guidance, and produces program recaps. Shared Q&amp;A supports reusable knowledge; campus-specific data feedback supports directed correction and review.</w:t>
      </w:r>
    </w:p>
    <w:tbl>
      <w:tblPr>
        <w:tblW w:type="auto" w:w="0"/>
        <w:jc w:val="center"/>
        <w:tblLook w:firstColumn="1" w:firstRow="1" w:lastColumn="0" w:lastRow="0" w:noHBand="0" w:noVBand="1" w:val="04A0"/>
      </w:tblPr>
      <w:tblGrid>
        <w:gridCol w:w="10166"/>
      </w:tblGrid>
      <w:tr>
        <w:tc>
          <w:tcPr>
            <w:tcW w:type="dxa" w:w="10166"/>
            <w:shd w:fill="EAF3F8"/>
            <w:tcBorders>
              <w:top w:val="single" w:sz="8" w:color="1F78B4"/>
              <w:left w:val="single" w:sz="8" w:color="1F78B4"/>
              <w:bottom w:val="single" w:sz="4" w:color="D8DEE5"/>
              <w:right w:val="single" w:sz="4" w:color="D8DEE5"/>
            </w:tcBorders>
          </w:tcPr>
          <w:p>
            <w:pPr>
              <w:spacing w:after="60"/>
            </w:pPr>
            <w:r>
              <w:rPr>
                <w:rFonts w:ascii="Aptos" w:hAnsi="Aptos"/>
                <w:b/>
                <w:color w:val="1F78B4"/>
                <w:sz w:val="20"/>
              </w:rPr>
              <w:t xml:space="preserve">Source status  </w:t>
            </w:r>
            <w:r>
              <w:rPr>
                <w:rFonts w:ascii="Aptos" w:hAnsi="Aptos"/>
                <w:color w:val="1F2937"/>
                <w:sz w:val="18"/>
              </w:rPr>
              <w:t>This section translates meeting needs into a structured system brief. It is not yet a complete BRD/FRD/TRD and does not assume a frontend framework, backend, database, hosting provider, or integration architecture.</w:t>
            </w:r>
          </w:p>
        </w:tc>
      </w:tr>
    </w:tbl>
    <w:p>
      <w:pPr>
        <w:spacing w:after="0"/>
      </w:pPr>
    </w:p>
    <w:p>
      <w:pPr>
        <w:pStyle w:val="Heading2"/>
        <w:keepNext/>
      </w:pPr>
      <w:r>
        <w:t>9.1 Permission matrix</w:t>
      </w:r>
    </w:p>
    <w:tbl>
      <w:tblPr>
        <w:tblW w:type="auto" w:w="0"/>
        <w:jc w:val="center"/>
        <w:tblLayout w:type="fixed"/>
        <w:tblLook w:firstColumn="1" w:firstRow="1" w:lastColumn="0" w:lastRow="0" w:noHBand="0" w:noVBand="1" w:val="04A0"/>
      </w:tblPr>
      <w:tblGrid>
        <w:gridCol w:w="1800"/>
        <w:gridCol w:w="2664"/>
        <w:gridCol w:w="2880"/>
        <w:gridCol w:w="2736"/>
      </w:tblGrid>
      <w:tr>
        <w:trPr>
          <w:tblHeader w:val="true"/>
        </w:trPr>
        <w:tc>
          <w:tcPr>
            <w:tcW w:type="dxa" w:w="2541"/>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Capability</w:t>
            </w:r>
          </w:p>
        </w:tc>
        <w:tc>
          <w:tcPr>
            <w:tcW w:type="dxa" w:w="2541"/>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University</w:t>
            </w:r>
          </w:p>
        </w:tc>
        <w:tc>
          <w:tcPr>
            <w:tcW w:type="dxa" w:w="2541"/>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PF administrator</w:t>
            </w:r>
          </w:p>
        </w:tc>
        <w:tc>
          <w:tcPr>
            <w:tcW w:type="dxa" w:w="2541"/>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Open detail</w:t>
            </w:r>
          </w:p>
        </w:tc>
      </w:tr>
      <w:tr>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Monitoring data</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View/update own university data.</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View all universities; request corrections.</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Direct PF editing not agreed.</w:t>
            </w:r>
          </w:p>
        </w:tc>
      </w:tr>
      <w:tr>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Proposal versions</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Upload and revisit own versions.</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Cross-campus oversight intended.</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Delete/download/retention permissions open.</w:t>
            </w:r>
          </w:p>
        </w:tc>
      </w:tr>
      <w:tr>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Shared Q&amp;A</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Ask/search/view shared answers.</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Answer questions and manage intended shared content.</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Peer replies / public visibility / moderation open.</w:t>
            </w:r>
          </w:p>
        </w:tc>
      </w:tr>
      <w:tr>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Data feedback</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Receive requests; update/respond.</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Raise request; review; request revision.</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Formal states and closure rules open.</w:t>
            </w:r>
          </w:p>
        </w:tc>
      </w:tr>
      <w:tr>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Notifications</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Receive relevant feedback alerts.</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Receive campus-update alerts.</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Email vs in-app and triggers open.</w:t>
            </w:r>
          </w:p>
        </w:tc>
      </w:tr>
      <w:tr>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Recap/export</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Not specified.</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Requested for PF/program view.</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Format, filters and campus export access open.</w:t>
            </w:r>
          </w:p>
        </w:tc>
      </w:tr>
      <w:tr>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Account/target admin</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Not specified.</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Operational need exists.</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Provisioning, reset, target editing and DMM privileges open.</w:t>
            </w:r>
          </w:p>
        </w:tc>
      </w:tr>
    </w:tbl>
    <w:p>
      <w:r>
        <w:br w:type="page"/>
      </w:r>
    </w:p>
    <w:p>
      <w:pPr>
        <w:spacing w:before="40" w:after="40"/>
      </w:pPr>
      <w:r>
        <w:rPr>
          <w:rFonts w:ascii="Aptos" w:hAnsi="Aptos"/>
          <w:b/>
          <w:color w:val="008C95"/>
          <w:sz w:val="17"/>
        </w:rPr>
        <w:t>PART III • DIGITAL MONITORING WEB APPLICATION SYSTEM BRIEF</w:t>
      </w:r>
    </w:p>
    <w:p>
      <w:pPr>
        <w:pStyle w:val="Heading1"/>
        <w:keepNext/>
      </w:pPr>
      <w:r>
        <w:t>10. Functional requirements — core workspace</w:t>
      </w:r>
    </w:p>
    <w:tbl>
      <w:tblPr>
        <w:tblW w:type="auto" w:w="0"/>
        <w:jc w:val="center"/>
        <w:tblLayout w:type="fixed"/>
        <w:tblLook w:firstColumn="1" w:firstRow="1" w:lastColumn="0" w:lastRow="0" w:noHBand="0" w:noVBand="1" w:val="04A0"/>
      </w:tblPr>
      <w:tblGrid>
        <w:gridCol w:w="720"/>
        <w:gridCol w:w="1728"/>
        <w:gridCol w:w="4680"/>
        <w:gridCol w:w="2952"/>
      </w:tblGrid>
      <w:tr>
        <w:trPr>
          <w:tblHeader w:val="true"/>
        </w:trPr>
        <w:tc>
          <w:tcPr>
            <w:tcW w:type="dxa" w:w="2541"/>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ID</w:t>
            </w:r>
          </w:p>
        </w:tc>
        <w:tc>
          <w:tcPr>
            <w:tcW w:type="dxa" w:w="2541"/>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Module</w:t>
            </w:r>
          </w:p>
        </w:tc>
        <w:tc>
          <w:tcPr>
            <w:tcW w:type="dxa" w:w="2541"/>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Required behavior</w:t>
            </w:r>
          </w:p>
        </w:tc>
        <w:tc>
          <w:tcPr>
            <w:tcW w:type="dxa" w:w="2541"/>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Open details</w:t>
            </w:r>
          </w:p>
        </w:tc>
      </w:tr>
      <w:tr>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FR01</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Accounts</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Provide access for existing partner universities and PF administrators; begin with one account per university.</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Provisioning, credentials, reset, deactivation, DMM role.</w:t>
            </w:r>
          </w:p>
        </w:tc>
      </w:tr>
      <w:tr>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FR02</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University view</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Show the campus’s indicator position and relevant target so the gap is understandable.</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Layout, periods, units and completeness rules.</w:t>
            </w:r>
          </w:p>
        </w:tc>
      </w:tr>
      <w:tr>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FR03</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Data updates</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Let the university enter and update authorized DEB indicator data as values change.</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Manual entry vs import, validation, save/submission behavior.</w:t>
            </w:r>
          </w:p>
        </w:tc>
      </w:tr>
      <w:tr>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FR04</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Target comparison</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Compare current values with approved DEB targets and communicate shortfalls.</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Calculation rules, target direction, missing values, color semantics; no unapproved composite score.</w:t>
            </w:r>
          </w:p>
        </w:tc>
      </w:tr>
      <w:tr>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FR05</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PF overview</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Allow PF to inspect the latest situation across all 40 universities and identify attention needs.</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Summary metrics, filters, sorting, category views.</w:t>
            </w:r>
          </w:p>
        </w:tc>
      </w:tr>
      <w:tr>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FR06</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Proposal upload</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Provide continuing proposal upload in the required format.</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Template, extensions, size limits, metadata, upload failures, closing rules.</w:t>
            </w:r>
          </w:p>
        </w:tc>
      </w:tr>
      <w:tr>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FR07</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Proposal history</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Store later uploads as new versions and keep previous versions available.</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Version numbering, labels, retention, deletion, rollback, automated comparison.</w:t>
            </w:r>
          </w:p>
        </w:tc>
      </w:tr>
    </w:tbl>
    <w:p>
      <w:pPr>
        <w:pStyle w:val="SourceNote"/>
      </w:pPr>
      <w:r>
        <w:t>Source mapping: meeting T03–T05, T15; formal DEB framework: ToR p. 5.</w:t>
      </w:r>
    </w:p>
    <w:p>
      <w:pPr>
        <w:pStyle w:val="Heading2"/>
        <w:keepNext/>
      </w:pPr>
      <w:r>
        <w:t>10.1 Campus information questions the interface should answer</w:t>
      </w:r>
    </w:p>
    <w:p>
      <w:pPr>
        <w:pStyle w:val="ListBullet"/>
        <w:spacing w:after="40"/>
      </w:pPr>
      <w:r>
        <w:rPr>
          <w:rFonts w:ascii="Aptos" w:hAnsi="Aptos"/>
          <w:color w:val="1F2937"/>
          <w:sz w:val="20"/>
        </w:rPr>
        <w:t>What is the applicable DEB target?</w:t>
      </w:r>
    </w:p>
    <w:p>
      <w:pPr>
        <w:pStyle w:val="ListBullet"/>
        <w:spacing w:after="40"/>
      </w:pPr>
      <w:r>
        <w:rPr>
          <w:rFonts w:ascii="Aptos" w:hAnsi="Aptos"/>
          <w:color w:val="1F2937"/>
          <w:sz w:val="20"/>
        </w:rPr>
        <w:t>Where is this university now?</w:t>
      </w:r>
    </w:p>
    <w:p>
      <w:pPr>
        <w:pStyle w:val="ListBullet"/>
        <w:spacing w:after="40"/>
      </w:pPr>
      <w:r>
        <w:rPr>
          <w:rFonts w:ascii="Aptos" w:hAnsi="Aptos"/>
          <w:color w:val="1F2937"/>
          <w:sz w:val="20"/>
        </w:rPr>
        <w:t>What remains below target or requires follow-up?</w:t>
      </w:r>
    </w:p>
    <w:p>
      <w:pPr>
        <w:pStyle w:val="ListBullet"/>
        <w:spacing w:after="40"/>
      </w:pPr>
      <w:r>
        <w:rPr>
          <w:rFonts w:ascii="Aptos" w:hAnsi="Aptos"/>
          <w:color w:val="1F2937"/>
          <w:sz w:val="20"/>
        </w:rPr>
        <w:t>What changed since the previous update?</w:t>
      </w:r>
    </w:p>
    <w:p>
      <w:pPr>
        <w:pStyle w:val="ListBullet"/>
        <w:spacing w:after="40"/>
      </w:pPr>
      <w:r>
        <w:rPr>
          <w:rFonts w:ascii="Aptos" w:hAnsi="Aptos"/>
          <w:color w:val="1F2937"/>
          <w:sz w:val="20"/>
        </w:rPr>
        <w:t>Which proposal is the latest, and can an earlier version still be opened?</w:t>
      </w:r>
    </w:p>
    <w:tbl>
      <w:tblPr>
        <w:tblW w:type="auto" w:w="0"/>
        <w:jc w:val="center"/>
        <w:tblLook w:firstColumn="1" w:firstRow="1" w:lastColumn="0" w:lastRow="0" w:noHBand="0" w:noVBand="1" w:val="04A0"/>
      </w:tblPr>
      <w:tblGrid>
        <w:gridCol w:w="10166"/>
      </w:tblGrid>
      <w:tr>
        <w:tc>
          <w:tcPr>
            <w:tcW w:type="dxa" w:w="10166"/>
            <w:shd w:fill="EAF6EF"/>
            <w:tcBorders>
              <w:top w:val="single" w:sz="8" w:color="2D8A57"/>
              <w:left w:val="single" w:sz="8" w:color="2D8A57"/>
              <w:bottom w:val="single" w:sz="4" w:color="D8DEE5"/>
              <w:right w:val="single" w:sz="4" w:color="D8DEE5"/>
            </w:tcBorders>
          </w:tcPr>
          <w:p>
            <w:pPr>
              <w:spacing w:after="60"/>
            </w:pPr>
            <w:r>
              <w:rPr>
                <w:rFonts w:ascii="Aptos" w:hAnsi="Aptos"/>
                <w:b/>
                <w:color w:val="2D8A57"/>
                <w:sz w:val="20"/>
              </w:rPr>
              <w:t xml:space="preserve">Not a proposal builder  </w:t>
            </w:r>
            <w:r>
              <w:rPr>
                <w:rFonts w:ascii="Aptos" w:hAnsi="Aptos"/>
                <w:color w:val="1F2937"/>
                <w:sz w:val="18"/>
              </w:rPr>
              <w:t>The selected proposal direction is versioned file upload. Do not silently replace it with a form generator, in-browser editor, or AI writing feature.</w:t>
            </w:r>
          </w:p>
        </w:tc>
      </w:tr>
    </w:tbl>
    <w:p>
      <w:pPr>
        <w:spacing w:after="0"/>
      </w:pPr>
    </w:p>
    <w:p>
      <w:r>
        <w:br w:type="page"/>
      </w:r>
    </w:p>
    <w:p>
      <w:pPr>
        <w:spacing w:before="40" w:after="40"/>
      </w:pPr>
      <w:r>
        <w:rPr>
          <w:rFonts w:ascii="Aptos" w:hAnsi="Aptos"/>
          <w:b/>
          <w:color w:val="008C95"/>
          <w:sz w:val="17"/>
        </w:rPr>
        <w:t>PART III • DIGITAL MONITORING WEB APPLICATION SYSTEM BRIEF</w:t>
      </w:r>
    </w:p>
    <w:p>
      <w:pPr>
        <w:pStyle w:val="Heading1"/>
        <w:keepNext/>
      </w:pPr>
      <w:r>
        <w:t>11. Functional requirements — interaction &amp; outputs</w:t>
      </w:r>
    </w:p>
    <w:tbl>
      <w:tblPr>
        <w:tblW w:type="auto" w:w="0"/>
        <w:jc w:val="center"/>
        <w:tblLayout w:type="fixed"/>
        <w:tblLook w:firstColumn="1" w:firstRow="1" w:lastColumn="0" w:lastRow="0" w:noHBand="0" w:noVBand="1" w:val="04A0"/>
      </w:tblPr>
      <w:tblGrid>
        <w:gridCol w:w="720"/>
        <w:gridCol w:w="1728"/>
        <w:gridCol w:w="4680"/>
        <w:gridCol w:w="2952"/>
      </w:tblGrid>
      <w:tr>
        <w:trPr>
          <w:tblHeader w:val="true"/>
        </w:trPr>
        <w:tc>
          <w:tcPr>
            <w:tcW w:type="dxa" w:w="2541"/>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4"/>
              </w:rPr>
              <w:t>ID</w:t>
            </w:r>
          </w:p>
        </w:tc>
        <w:tc>
          <w:tcPr>
            <w:tcW w:type="dxa" w:w="2541"/>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4"/>
              </w:rPr>
              <w:t>Module</w:t>
            </w:r>
          </w:p>
        </w:tc>
        <w:tc>
          <w:tcPr>
            <w:tcW w:type="dxa" w:w="2541"/>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4"/>
              </w:rPr>
              <w:t>Required / suggested behavior</w:t>
            </w:r>
          </w:p>
        </w:tc>
        <w:tc>
          <w:tcPr>
            <w:tcW w:type="dxa" w:w="2541"/>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4"/>
              </w:rPr>
              <w:t>Open details</w:t>
            </w:r>
          </w:p>
        </w:tc>
      </w:tr>
      <w:tr>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FR08</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Shared Q&amp;A</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Support asynchronous question threads and replies visible to the intended shared audience.</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Audience, peer replies, editing/deletion, moderation, attachments.</w:t>
            </w:r>
          </w:p>
        </w:tc>
      </w:tr>
      <w:tr>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FR09</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Search</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Allow users to find existing questions and answers.</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Search scope, matching, filters, ranking.</w:t>
            </w:r>
          </w:p>
        </w:tc>
      </w:tr>
      <w:tr>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FR10</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FAQ / ordering</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Suggested: curate useful answers into FAQ and consider popularity-based ordering.</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Optional; curation and popularity mechanism undefined.</w:t>
            </w:r>
          </w:p>
        </w:tc>
      </w:tr>
      <w:tr>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FR11</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Data feedback</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Let PF raise a correction/update request about a university’s monitoring data.</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First-release inclusion, field linkage, attachments, due dates, status model.</w:t>
            </w:r>
          </w:p>
        </w:tc>
      </w:tr>
      <w:tr>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FR12</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Review loop</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Let PF review a returned update and request further revision if needed.</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Closure, acceptance authority, resubmission and audit detail.</w:t>
            </w:r>
          </w:p>
        </w:tc>
      </w:tr>
      <w:tr>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FR13</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Notifications</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Alert university when feedback is issued and PF when relevant data is updated.</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Email/in-app, recipients, templates, triggers, retries.</w:t>
            </w:r>
          </w:p>
        </w:tc>
      </w:tr>
      <w:tr>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FR14</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Recap / export</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Provide a consolidated PF dashboard recap that can be downloaded.</w:t>
            </w:r>
          </w:p>
        </w:tc>
        <w:tc>
          <w:tcPr>
            <w:tcW w:type="dxa" w:w="2541"/>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Content, file type, reporting period, filters, permissions.</w:t>
            </w:r>
          </w:p>
        </w:tc>
      </w:tr>
      <w:tr>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FR15</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Mobile access</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Support practical website access from a phone, particularly for Q&amp;A.</w:t>
            </w:r>
          </w:p>
        </w:tc>
        <w:tc>
          <w:tcPr>
            <w:tcW w:type="dxa" w:w="2541"/>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4"/>
              </w:rPr>
              <w:t>Responsive-browser scope and test criteria; no native app requested.</w:t>
            </w:r>
          </w:p>
        </w:tc>
      </w:tr>
    </w:tbl>
    <w:p>
      <w:pPr>
        <w:pStyle w:val="SourceNote"/>
      </w:pPr>
      <w:r>
        <w:t>Source mapping: meeting T02, T05–T07, T15.</w:t>
      </w:r>
    </w:p>
    <w:p>
      <w:pPr>
        <w:pStyle w:val="Heading2"/>
        <w:keepNext/>
      </w:pPr>
      <w:r>
        <w:t>11.1 Keep the two communication channels distinct</w:t>
      </w:r>
    </w:p>
    <w:p>
      <w:pPr>
        <w:pStyle w:val="BodyText"/>
      </w:pPr>
      <w:r>
        <w:rPr>
          <w:rFonts w:ascii="Aptos" w:hAnsi="Aptos"/>
          <w:color w:val="1F2937"/>
          <w:sz w:val="20"/>
        </w:rPr>
        <w:t>Q&amp;A is a reusable knowledge conversation that can be searched by the intended community. Data feedback belongs to a particular university’s monitoring issue and has a correction-and-review cycle. They may share visual interaction patterns, but combining them into one undifferentiated feed would erase the distinction made in the meeting.</w:t>
      </w:r>
    </w:p>
    <w:p>
      <w:r>
        <w:br w:type="page"/>
      </w:r>
    </w:p>
    <w:p>
      <w:pPr>
        <w:spacing w:before="40" w:after="40"/>
      </w:pPr>
      <w:r>
        <w:rPr>
          <w:rFonts w:ascii="Aptos" w:hAnsi="Aptos"/>
          <w:b/>
          <w:color w:val="008C95"/>
          <w:sz w:val="17"/>
        </w:rPr>
        <w:t>PART III • DIGITAL MONITORING WEB APPLICATION SYSTEM BRIEF</w:t>
      </w:r>
    </w:p>
    <w:p>
      <w:pPr>
        <w:pStyle w:val="Heading1"/>
        <w:keepNext/>
      </w:pPr>
      <w:r>
        <w:t>12. End-to-end workflows &amp; proposed screen coverage</w:t>
      </w:r>
    </w:p>
    <w:tbl>
      <w:tblPr>
        <w:tblW w:type="auto" w:w="0"/>
        <w:jc w:val="center"/>
        <w:tblLayout w:type="fixed"/>
        <w:tblLook w:firstColumn="1" w:firstRow="1" w:lastColumn="0" w:lastRow="0" w:noHBand="0" w:noVBand="1" w:val="04A0"/>
      </w:tblPr>
      <w:tblGrid>
        <w:gridCol w:w="1872"/>
        <w:gridCol w:w="5688"/>
        <w:gridCol w:w="2520"/>
      </w:tblGrid>
      <w:tr>
        <w:trPr>
          <w:tblHeader w:val="true"/>
        </w:trPr>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Flow</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Sequence</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Output / open point</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W01 • Progress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University signs in → opens monitoring data → updates values → sees target/gap → PF reviews latest situation.</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Updated campus/PF views; save/submission and history behavior open.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W02 • Proposal revision</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University uploads first proposal → later uploads revision → system retains both → user opens selected version.</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Accessible version history; inline editing/automatic diff not agreed.</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W03 • Shared question</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User searches prior Q&amp;A → posts if needed → PF replies → shared audience can find answer later.</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Reusable thread; audience/moderation open.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W04 • Data correction</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PF raises issue → university receives notice → updates/responds → PF receives notice → reviews → may request another revision.</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Separate two-way follow-up; formal ticket states/closure open.</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W05 • Reporting</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PF opens cross-campus dashboard → reviews university positions → downloads recap.</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Downloadable summary; format/filter/reporting cutoff open.</w:t>
            </w:r>
          </w:p>
        </w:tc>
      </w:tr>
    </w:tbl>
    <w:p>
      <w:pPr>
        <w:pStyle w:val="Heading2"/>
        <w:keepNext/>
      </w:pPr>
      <w:r>
        <w:t>12.1 Proposed screen inventory</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083"/>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University workspace</w:t>
            </w:r>
          </w:p>
        </w:tc>
        <w:tc>
          <w:tcPr>
            <w:tcW w:type="dxa" w:w="5083"/>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PF / administrator workspace</w:t>
            </w:r>
          </w:p>
        </w:tc>
      </w:tr>
      <w:tr>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Sign-in; university overview; current DEB target/gap.</w:t>
            </w:r>
          </w:p>
        </w:tc>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Sign-in; cross-campus overview; university detail.</w:t>
            </w:r>
          </w:p>
        </w:tc>
      </w:tr>
      <w:tr>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Indicator data entry/update.</w:t>
            </w:r>
          </w:p>
        </w:tc>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Indicator review and attention view.</w:t>
            </w:r>
          </w:p>
        </w:tc>
      </w:tr>
      <w:tr>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Proposal upload; latest proposal; version history.</w:t>
            </w:r>
          </w:p>
        </w:tc>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University proposal versions / oversight.</w:t>
            </w:r>
          </w:p>
        </w:tc>
      </w:tr>
      <w:tr>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Shared Q&amp;A search; question detail.</w:t>
            </w:r>
          </w:p>
        </w:tc>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Shared Q&amp;A search; reply interface.</w:t>
            </w:r>
          </w:p>
        </w:tc>
      </w:tr>
      <w:tr>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Data-feedback detail and response.</w:t>
            </w:r>
          </w:p>
        </w:tc>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Data-feedback creation and review.</w:t>
            </w:r>
          </w:p>
        </w:tc>
      </w:tr>
      <w:tr>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Notifications, if selected.</w:t>
            </w:r>
          </w:p>
        </w:tc>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Notifications and downloadable recap.</w:t>
            </w:r>
          </w:p>
        </w:tc>
      </w:tr>
    </w:tbl>
    <w:tbl>
      <w:tblPr>
        <w:tblW w:type="auto" w:w="0"/>
        <w:jc w:val="center"/>
        <w:tblLook w:firstColumn="1" w:firstRow="1" w:lastColumn="0" w:lastRow="0" w:noHBand="0" w:noVBand="1" w:val="04A0"/>
      </w:tblPr>
      <w:tblGrid>
        <w:gridCol w:w="10166"/>
      </w:tblGrid>
      <w:tr>
        <w:tc>
          <w:tcPr>
            <w:tcW w:type="dxa" w:w="10166"/>
            <w:shd w:fill="EAF3F8"/>
            <w:tcBorders>
              <w:top w:val="single" w:sz="8" w:color="1F78B4"/>
              <w:left w:val="single" w:sz="8" w:color="1F78B4"/>
              <w:bottom w:val="single" w:sz="4" w:color="D8DEE5"/>
              <w:right w:val="single" w:sz="4" w:color="D8DEE5"/>
            </w:tcBorders>
          </w:tcPr>
          <w:p>
            <w:pPr>
              <w:spacing w:after="60"/>
            </w:pPr>
            <w:r>
              <w:rPr>
                <w:rFonts w:ascii="Aptos" w:hAnsi="Aptos"/>
                <w:b/>
                <w:color w:val="1F78B4"/>
                <w:sz w:val="20"/>
              </w:rPr>
              <w:t xml:space="preserve">Proposed grouping  </w:t>
            </w:r>
            <w:r>
              <w:rPr>
                <w:rFonts w:ascii="Aptos" w:hAnsi="Aptos"/>
                <w:color w:val="1F2937"/>
                <w:sz w:val="18"/>
              </w:rPr>
              <w:t>These are reviewable screen groupings derived from the workflows; the meeting did not approve these exact menu names or navigation hierarchy.</w:t>
            </w:r>
          </w:p>
        </w:tc>
      </w:tr>
    </w:tbl>
    <w:p>
      <w:pPr>
        <w:spacing w:after="0"/>
      </w:pPr>
    </w:p>
    <w:p>
      <w:r>
        <w:br w:type="page"/>
      </w:r>
    </w:p>
    <w:p>
      <w:pPr>
        <w:spacing w:before="40" w:after="40"/>
      </w:pPr>
      <w:r>
        <w:rPr>
          <w:rFonts w:ascii="Aptos" w:hAnsi="Aptos"/>
          <w:b/>
          <w:color w:val="008C95"/>
          <w:sz w:val="17"/>
        </w:rPr>
        <w:t>PART III • DIGITAL MONITORING WEB APPLICATION SYSTEM BRIEF</w:t>
      </w:r>
    </w:p>
    <w:p>
      <w:pPr>
        <w:pStyle w:val="Heading1"/>
        <w:keepNext/>
      </w:pPr>
      <w:r>
        <w:t>13. Conceptual data inventory &amp; business rules</w:t>
      </w:r>
    </w:p>
    <w:tbl>
      <w:tblPr>
        <w:tblW w:type="auto" w:w="0"/>
        <w:jc w:val="center"/>
        <w:tblLayout w:type="fixed"/>
        <w:tblLook w:firstColumn="1" w:firstRow="1" w:lastColumn="0" w:lastRow="0" w:noHBand="0" w:noVBand="1" w:val="04A0"/>
      </w:tblPr>
      <w:tblGrid>
        <w:gridCol w:w="2304"/>
        <w:gridCol w:w="4464"/>
        <w:gridCol w:w="3312"/>
      </w:tblGrid>
      <w:tr>
        <w:trPr>
          <w:tblHeader w:val="true"/>
        </w:trPr>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Information object</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Supported relationship / use</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Definition still needed</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University &amp; account</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University has an initial account; PF sees across universities.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Identifiers, contacts, provisioning, DMM identity.</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DEB indicator definition &amp; target</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University values are compared with authoritative DEB criteria.</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Machine-readable field list, unit, period, effective date, rule/source of truth.</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University indicator values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University enters and updates its own monitoring data.</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Types, validation, import method, provenance, history.</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Proposal &amp; versions</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Successive files belong to a university proposal history; old versions remain.</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Template, metadata, file rules, author attribution, retention/deletion.</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Question &amp; replies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Shared threads preserve reusable Q&amp;A.</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Audience, categories, moderation, optional FAQ mapping.</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Data-feedback request &amp; responses</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University-specific correction and review loop separate from Q&amp;A.</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Data linkage, statuses, deadlines, closure, history.</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Notification event</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Feedback and campus updates can alert the other party.</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Recipients, channel, read state, delivery record.</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Recap/report output</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Program-level information can be downloaded from PF dashboard.</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Export fields, format, cutoff, snapshot rules.</w:t>
            </w:r>
          </w:p>
        </w:tc>
      </w:tr>
    </w:tbl>
    <w:p>
      <w:pPr>
        <w:pStyle w:val="Heading2"/>
        <w:keepNext/>
      </w:pPr>
      <w:r>
        <w:t>13.1 Rules that can be carried forward now</w:t>
      </w:r>
    </w:p>
    <w:p>
      <w:pPr>
        <w:pStyle w:val="ListBullet"/>
        <w:spacing w:after="40"/>
      </w:pPr>
      <w:r>
        <w:rPr>
          <w:rFonts w:ascii="Aptos" w:hAnsi="Aptos"/>
          <w:color w:val="1F2937"/>
          <w:sz w:val="20"/>
        </w:rPr>
        <w:t>Preserve older proposal files when a new proposal version is uploaded.</w:t>
      </w:r>
    </w:p>
    <w:p>
      <w:pPr>
        <w:pStyle w:val="ListBullet"/>
        <w:spacing w:after="40"/>
      </w:pPr>
      <w:r>
        <w:rPr>
          <w:rFonts w:ascii="Aptos" w:hAnsi="Aptos"/>
          <w:color w:val="1F2937"/>
          <w:sz w:val="20"/>
        </w:rPr>
        <w:t>Keep university-specific data feedback separate from shared Q&amp;A.</w:t>
      </w:r>
    </w:p>
    <w:p>
      <w:pPr>
        <w:pStyle w:val="ListBullet"/>
        <w:spacing w:after="40"/>
      </w:pPr>
      <w:r>
        <w:rPr>
          <w:rFonts w:ascii="Aptos" w:hAnsi="Aptos"/>
          <w:color w:val="1F2937"/>
          <w:sz w:val="20"/>
        </w:rPr>
        <w:t>Use the formal DEB framework as the target-comparison business reference.</w:t>
      </w:r>
    </w:p>
    <w:p>
      <w:pPr>
        <w:pStyle w:val="ListBullet"/>
        <w:spacing w:after="40"/>
      </w:pPr>
      <w:r>
        <w:rPr>
          <w:rFonts w:ascii="Aptos" w:hAnsi="Aptos"/>
          <w:color w:val="1F2937"/>
          <w:sz w:val="20"/>
        </w:rPr>
        <w:t>Keep registration as a separate product.</w:t>
      </w:r>
    </w:p>
    <w:p>
      <w:pPr>
        <w:pStyle w:val="ListBullet"/>
        <w:spacing w:after="40"/>
      </w:pPr>
      <w:r>
        <w:rPr>
          <w:rFonts w:ascii="Aptos" w:hAnsi="Aptos"/>
          <w:color w:val="1F2937"/>
          <w:sz w:val="20"/>
        </w:rPr>
        <w:t>Treat target comparison as different from scoring, judging, or campus ranking.</w:t>
      </w:r>
    </w:p>
    <w:p>
      <w:pPr>
        <w:pStyle w:val="ListBullet"/>
        <w:spacing w:after="40"/>
      </w:pPr>
      <w:r>
        <w:rPr>
          <w:rFonts w:ascii="Aptos" w:hAnsi="Aptos"/>
          <w:color w:val="1F2937"/>
          <w:sz w:val="20"/>
        </w:rPr>
        <w:t>Begin with the clearly described university and PF administrator roles unless DMM/additional roles are explicitly confirmed.</w:t>
      </w:r>
    </w:p>
    <w:p>
      <w:pPr>
        <w:pStyle w:val="Heading2"/>
        <w:keepNext/>
      </w:pPr>
      <w:r>
        <w:t>13.2 Rules that still cannot be safely invented</w:t>
      </w:r>
    </w:p>
    <w:p>
      <w:pPr>
        <w:pStyle w:val="BodyText"/>
      </w:pPr>
      <w:r>
        <w:rPr>
          <w:rFonts w:ascii="Aptos" w:hAnsi="Aptos"/>
          <w:color w:val="1F2937"/>
          <w:sz w:val="20"/>
        </w:rPr>
        <w:t>The supplied sources do not define a single overall readiness percentage, cross-indicator weighting, complete missing-data logic, monthly automatic reminder rules, service-level deadlines, audit-retention periods, or whether every data change should create a historical snapshot. These require explicit program and technical decisions.</w:t>
      </w:r>
    </w:p>
    <w:p>
      <w:r>
        <w:br w:type="page"/>
      </w:r>
    </w:p>
    <w:p>
      <w:pPr>
        <w:spacing w:before="40" w:after="40"/>
      </w:pPr>
      <w:r>
        <w:rPr>
          <w:rFonts w:ascii="Aptos" w:hAnsi="Aptos"/>
          <w:b/>
          <w:color w:val="008C95"/>
          <w:sz w:val="17"/>
        </w:rPr>
        <w:t>PART III • DIGITAL MONITORING WEB APPLICATION SYSTEM BRIEF</w:t>
      </w:r>
    </w:p>
    <w:p>
      <w:pPr>
        <w:pStyle w:val="Heading1"/>
        <w:keepNext/>
      </w:pPr>
      <w:r>
        <w:t>14. Proposed acceptance scenarios &amp; release boundary</w:t>
      </w:r>
    </w:p>
    <w:tbl>
      <w:tblPr>
        <w:tblW w:type="auto" w:w="0"/>
        <w:jc w:val="center"/>
        <w:tblLayout w:type="fixed"/>
        <w:tblLook w:firstColumn="1" w:firstRow="1" w:lastColumn="0" w:lastRow="0" w:noHBand="0" w:noVBand="1" w:val="04A0"/>
      </w:tblPr>
      <w:tblGrid>
        <w:gridCol w:w="1944"/>
        <w:gridCol w:w="5400"/>
        <w:gridCol w:w="2736"/>
      </w:tblGrid>
      <w:tr>
        <w:trPr>
          <w:tblHeader w:val="true"/>
        </w:trPr>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Check</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Expected observable result</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Qualification</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AT01 • Role boundary</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University works only with its own operational records; PF can inspect all universities.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DMM and any additional campus role need separate definition.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AT02 • Indicator update</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Authorized value update appears in both relevant views against the approved DEB target.</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Expected calculation comes from authoritative rules.</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AT03 • Version preservation</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After two proposal uploads, both versions remain accessible and distinguishable.</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Tests the explicit version-history agreement.</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AT04 • Q&amp;A search</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Answered question can be found again by the authorized forum audience.</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Audience/search rules must be settled.</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AT05 • Feedback cycle</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University receives data request, updates relevant data, PF reviews and may request another revision.</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Run if ticket/feedback is included in release.</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AT06 • Notifications</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Correct university is alerted to feedback and PF is alerted to the returned update.</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Channel and exact triggers must be approved.</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AT07 • Download recap</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PF downloads a recap consistent with the agreed dashboard/reporting scope.</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Format/content/cutoff must be approved.</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AT08 • Phone access</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Intended Q&amp;A task can be completed on an agreed phone browser.</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Derived verification of mobile-access preference.</w:t>
            </w:r>
          </w:p>
        </w:tc>
      </w:tr>
    </w:tbl>
    <w:p>
      <w:pPr>
        <w:pStyle w:val="Heading2"/>
        <w:keepNext/>
      </w:pPr>
      <w:r>
        <w:t>14.1 Mockup versus operational release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083"/>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Mockup / FGD demonstration</w:t>
            </w:r>
          </w:p>
        </w:tc>
        <w:tc>
          <w:tcPr>
            <w:tcW w:type="dxa" w:w="5083"/>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6"/>
              </w:rPr>
              <w:t>Operational release</w:t>
            </w:r>
          </w:p>
        </w:tc>
      </w:tr>
      <w:tr>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Makes the intended campus and PF views visible.</w:t>
            </w:r>
          </w:p>
        </w:tc>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Requires working authentication and permission enforcement.</w:t>
            </w:r>
          </w:p>
        </w:tc>
      </w:tr>
      <w:tr>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Can illustrate target comparison with clearly labeled example data.</w:t>
            </w:r>
          </w:p>
        </w:tc>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Requires authoritative indicator fields, targets, validation and calculations.</w:t>
            </w:r>
          </w:p>
        </w:tc>
      </w:tr>
      <w:tr>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Can show proposal version history conceptually.</w:t>
            </w:r>
          </w:p>
        </w:tc>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Requires persistent file storage, version handling, retention and access rules.</w:t>
            </w:r>
          </w:p>
        </w:tc>
      </w:tr>
      <w:tr>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Can demonstrate Q&amp;A and optional ticket concepts.</w:t>
            </w:r>
          </w:p>
        </w:tc>
        <w:tc>
          <w:tcPr>
            <w:tcW w:type="dxa" w:w="5083"/>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Requires confirmed audience, moderation, ticket/notification scope and testing.</w:t>
            </w:r>
          </w:p>
        </w:tc>
      </w:tr>
      <w:tr>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Supports stakeholder discussion.</w:t>
            </w:r>
          </w:p>
        </w:tc>
        <w:tc>
          <w:tcPr>
            <w:tcW w:type="dxa" w:w="5083"/>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6"/>
              </w:rPr>
              <w:t>Requires deployment, security, backup, monitoring and support arrangements.</w:t>
            </w:r>
          </w:p>
        </w:tc>
      </w:tr>
    </w:tbl>
    <w:tbl>
      <w:tblPr>
        <w:tblW w:type="auto" w:w="0"/>
        <w:jc w:val="center"/>
        <w:tblLook w:firstColumn="1" w:firstRow="1" w:lastColumn="0" w:lastRow="0" w:noHBand="0" w:noVBand="1" w:val="04A0"/>
      </w:tblPr>
      <w:tblGrid>
        <w:gridCol w:w="10166"/>
      </w:tblGrid>
      <w:tr>
        <w:tc>
          <w:tcPr>
            <w:tcW w:type="dxa" w:w="10166"/>
            <w:shd w:fill="EAF6EF"/>
            <w:tcBorders>
              <w:top w:val="single" w:sz="8" w:color="2D8A57"/>
              <w:left w:val="single" w:sz="8" w:color="2D8A57"/>
              <w:bottom w:val="single" w:sz="4" w:color="D8DEE5"/>
              <w:right w:val="single" w:sz="4" w:color="D8DEE5"/>
            </w:tcBorders>
          </w:tcPr>
          <w:p>
            <w:pPr>
              <w:spacing w:after="60"/>
            </w:pPr>
            <w:r>
              <w:rPr>
                <w:rFonts w:ascii="Aptos" w:hAnsi="Aptos"/>
                <w:b/>
                <w:color w:val="2D8A57"/>
                <w:sz w:val="20"/>
              </w:rPr>
              <w:t xml:space="preserve">Release caution  </w:t>
            </w:r>
            <w:r>
              <w:rPr>
                <w:rFonts w:ascii="Aptos" w:hAnsi="Aptos"/>
                <w:color w:val="1F2937"/>
                <w:sz w:val="18"/>
              </w:rPr>
              <w:t>The Friday mockup request does not by itself establish production acceptance or an agreed go-live date.</w:t>
            </w:r>
          </w:p>
        </w:tc>
      </w:tr>
    </w:tbl>
    <w:p>
      <w:pPr>
        <w:spacing w:after="0"/>
      </w:pPr>
    </w:p>
    <w:p>
      <w:r>
        <w:br w:type="page"/>
      </w:r>
    </w:p>
    <w:p>
      <w:pPr>
        <w:spacing w:before="40" w:after="40"/>
      </w:pPr>
      <w:r>
        <w:rPr>
          <w:rFonts w:ascii="Aptos" w:hAnsi="Aptos"/>
          <w:b/>
          <w:color w:val="008C95"/>
          <w:sz w:val="17"/>
        </w:rPr>
        <w:t>PART III • DIGITAL MONITORING WEB APPLICATION SYSTEM BRIEF</w:t>
      </w:r>
    </w:p>
    <w:p>
      <w:pPr>
        <w:pStyle w:val="Heading1"/>
        <w:keepNext/>
      </w:pPr>
      <w:r>
        <w:t>15. Open decisions before implementation</w:t>
      </w:r>
    </w:p>
    <w:tbl>
      <w:tblPr>
        <w:tblW w:type="auto" w:w="0"/>
        <w:jc w:val="center"/>
        <w:tblLayout w:type="fixed"/>
        <w:tblLook w:firstColumn="1" w:firstRow="1" w:lastColumn="0" w:lastRow="0" w:noHBand="0" w:noVBand="1" w:val="04A0"/>
      </w:tblPr>
      <w:tblGrid>
        <w:gridCol w:w="4032"/>
        <w:gridCol w:w="4032"/>
        <w:gridCol w:w="2016"/>
      </w:tblGrid>
      <w:tr>
        <w:trPr>
          <w:tblHeader w:val="true"/>
        </w:trPr>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Decision to confirm</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Why it matters</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Suggested confirmer</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Official machine-readable DEB indicator dataset, targets, units, periods and rules.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Defines valid forms and calculations beyond the visual ToR table.</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Program / criteria owner</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Manual data entry, spreadsheet import, or combination.</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Meeting references an Excel source but does not choose an import feature.</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Program + IT</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DMM identity and permissions.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Prevents accidental over-privileging of a “master” account.</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Program owner</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Forum visibility, peer replies, editing/deletion and moderation.</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Shared Q&amp;A must not automatically become anonymous-public.</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Program + IT</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First-release inclusion of data tickets and notification channels.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Separates core scope from conditional effort.</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Program + IT leads</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Proposal file template, extensions, size, retention and deletion.</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Turns versioning into testable behavior.</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Program + IT</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Recap fields, output format, filters and reporting cutoff.</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Turns reporting into a testable output.</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Program + IT</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Production timeline, implementation sequence and approved budget.</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Separates business urgency from capacity-backed commitments.</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Program / budget owner + IT</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Technical and operational controls.</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Authentication, hosting, storage, backups, audit, security, accessibility and support were not specified.</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IT / security / operations</w:t>
            </w:r>
          </w:p>
        </w:tc>
      </w:tr>
    </w:tbl>
    <w:p>
      <w:pPr>
        <w:pStyle w:val="Heading2"/>
        <w:keepNext/>
      </w:pPr>
      <w:r>
        <w:t>15.1 Technical choices not made in the meeting</w:t>
      </w:r>
    </w:p>
    <w:p>
      <w:pPr>
        <w:pStyle w:val="BodyText"/>
      </w:pPr>
      <w:r>
        <w:rPr>
          <w:rFonts w:ascii="Aptos" w:hAnsi="Aptos"/>
          <w:color w:val="1F2937"/>
          <w:sz w:val="20"/>
        </w:rPr>
        <w:t>No selected frontend framework, backend product, database, API contract, authentication integration, hosting provider, object-storage service, email provider, or deployment topology was approved. The source also does not define concurrency targets, response-time targets, backup/recovery objectives, audit-retention rules, security controls, accessibility requirements, or maintenance/support terms. Forty partner-university accounts describe organizational coverage, not a concurrency benchmark.</w:t>
      </w:r>
    </w:p>
    <w:tbl>
      <w:tblPr>
        <w:tblW w:type="auto" w:w="0"/>
        <w:jc w:val="center"/>
        <w:tblLook w:firstColumn="1" w:firstRow="1" w:lastColumn="0" w:lastRow="0" w:noHBand="0" w:noVBand="1" w:val="04A0"/>
      </w:tblPr>
      <w:tblGrid>
        <w:gridCol w:w="10166"/>
      </w:tblGrid>
      <w:tr>
        <w:tc>
          <w:tcPr>
            <w:tcW w:type="dxa" w:w="10166"/>
            <w:shd w:fill="EAF3F8"/>
            <w:tcBorders>
              <w:top w:val="single" w:sz="8" w:color="1F78B4"/>
              <w:left w:val="single" w:sz="8" w:color="1F78B4"/>
              <w:bottom w:val="single" w:sz="4" w:color="D8DEE5"/>
              <w:right w:val="single" w:sz="4" w:color="D8DEE5"/>
            </w:tcBorders>
          </w:tcPr>
          <w:p>
            <w:pPr>
              <w:spacing w:after="60"/>
            </w:pPr>
            <w:r>
              <w:rPr>
                <w:rFonts w:ascii="Aptos" w:hAnsi="Aptos"/>
                <w:b/>
                <w:color w:val="1F78B4"/>
                <w:sz w:val="20"/>
              </w:rPr>
              <w:t xml:space="preserve">Ready for the next review  </w:t>
            </w:r>
            <w:r>
              <w:rPr>
                <w:rFonts w:ascii="Aptos" w:hAnsi="Aptos"/>
                <w:color w:val="1F2937"/>
                <w:sz w:val="18"/>
              </w:rPr>
              <w:t>Confirm authoritative data and the first-release boundary, then align the mockup, implementation scope, costs, and acceptance criteria. Until those decisions are recorded, this remains a traceable working brief rather than a signed BRD/FRD/TRD.</w:t>
            </w:r>
          </w:p>
        </w:tc>
      </w:tr>
    </w:tbl>
    <w:p>
      <w:pPr>
        <w:spacing w:after="0"/>
      </w:pPr>
    </w:p>
    <w:p>
      <w:r>
        <w:br w:type="page"/>
      </w:r>
    </w:p>
    <w:p>
      <w:pPr>
        <w:spacing w:before="40" w:after="40"/>
      </w:pPr>
      <w:r>
        <w:rPr>
          <w:rFonts w:ascii="Aptos" w:hAnsi="Aptos"/>
          <w:b/>
          <w:color w:val="008C95"/>
          <w:sz w:val="17"/>
        </w:rPr>
        <w:t>APPENDIX A</w:t>
      </w:r>
    </w:p>
    <w:p>
      <w:pPr>
        <w:pStyle w:val="Heading1"/>
        <w:keepNext/>
      </w:pPr>
      <w:r>
        <w:t>Formal roster of 40 partner universities</w:t>
      </w:r>
    </w:p>
    <w:p>
      <w:pPr>
        <w:pStyle w:val="BodyText"/>
      </w:pPr>
      <w:r>
        <w:rPr>
          <w:rFonts w:ascii="Aptos" w:hAnsi="Aptos"/>
          <w:color w:val="1F2937"/>
          <w:sz w:val="20"/>
        </w:rPr>
        <w:t>The following names and cohort labels are transcribed from the supplied formal ToR. They are preserved as written in that source rather than silently standardized against external naming conventions.</w:t>
      </w:r>
    </w:p>
    <w:tbl>
      <w:tblPr>
        <w:tblW w:type="auto" w:w="0"/>
        <w:jc w:val="center"/>
        <w:tblLayout w:type="fixed"/>
        <w:tblLook w:firstColumn="1" w:firstRow="1" w:lastColumn="0" w:lastRow="0" w:noHBand="0" w:noVBand="1" w:val="04A0"/>
      </w:tblPr>
      <w:tblGrid>
        <w:gridCol w:w="792"/>
        <w:gridCol w:w="6912"/>
        <w:gridCol w:w="2376"/>
      </w:tblGrid>
      <w:tr>
        <w:trPr>
          <w:tblHeader w:val="true"/>
        </w:trPr>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No.</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Perguruan Tinggi</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Keterangan</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Brawijaya</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Syiah Kuala</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3</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Sultan Ageng Tirtayasa</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4</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PGRI Ronggolawe</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5</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Politeknik Negeri Kupang</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6</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Pertamina</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7</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Institut Teknologi Sepuluh November</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8</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Airlangga</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9</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Sebelas Maret</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10</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STAI Sulthan Syarif Hasyim Siak</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11</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STT Migas Balikpapan</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12</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Diponegoro</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13</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Udayana</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14</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Singaperbangsa Karawang</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15</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Pattimura</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16</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Sunan Bonang</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17</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Gadjah Mada</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18</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Islam Riau</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19</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Riau</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20</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Institut Teknologi Kalimantan</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21</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Institut Teknologi Bandung</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22</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Politeknik Negeri Fak Fak</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23</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Politeknik Negeri Cilacap</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24</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Pasir Pengaraian</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Ketiga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25</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IVET</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26</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Sumatera Utara</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27</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Negeri Yogyakarta</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28</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Borneo Tarakan</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29</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Hasanuddin</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30</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Mulawarman</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31</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Wiralodra</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32</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Institut Pertanian Bogor</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33</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Institut Teknologi Sumatera</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34</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Cenderawasih</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35</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Institut Teknologi Petroleum Balongan</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36</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Sriwijaya</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37</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Indonesia</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38</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Universitas Papua</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39</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STAI Tuanku Tambusai</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40</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Politeknik Kelautan dan Perikanan Sorong</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Tahun Kedua</w:t>
            </w:r>
          </w:p>
        </w:tc>
      </w:tr>
    </w:tbl>
    <w:p>
      <w:pPr>
        <w:pStyle w:val="SourceNote"/>
      </w:pPr>
      <w:r>
        <w:t>Source: Formal ToR, p. 3.</w:t>
      </w:r>
    </w:p>
    <w:p>
      <w:r>
        <w:br w:type="page"/>
      </w:r>
    </w:p>
    <w:p>
      <w:pPr>
        <w:spacing w:before="40" w:after="40"/>
      </w:pPr>
      <w:r>
        <w:rPr>
          <w:rFonts w:ascii="Aptos" w:hAnsi="Aptos"/>
          <w:b/>
          <w:color w:val="008C95"/>
          <w:sz w:val="17"/>
        </w:rPr>
        <w:t>APPENDIX B</w:t>
      </w:r>
    </w:p>
    <w:p>
      <w:pPr>
        <w:pStyle w:val="Heading1"/>
        <w:keepNext/>
      </w:pPr>
      <w:r>
        <w:t>Meeting transcript source register</w:t>
      </w:r>
    </w:p>
    <w:p>
      <w:pPr>
        <w:pStyle w:val="BodyText"/>
      </w:pPr>
      <w:r>
        <w:rPr>
          <w:rFonts w:ascii="Aptos" w:hAnsi="Aptos"/>
          <w:color w:val="1F2937"/>
          <w:sz w:val="20"/>
        </w:rPr>
        <w:t>The recording transcript contains 744 time-stamped segments over approximately 25 minutes 18 seconds. The labels below retain the source-register structure from the earlier brief while the formal ToR is used to resolve program facts.</w:t>
      </w:r>
    </w:p>
    <w:tbl>
      <w:tblPr>
        <w:tblW w:type="auto" w:w="0"/>
        <w:jc w:val="center"/>
        <w:tblLayout w:type="fixed"/>
        <w:tblLook w:firstColumn="1" w:firstRow="1" w:lastColumn="0" w:lastRow="0" w:noHBand="0" w:noVBand="1" w:val="04A0"/>
      </w:tblPr>
      <w:tblGrid>
        <w:gridCol w:w="792"/>
        <w:gridCol w:w="1800"/>
        <w:gridCol w:w="7488"/>
      </w:tblGrid>
      <w:tr>
        <w:trPr>
          <w:tblHeader w:val="true"/>
        </w:trPr>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Ref.</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Recording offset</w:t>
            </w:r>
          </w:p>
        </w:tc>
        <w:tc>
          <w:tcPr>
            <w:tcW w:type="dxa" w:w="3389"/>
            <w:vAlign w:val="center"/>
            <w:shd w:fill="174A6E"/>
            <w:tcBorders>
              <w:top w:val="single" w:sz="4" w:color="D8DEE5"/>
              <w:left w:val="single" w:sz="4" w:color="D8DEE5"/>
              <w:bottom w:val="single" w:sz="4" w:color="D8DEE5"/>
              <w:right w:val="single" w:sz="4" w:color="D8DEE5"/>
            </w:tcBorders>
          </w:tcPr>
          <w:p>
            <w:pPr>
              <w:spacing w:after="0" w:before="0"/>
            </w:pPr>
            <w:r>
              <w:rPr>
                <w:rFonts w:ascii="Aptos" w:hAnsi="Aptos"/>
                <w:b/>
                <w:color w:val="FFFFFF"/>
                <w:sz w:val="15"/>
              </w:rPr>
              <w:t>Evidence covered</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T01</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00:00–00:55</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40-university purpose; DEB Putih target context; bottlenecks; proposal preparation; continuing upload access.</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T02</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00:57–02:56</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Q&amp;A concept; private vs shared discussion; forum; search; optional FAQ/popularity ordering.</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T03</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03:06–05:53</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Proposal format; form vs file options; successive uploads; old-version retention; chosen direction.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T04</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07:52–09:26</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Master Excel / baseline data; updates; targets and gaps; red illustration; calculation details to be sent.</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T05</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09:29–10:29</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Existing partners; one account per university; PF visibility; DMM master account; deferred lecturer access.</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T06</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10:29–10:53</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Cross-campus recap/download; admin monitoring and Q&amp;A; no separate assessment.</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T07</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10:56–12:21</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Monitoring-data comments; correction/review; notifications; separate ticket-like workflow.</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T08</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12:21–12:49</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Separate monitoring application; registration boundary; conversational architecture terms.</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T09</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13:13–14:24</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Kick-Off / Friday FGD context; mockup demonstration; feasibility discussion.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T10</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14:25–16:33</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Shared infrastructure contributions; development/change costs; indicative 50-million figure.</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T11</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16:33–17:20</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Competing development work and prioritization/capacity discussion.</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T12</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17:21–18:24</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12 accelerated universities; September monitoring request; October report target; December horizon.</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T13</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18:26–19:42</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Need for materials; contrast between mockup and implementation timing; urgency.</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T14</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20:18–21:30</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Promise of requirements slides, Excel/data guidance; mockup assignment discussion.</w:t>
            </w:r>
          </w:p>
        </w:tc>
      </w:tr>
      <w:tr>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T15</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21:36–23:18</w:t>
            </w:r>
          </w:p>
        </w:tc>
        <w:tc>
          <w:tcPr>
            <w:tcW w:type="dxa" w:w="3389"/>
            <w:vAlign w:val="center"/>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Closing scope recap: roles, proposal versions, indicator baseline, Q&amp;A, mobile access, conditional ticket.</w:t>
            </w:r>
          </w:p>
        </w:tc>
      </w:tr>
      <w:tr>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T16</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23:22–24:18</w:t>
            </w:r>
          </w:p>
        </w:tc>
        <w:tc>
          <w:tcPr>
            <w:tcW w:type="dxa" w:w="3389"/>
            <w:vAlign w:val="center"/>
            <w:shd w:fill="F8FAFB"/>
            <w:tcBorders>
              <w:top w:val="single" w:sz="4" w:color="D8DEE5"/>
              <w:left w:val="single" w:sz="4" w:color="D8DEE5"/>
              <w:bottom w:val="single" w:sz="4" w:color="D8DEE5"/>
              <w:right w:val="single" w:sz="4" w:color="D8DEE5"/>
            </w:tcBorders>
          </w:tcPr>
          <w:p>
            <w:pPr>
              <w:spacing w:after="0" w:before="0"/>
            </w:pPr>
            <w:r>
              <w:rPr>
                <w:rFonts w:ascii="Aptos" w:hAnsi="Aptos"/>
                <w:b w:val="0"/>
                <w:color w:val="1F2937"/>
                <w:sz w:val="15"/>
              </w:rPr>
              <w:t>Friday demonstration and earlier Wednesday/Thursday review preference.</w:t>
            </w:r>
          </w:p>
        </w:tc>
      </w:tr>
    </w:tbl>
    <w:p>
      <w:pPr>
        <w:pStyle w:val="Heading2"/>
        <w:keepNext/>
      </w:pPr>
      <w:r>
        <w:t>Source and terminology cautions</w:t>
      </w:r>
    </w:p>
    <w:p>
      <w:pPr>
        <w:pStyle w:val="ListBullet"/>
        <w:spacing w:after="40"/>
      </w:pPr>
      <w:r>
        <w:rPr>
          <w:rFonts w:ascii="Aptos" w:hAnsi="Aptos"/>
          <w:color w:val="1F2937"/>
          <w:sz w:val="20"/>
        </w:rPr>
        <w:t>The formal ToR confirms the official program name and 2026 dates. Casual transcript variants such as “DAB/DIB/DB putih” are normalized in this brief to the formal term “DEB Putih.”</w:t>
      </w:r>
    </w:p>
    <w:p>
      <w:pPr>
        <w:pStyle w:val="ListBullet"/>
        <w:spacing w:after="40"/>
      </w:pPr>
      <w:r>
        <w:rPr>
          <w:rFonts w:ascii="Aptos" w:hAnsi="Aptos"/>
          <w:color w:val="1F2937"/>
          <w:sz w:val="20"/>
        </w:rPr>
        <w:t>The ToR defines DEB Putih, DEB Biru, DEB Hijau and Siap Exit, plus the Survive / Recoverable / Pivot program grouping. These are separate concepts and should remain separate in the application.</w:t>
      </w:r>
    </w:p>
    <w:p>
      <w:pPr>
        <w:pStyle w:val="ListBullet"/>
        <w:spacing w:after="40"/>
      </w:pPr>
      <w:r>
        <w:rPr>
          <w:rFonts w:ascii="Aptos" w:hAnsi="Aptos"/>
          <w:color w:val="1F2937"/>
          <w:sz w:val="20"/>
        </w:rPr>
        <w:t>DMM remains an unresolved meeting term; the formal ToR does not define its account or permissions.</w:t>
      </w:r>
    </w:p>
    <w:p>
      <w:pPr>
        <w:pStyle w:val="ListBullet"/>
        <w:spacing w:after="40"/>
      </w:pPr>
      <w:r>
        <w:rPr>
          <w:rFonts w:ascii="Aptos" w:hAnsi="Aptos"/>
          <w:color w:val="1F2937"/>
          <w:sz w:val="20"/>
        </w:rPr>
        <w:t>The transcript does not contain reliable speaker diarization. Named accountability should therefore be confirmed before assigning tasks to individuals.</w:t>
      </w:r>
    </w:p>
    <w:p>
      <w:pPr>
        <w:pStyle w:val="ListBullet"/>
        <w:spacing w:after="40"/>
      </w:pPr>
      <w:r>
        <w:rPr>
          <w:rFonts w:ascii="Aptos" w:hAnsi="Aptos"/>
          <w:color w:val="1F2937"/>
          <w:sz w:val="20"/>
        </w:rPr>
        <w:t>The ToR provides a visual indicator framework, but implementation still requires authoritative machine-readable field definitions and rules.</w:t>
      </w:r>
    </w:p>
    <w:p>
      <w:pPr>
        <w:pStyle w:val="SourceNote"/>
      </w:pPr>
      <w:r>
        <w:t>Primary sources: supplied formal Term of Reference (9 pages) and meeting transcript / earlier meeting brief.</w:t>
      </w:r>
    </w:p>
    <w:sectPr w:rsidR="00FC693F" w:rsidRPr="0006063C" w:rsidSect="00034616">
      <w:headerReference w:type="default" r:id="rId12"/>
      <w:footerReference w:type="default" r:id="rId13"/>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60"/>
      <w:gridCol w:w="3360"/>
      <w:gridCol w:w="3360"/>
    </w:tblGrid>
    <w:tr>
      <w:tc>
        <w:tcPr>
          <w:tcW w:type="dxa" w:w="3600"/>
        </w:tcPr>
        <w:p>
          <w:pPr>
            <w:jc w:val="left"/>
          </w:pPr>
          <w:r>
            <w:rPr>
              <w:rFonts w:ascii="Aptos" w:hAnsi="Aptos"/>
              <w:color w:val="6B7280"/>
              <w:sz w:val="15"/>
            </w:rPr>
            <w:t>Working brief • Version 2.0</w:t>
          </w:r>
        </w:p>
      </w:tc>
      <w:tc>
        <w:tcPr>
          <w:tcW w:type="dxa" w:w="2880"/>
        </w:tcPr>
        <w:p>
          <w:pPr>
            <w:jc w:val="center"/>
          </w:pPr>
          <w:r>
            <w:rPr>
              <w:rFonts w:ascii="Aptos" w:hAnsi="Aptos"/>
              <w:color w:val="6B7280"/>
              <w:sz w:val="15"/>
            </w:rPr>
            <w:t>8 September 2026</w:t>
          </w:r>
        </w:p>
      </w:tc>
      <w:tc>
        <w:tcPr>
          <w:tcW w:type="dxa" w:w="3600"/>
        </w:tcPr>
        <w:p>
          <w:pPr>
            <w:jc w:val="right"/>
          </w:pPr>
          <w:r>
            <w:rPr>
              <w:rFonts w:ascii="Aptos" w:hAnsi="Aptos"/>
              <w:color w:val="6B7280"/>
              <w:sz w:val="15"/>
            </w:rPr>
            <w:t xml:space="preserve">Page </w:t>
          </w:r>
          <w:r>
            <w:rPr>
              <w:rFonts w:ascii="Aptos" w:hAnsi="Aptos"/>
              <w:color w:val="6B7280"/>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B7280"/>
        <w:sz w:val="15"/>
      </w:rPr>
      <w:t>DEB TRANSFORMATION LAB 2026  /  MEETING &amp; DIGITAL MONITORING SYSTEM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Aptos Display" w:hAnsi="Aptos Display"/>
      <w:b/>
      <w:bCs/>
      <w:color w:val="174A6E"/>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8C9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40" w:after="100"/>
    </w:pPr>
    <w:rPr>
      <w:rFonts w:ascii="Aptos" w:hAnsi="Aptos"/>
      <w:i/>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 Transformation Lab 2026 — Meeting Recap &amp; Digital Monitoring Web Application System Brief</dc:title>
  <dc:subject>Updated source-based recap and web application system brief</dc:subject>
  <dc:creator>OpenAI</dc:creator>
  <cp:keywords/>
  <dc:description>Recreated using the formal DEB Transformation Lab 2026 ToR and the 8 September 2026 meeting transcript.</dc:description>
  <cp:lastModifiedBy/>
  <cp:revision>1</cp:revision>
  <dcterms:created xsi:type="dcterms:W3CDTF">2013-12-23T23:15:00Z</dcterms:created>
  <dcterms:modified xsi:type="dcterms:W3CDTF">2013-12-23T23:15:00Z</dcterms:modified>
  <cp:category/>
</cp:coreProperties>
</file>